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트라우마-완화를-위한-ai-영상치유-적용의-윤리적임상적-쟁점-검토"/>
    <w:p>
      <w:pPr>
        <w:pStyle w:val="Heading1"/>
        <w:spacing w:lineRule="auto" w:line="384" w:before="240" w:after="120"/>
        <w:jc w:val="left"/>
      </w:pPr>
      <w:r>
        <w:rPr>
          <w:rFonts w:ascii="돋움" w:hAnsi="돋움" w:eastAsia="돋움" w:cs="돋움"/>
          <w:b/>
        </w:rPr>
        <w:t xml:space="preserve">트라우마 완화를 위한 AI 영상치유 적용의 윤리적·임상적 쟁점 검토</w:t>
      </w:r>
    </w:p>
    <w:bookmarkStart w:id="10" w:name="X5045c0edf26f982fef27940eca4f214073565ef"/>
    <w:p>
      <w:pPr>
        <w:pStyle w:val="Heading2"/>
        <w:spacing w:lineRule="auto" w:line="384" w:before="240" w:after="120"/>
        <w:jc w:val="left"/>
      </w:pPr>
      <w:r>
        <w:rPr>
          <w:rFonts w:ascii="돋움" w:hAnsi="돋움" w:eastAsia="돋움" w:cs="돋움"/>
          <w:b/>
        </w:rPr>
        <w:t xml:space="preserve">— 외상 치료 이론에 기반한 통합적 분석틀의 구성과 적용 —</w:t>
      </w:r>
    </w:p>
    <w:bookmarkStart w:id="9" w:name="X549ebc3f4278d6adbedc1640cfcd3d73df177c7"/>
    <w:p>
      <w:pPr>
        <w:pStyle w:val="Heading3"/>
        <w:spacing w:lineRule="auto" w:line="384" w:before="240" w:after="120"/>
        <w:jc w:val="left"/>
      </w:pPr>
      <w:r>
        <w:rPr>
          <w:rFonts w:ascii="돋움" w:hAnsi="돋움" w:eastAsia="돋움" w:cs="돋움"/>
          <w:b/>
        </w:rPr>
        <w:t xml:space="preserve">Ethical and Clinical Issues in Applying AI Video Healing to Trauma Relief: Constructing and Applying an Integrative Analytic Framework Grounded in Trauma Treatment Theory</w:t>
      </w:r>
    </w:p>
    <w:p>
      <w:pPr>
        <w:pStyle w:val="FirstParagraph"/>
        <w:spacing w:lineRule="auto" w:line="384"/>
        <w:jc w:val="both"/>
      </w:pPr>
      <w:r>
        <w:rPr>
          <w:rFonts w:ascii="바탕" w:hAnsi="바탕" w:eastAsia="바탕" w:cs="바탕"/>
          <w:b/>
          <w:bCs/>
          <w:sz w:val="21"/>
        </w:rPr>
        <w:t xml:space="preserve">저자명</w:t>
      </w:r>
      <w:r>
        <w:rPr>
          <w:rFonts w:ascii="바탕" w:hAnsi="바탕" w:eastAsia="바탕" w:cs="바탕"/>
          <w:sz w:val="21"/>
        </w:rPr>
        <w:t xml:space="preserve">1)</w:t>
      </w:r>
    </w:p>
    <w:p>
      <w:pPr>
        <w:pStyle w:val="BodyText"/>
        <w:spacing w:lineRule="auto" w:line="384"/>
        <w:jc w:val="both"/>
      </w:pPr>
      <w:r>
        <w:rPr>
          <w:rFonts w:ascii="바탕" w:hAnsi="바탕" w:eastAsia="바탕" w:cs="바탕"/>
          <w:sz w:val="21"/>
        </w:rPr>
        <w:t xml:space="preserve">1)</w:t>
      </w:r>
      <w:r>
        <w:rPr>
          <w:rFonts w:ascii="바탕" w:hAnsi="바탕" w:eastAsia="바탕" w:cs="바탕"/>
          <w:sz w:val="21"/>
        </w:rPr>
        <w:t xml:space="preserve"> </w:t>
      </w:r>
      <w:r>
        <w:rPr>
          <w:rFonts w:ascii="바탕" w:hAnsi="바탕" w:eastAsia="바탕" w:cs="바탕"/>
          <w:sz w:val="21"/>
        </w:rPr>
        <w:t xml:space="preserve">소속 기관, 학과 (직위) · 교신저자 이메일: ____________</w:t>
      </w:r>
    </w:p>
    <w:p>
      <w:pPr>
        <w:pStyle w:val="BodyText"/>
        <w:spacing w:lineRule="auto" w:line="384"/>
        <w:jc w:val="both"/>
      </w:pPr>
      <w:r>
        <w:rPr>
          <w:rFonts w:ascii="바탕" w:hAnsi="바탕" w:eastAsia="바탕" w:cs="바탕"/>
          <w:i/>
          <w:iCs/>
          <w:sz w:val="21"/>
        </w:rPr>
        <w:t xml:space="preserve">투고일: 20XX. XX. XX. </w:t>
      </w:r>
      <w:r>
        <w:rPr>
          <w:rFonts w:hint="eastAsia" w:ascii="바탕" w:hAnsi="바탕" w:eastAsia="바탕" w:cs="바탕"/>
          <w:i/>
          <w:iCs/>
          <w:sz w:val="21"/>
        </w:rPr>
        <w:t xml:space="preserve">｜</w:t>
      </w:r>
      <w:r>
        <w:rPr>
          <w:rFonts w:ascii="바탕" w:hAnsi="바탕" w:eastAsia="바탕" w:cs="바탕"/>
          <w:i/>
          <w:iCs/>
          <w:sz w:val="21"/>
        </w:rPr>
        <w:t xml:space="preserve"> 수정일: 20XX. XX. XX. </w:t>
      </w:r>
      <w:r>
        <w:rPr>
          <w:rFonts w:hint="eastAsia" w:ascii="바탕" w:hAnsi="바탕" w:eastAsia="바탕" w:cs="바탕"/>
          <w:i/>
          <w:iCs/>
          <w:sz w:val="21"/>
        </w:rPr>
        <w:t xml:space="preserve">｜</w:t>
      </w:r>
      <w:r>
        <w:rPr>
          <w:rFonts w:ascii="바탕" w:hAnsi="바탕" w:eastAsia="바탕" w:cs="바탕"/>
          <w:i/>
          <w:iCs/>
          <w:sz w:val="21"/>
        </w:rPr>
        <w:t xml:space="preserve"> 게재확정일: 20XX. XX. XX.</w:t>
      </w:r>
    </w:p>
    <w:p>
      <w:pPr>
        <w:spacing w:lineRule="auto" w:line="384"/>
        <w:jc w:val="both"/>
      </w:pPr>
      <w:r>
        <w:rPr>
          <w:rFonts w:ascii="바탕" w:hAnsi="바탕" w:eastAsia="바탕" w:cs="바탕"/>
          <w:sz w:val="21"/>
        </w:rPr>
        <w:pict>
          <v:rect style="width:0;height:1.5pt" o:hralign="center" o:hrstd="t" o:hr="t"/>
        </w:pict>
      </w:r>
    </w:p>
    <w:bookmarkEnd w:id="9"/>
    <w:bookmarkEnd w:id="10"/>
    <w:bookmarkStart w:id="11" w:name="국문초록"/>
    <w:p>
      <w:pPr>
        <w:pStyle w:val="Heading2"/>
        <w:spacing w:lineRule="auto" w:line="384" w:before="240" w:after="120"/>
        <w:jc w:val="left"/>
      </w:pPr>
      <w:r>
        <w:rPr>
          <w:rFonts w:ascii="돋움" w:hAnsi="돋움" w:eastAsia="돋움" w:cs="돋움"/>
          <w:b/>
        </w:rPr>
        <w:t xml:space="preserve">국문초록</w:t>
      </w:r>
    </w:p>
    <w:p>
      <w:pPr>
        <w:pStyle w:val="FirstParagraph"/>
        <w:spacing w:lineRule="auto" w:line="384"/>
        <w:jc w:val="both"/>
      </w:pPr>
      <w:r>
        <w:rPr>
          <w:rFonts w:ascii="바탕" w:hAnsi="바탕" w:eastAsia="바탕" w:cs="바탕"/>
          <w:sz w:val="21"/>
        </w:rPr>
        <w:t xml:space="preserve">본 연구는 트라우마 완화를 목적으로 생성형 인공지능(generative AI) 기반 '영상치유'를 적용할 때 제기되는 임상적·윤리적 쟁점을, 외상 치료 이론에 정박한 통합적 분석틀을 구성하여 비판적으로 검토하는 것을 목적으로 한다. 외상 치료는 외상 기억의 신경생물학적 특성에 대한 이해를 토대로, 정서처리이론(emotional processing theory), 노출·내러티브 노출치료, 회복의 단계 모델, 치료적 동맹, 트라우마 정보 기반 치료(trauma-informed care) 등 정교한 이론적·임상적 기반 위에서 발전해 왔다. 최근 텍스트-투-비디오(text-to-video) 생성 모델의 등장으로 개인 맞춤형 외상 관련 영상을 즉시 생성하는 'AI 영상치유'가 논의되고 있으나, 트라우마는 부적절한 개입이 회복이 아닌 해(harm)로 직결되는 고위험 영역이다. 본 연구는 이론적 문헌고찰(theoretical literature review) 방법을 통해, 다섯 가지 외상 치료 이론을 분석 렌즈로 통합한 평가틀을 구성하고, 이를 적용하여 (1) 재외상화·안정화 부재·치료적 동맹의 부재·통제권 이전·근거 부족이라는 임상적 쟁점과 (2) 자율성·무해성·프라이버시·정의(편향)·책임성이라는 윤리적 쟁점을 체계적으로 분석하였다. 분석 결과, 트라우마 영역에서 AI 영상치유는 인간 임상가를 대체하는 자율적 수단이 될 수 없으며, 정서처리의 통제·안정화의 선행·관계적 담아내기·트라우마 정보 기반 안전장치가 보장되는</w:t>
      </w:r>
      <w:r>
        <w:rPr>
          <w:rFonts w:ascii="바탕" w:hAnsi="바탕" w:eastAsia="바탕" w:cs="바탕"/>
          <w:sz w:val="21"/>
        </w:rPr>
        <w:t xml:space="preserve"> </w:t>
      </w:r>
      <w:r>
        <w:rPr>
          <w:rFonts w:ascii="바탕" w:hAnsi="바탕" w:eastAsia="바탕" w:cs="바탕"/>
          <w:b/>
          <w:bCs/>
          <w:sz w:val="21"/>
        </w:rPr>
        <w:t xml:space="preserve">치료자 매개형(therapist-mediated) 보조 도구</w:t>
      </w:r>
      <w:r>
        <w:rPr>
          <w:rFonts w:ascii="바탕" w:hAnsi="바탕" w:eastAsia="바탕" w:cs="바탕"/>
          <w:sz w:val="21"/>
        </w:rPr>
        <w:t xml:space="preserve">로서만 책임 있게 적용될 수 있음을 확인하였다. 본 연구는 트라우마 디지털 치유의 책임 있는 도입을 위한 이론적 토대와 윤리·임상 가이드라인의 방향, 그리고 후속 실증연구의 설계 지침을 제시한다.</w:t>
      </w:r>
    </w:p>
    <w:p>
      <w:pPr>
        <w:pStyle w:val="BodyText"/>
        <w:spacing w:lineRule="auto" w:line="384"/>
        <w:jc w:val="both"/>
      </w:pPr>
      <w:r>
        <w:rPr>
          <w:rFonts w:ascii="바탕" w:hAnsi="바탕" w:eastAsia="바탕" w:cs="바탕"/>
          <w:b/>
          <w:bCs/>
          <w:sz w:val="21"/>
        </w:rPr>
        <w:t xml:space="preserve">주제어</w:t>
      </w:r>
      <w:r>
        <w:rPr>
          <w:rFonts w:ascii="바탕" w:hAnsi="바탕" w:eastAsia="바탕" w:cs="바탕"/>
          <w:sz w:val="21"/>
        </w:rPr>
        <w:t xml:space="preserve">: AI 영상치유, 트라우마, 외상후 스트레스 장애, 재외상화, 정서처리이론, 트라우마 정보 기반 치료, 디지털 정신건강 윤리</w:t>
      </w:r>
    </w:p>
    <w:p>
      <w:pPr>
        <w:spacing w:lineRule="auto" w:line="384"/>
        <w:jc w:val="both"/>
      </w:pPr>
      <w:r>
        <w:rPr>
          <w:rFonts w:ascii="바탕" w:hAnsi="바탕" w:eastAsia="바탕" w:cs="바탕"/>
          <w:sz w:val="21"/>
        </w:rPr>
        <w:pict>
          <v:rect style="width:0;height:1.5pt" o:hralign="center" o:hrstd="t" o:hr="t"/>
        </w:pict>
      </w:r>
    </w:p>
    <w:bookmarkEnd w:id="11"/>
    <w:bookmarkStart w:id="12" w:name="abstract"/>
    <w:p>
      <w:pPr>
        <w:pStyle w:val="Heading2"/>
        <w:spacing w:lineRule="auto" w:line="384" w:before="240" w:after="120"/>
        <w:jc w:val="left"/>
      </w:pPr>
      <w:r>
        <w:rPr>
          <w:rFonts w:ascii="돋움" w:hAnsi="돋움" w:eastAsia="돋움" w:cs="돋움"/>
          <w:b/>
        </w:rPr>
        <w:t xml:space="preserve">Abstract</w:t>
      </w:r>
    </w:p>
    <w:p>
      <w:pPr>
        <w:pStyle w:val="FirstParagraph"/>
        <w:spacing w:lineRule="auto" w:line="384"/>
        <w:jc w:val="both"/>
      </w:pPr>
      <w:r>
        <w:rPr>
          <w:rFonts w:ascii="바탕" w:hAnsi="바탕" w:eastAsia="바탕" w:cs="바탕"/>
          <w:sz w:val="21"/>
        </w:rPr>
        <w:t xml:space="preserve">This study aims to critically examine the clinical and ethical issues raised when generative artificial intelligence (AI)–based "video healing" is applied for trauma relief, by constructing an integrative analytic framework grounded in trauma treatment theory. Trauma treatment has developed upon sophisticated theoretical and clinical foundations—including emotional processing theory, exposure and narrative exposure therapy, stage models of recovery, the therapeutic alliance, and trauma-informed care—built upon an understanding of the neurobiological characteristics of traumatic memory. With the emergence of text-to-video generative models, "AI video healing," which instantly generates personalized trauma-related visual content, has begun to be discussed; yet trauma is a high-risk domain in which inappropriate intervention leads directly to harm rather than recovery. Using a theoretical literature review method, this study integrates five trauma treatment theories into an analytic lens and applies it to systematically analyze (1) clinical issues—retraumatization, the absence of stabilization, the absence of a therapeutic alliance, the transfer of control, and the lack of evidence—and (2) ethical issues—autonomy, non-maleficence, privacy, justice (bias), and accountability. The analysis confirms that, in the domain of trauma, AI video healing cannot serve as an autonomous means replacing human clinicians; it can be responsibly applied only as a therapist-mediated supportive tool in which the control of emotional processing, the precedence of stabilization, relational holding, and trauma-informed safeguards are guaranteed. This study provides a theoretical foundation, directions for ethical and clinical guidelines, and design guidance for future empirical research on the responsible adoption of digital trauma healing.</w:t>
      </w:r>
    </w:p>
    <w:p>
      <w:pPr>
        <w:pStyle w:val="BodyText"/>
        <w:spacing w:lineRule="auto" w:line="384"/>
        <w:jc w:val="both"/>
      </w:pPr>
      <w:r>
        <w:rPr>
          <w:rFonts w:ascii="바탕" w:hAnsi="바탕" w:eastAsia="바탕" w:cs="바탕"/>
          <w:b/>
          <w:bCs/>
          <w:sz w:val="21"/>
        </w:rPr>
        <w:t xml:space="preserve">Keywords</w:t>
      </w:r>
      <w:r>
        <w:rPr>
          <w:rFonts w:ascii="바탕" w:hAnsi="바탕" w:eastAsia="바탕" w:cs="바탕"/>
          <w:sz w:val="21"/>
        </w:rPr>
        <w:t xml:space="preserve">: AI video healing, trauma, posttraumatic stress disorder, retraumatization, emotional processing theory, trauma-informed care, digital mental health ethics</w:t>
      </w:r>
    </w:p>
    <w:p>
      <w:pPr>
        <w:spacing w:lineRule="auto" w:line="384"/>
        <w:jc w:val="both"/>
      </w:pPr>
      <w:r>
        <w:rPr>
          <w:rFonts w:ascii="바탕" w:hAnsi="바탕" w:eastAsia="바탕" w:cs="바탕"/>
          <w:sz w:val="21"/>
        </w:rPr>
        <w:pict>
          <v:rect style="width:0;height:1.5pt" o:hralign="center" o:hrstd="t" o:hr="t"/>
        </w:pict>
      </w:r>
    </w:p>
    <w:bookmarkEnd w:id="12"/>
    <w:bookmarkStart w:id="16" w:name="X324f33ffc546ca8ac744cb7b8addd80eb6a8c51"/>
    <w:p>
      <w:pPr>
        <w:pStyle w:val="Heading2"/>
        <w:spacing w:lineRule="auto" w:line="384" w:before="240" w:after="120"/>
        <w:jc w:val="left"/>
      </w:pPr>
      <w:r>
        <w:rPr>
          <w:rFonts w:ascii="돋움" w:hAnsi="돋움" w:eastAsia="돋움" w:cs="돋움"/>
          <w:b/>
        </w:rPr>
        <w:t xml:space="preserve">Ⅰ. 서론</w:t>
      </w:r>
    </w:p>
    <w:bookmarkStart w:id="13" w:name="X3666180e9103426bd15cf164c278300e78ef331"/>
    <w:p>
      <w:pPr>
        <w:pStyle w:val="Heading3"/>
        <w:spacing w:lineRule="auto" w:line="384" w:before="240" w:after="120"/>
        <w:jc w:val="left"/>
      </w:pPr>
      <w:r>
        <w:rPr>
          <w:rFonts w:ascii="돋움" w:hAnsi="돋움" w:eastAsia="돋움" w:cs="돋움"/>
          <w:b/>
        </w:rPr>
        <w:t xml:space="preserve">1. 연구의 배경</w:t>
      </w:r>
    </w:p>
    <w:p>
      <w:pPr>
        <w:pStyle w:val="FirstParagraph"/>
        <w:spacing w:lineRule="auto" w:line="384"/>
        <w:jc w:val="both"/>
      </w:pPr>
      <w:r>
        <w:rPr>
          <w:rFonts w:ascii="바탕" w:hAnsi="바탕" w:eastAsia="바탕" w:cs="바탕"/>
          <w:sz w:val="21"/>
        </w:rPr>
        <w:t xml:space="preserve">트라우마(외상)는 생명을 위협하거나 압도적인 사건에 노출된 후 개인의 정서·인지·신체·관계 전반에 깊고 지속적인 영향을 남기는 경험이며, 외상후 스트레스 장애(posttraumatic stress disorder, PTSD)를 비롯한 광범위한 정신건강 문제의 핵심 원인이 된다(van der Kolk, 2014). 외상 경험은 단순한 '나쁜 기억'에 머물지 않는다. 신경생물학적 연구는 외상 기억이 일반적인 서술 기억과 달리 파편적·감각적·비언어적 형태로 부호화되어, 시간·맥락의 통합 없이 저장되며, 사소한 단서에도 통제되지 않는 정서적 재경험을 촉발한다는 점을 보여 왔다(유정, 2015; van der Kolk, 2014). 이러한 특성 때문에 외상 치료는 다른 어떤 심리치료보다도 정교한 이론과 신중한 절차를 요구한다.</w:t>
      </w:r>
    </w:p>
    <w:p>
      <w:pPr>
        <w:pStyle w:val="BodyText"/>
        <w:spacing w:lineRule="auto" w:line="384"/>
        <w:jc w:val="both"/>
      </w:pPr>
      <w:r>
        <w:rPr>
          <w:rFonts w:ascii="바탕" w:hAnsi="바탕" w:eastAsia="바탕" w:cs="바탕"/>
          <w:sz w:val="21"/>
        </w:rPr>
        <w:t xml:space="preserve">지난 수십 년간 외상 치료는 견고한 이론적·경험적 토대를 축적해 왔다. Foa와 Kozak(1986)의 정서처리이론은 공포 기억 구조를 활성화하되 교정적 정보를 함께 제공함으로써 정서를 수정하는 기제를 제시하였고, 이는 노출치료와 지속노출(prolonged exposure)의 이론적 기반이 되었다. 내러티브 노출치료(NET)는 파편화된 외상 기억을 일관된 자전적 서사로 통합하는 접근으로 그 효과가 보고되었으며(Adenauer et al., 2011), 최근에는 가상현실 노출치료(VRET)처럼 기술을 매개로 외상 장면을 통제된 방식으로 재현하는 접근도 메타분석 수준의 근거를 축적하였다(Kothgassner et al., 2019). 한편 Herman(1992)은 회복이 안전(safety)·기억과 애도(remembrance and mourning)·재연결(reconnection)이라는 단계를 거친다는 점을, Bordin(1979)은 치료 성과가 목표·과제·유대로 구성된 작업동맹(working alliance)에 의해 매개된다는 점을 제시하였다. 이러한 임상 지혜는 SAMHSA(2014)의 트라우마 정보 기반 치료(trauma-informed care) 원칙으로 집약되었다.</w:t>
      </w:r>
    </w:p>
    <w:p>
      <w:pPr>
        <w:pStyle w:val="BodyText"/>
        <w:spacing w:lineRule="auto" w:line="384"/>
        <w:jc w:val="both"/>
      </w:pPr>
      <w:r>
        <w:rPr>
          <w:rFonts w:ascii="바탕" w:hAnsi="바탕" w:eastAsia="바탕" w:cs="바탕"/>
          <w:sz w:val="21"/>
        </w:rPr>
        <w:t xml:space="preserve">2020년대에 들어 생성형 인공지능은 텍스트 프롬프트만으로 고품질 영상을 즉시 생성하는 단계에 이르렀다(Sun et al., 2024; Liu et al., 2024). 이를 활용해 개인의 외상 경험과 정서 상태에 맞춘 영상을 생성·제공하는 'AI 영상치유'가 새로운 디지털 치유 도구로 논의되기 시작했으며, 국내 상담·심리치료 분야에서도 AI 활용 연구가 꾸준히 증가하고 있다(여수진, 손승희, 2025).</w:t>
      </w:r>
    </w:p>
    <w:bookmarkEnd w:id="13"/>
    <w:bookmarkStart w:id="14" w:name="Xf2a49e1f9d9065584f0873125c5f63dd832cf74"/>
    <w:p>
      <w:pPr>
        <w:pStyle w:val="Heading3"/>
        <w:spacing w:lineRule="auto" w:line="384" w:before="240" w:after="120"/>
        <w:jc w:val="left"/>
      </w:pPr>
      <w:r>
        <w:rPr>
          <w:rFonts w:ascii="돋움" w:hAnsi="돋움" w:eastAsia="돋움" w:cs="돋움"/>
          <w:b/>
        </w:rPr>
        <w:t xml:space="preserve">2. 문제 제기</w:t>
      </w:r>
    </w:p>
    <w:p>
      <w:pPr>
        <w:pStyle w:val="FirstParagraph"/>
        <w:spacing w:lineRule="auto" w:line="384"/>
        <w:jc w:val="both"/>
      </w:pPr>
      <w:r>
        <w:rPr>
          <w:rFonts w:ascii="바탕" w:hAnsi="바탕" w:eastAsia="바탕" w:cs="바탕"/>
          <w:sz w:val="21"/>
        </w:rPr>
        <w:t xml:space="preserve">그러나 트라우마 영역에서 AI 영상치유의 적용은 일반적인 디지털 정신건강 도구와 질적으로 다른 위험을 내포한다. 첫째, 외상 단서의 부적절한 제시는 회복이 아니라</w:t>
      </w:r>
      <w:r>
        <w:rPr>
          <w:rFonts w:ascii="바탕" w:hAnsi="바탕" w:eastAsia="바탕" w:cs="바탕"/>
          <w:sz w:val="21"/>
        </w:rPr>
        <w:t xml:space="preserve"> </w:t>
      </w:r>
      <w:r>
        <w:rPr>
          <w:rFonts w:ascii="바탕" w:hAnsi="바탕" w:eastAsia="바탕" w:cs="바탕"/>
          <w:b/>
          <w:bCs/>
          <w:sz w:val="21"/>
        </w:rPr>
        <w:t xml:space="preserve">재외상화(retraumatization)</w:t>
      </w:r>
      <w:r>
        <w:rPr>
          <w:rFonts w:ascii="바탕" w:hAnsi="바탕" w:eastAsia="바탕" w:cs="바탕"/>
          <w:sz w:val="21"/>
        </w:rPr>
        <w:t xml:space="preserve">, 즉 공포 기억의 재활성화와 증상 악화를 초래할 수 있다(Foa &amp; Kozak, 1986). 둘째, 외상 작업은 반드시 안정화가 선행되어야 하는데(Herman, 1992), 자동화된 시스템은 이 단계적 절차를 보장하지 못한다. 셋째, 트라우마 회복의 핵심인 안전한 치료적 관계(Bordin, 1979)를 AI는 진정으로 제공할 수 없다. 넷째, 외상이라는 가장 민감한 개인 정보를 다루는 데 따른 윤리적 위험이 중첩된다. 실제로 규제되지 않은 생성형 AI 정신건강 도구가 취약 사용자에게 미칠 위험성은 비판적으로 제기되어 왔으며(Parks et al., 2025), 보건의료 AI의 윤리·거버넌스에 대한 국제적 우려도 커지고 있다(World Health Organization, 2021).</w:t>
      </w:r>
    </w:p>
    <w:p>
      <w:pPr>
        <w:pStyle w:val="BodyText"/>
        <w:spacing w:lineRule="auto" w:line="384"/>
        <w:jc w:val="both"/>
      </w:pPr>
      <w:r>
        <w:rPr>
          <w:rFonts w:ascii="바탕" w:hAnsi="바탕" w:eastAsia="바탕" w:cs="바탕"/>
          <w:sz w:val="21"/>
        </w:rPr>
        <w:t xml:space="preserve">그럼에도 현재의 논의는 기술적 가능성에 치우쳐, 트라우마 치료 이론의 관점에서 AI 영상치유의 임상적·윤리적 타당성을 체계적으로 검토한 연구가 부족하다. 막연한 기대와 비관이 교차하는 가운데, 검증된 이론적 준거에 정박한 분석이 요청된다.</w:t>
      </w:r>
    </w:p>
    <w:bookmarkEnd w:id="14"/>
    <w:bookmarkStart w:id="15" w:name="X7fda405224fe72086898064a964e785fc85c02d"/>
    <w:p>
      <w:pPr>
        <w:pStyle w:val="Heading3"/>
        <w:spacing w:lineRule="auto" w:line="384" w:before="240" w:after="120"/>
        <w:jc w:val="left"/>
      </w:pPr>
      <w:r>
        <w:rPr>
          <w:rFonts w:ascii="돋움" w:hAnsi="돋움" w:eastAsia="돋움" w:cs="돋움"/>
          <w:b/>
        </w:rPr>
        <w:t xml:space="preserve">3. 연구 목적 및 연구 문제</w:t>
      </w:r>
    </w:p>
    <w:p>
      <w:pPr>
        <w:pStyle w:val="FirstParagraph"/>
        <w:spacing w:lineRule="auto" w:line="384"/>
        <w:jc w:val="both"/>
      </w:pPr>
      <w:r>
        <w:rPr>
          <w:rFonts w:ascii="바탕" w:hAnsi="바탕" w:eastAsia="바탕" w:cs="바탕"/>
          <w:sz w:val="21"/>
        </w:rPr>
        <w:t xml:space="preserve">본 연구의 목적은 외상 치료 이론에 정박한 통합적 분석틀을 구성하고, 이를 적용하여 트라우마 완화를 위한 AI 영상치유의 임상적·윤리적 쟁점을 비판적으로 검토함으로써, 책임 있는 도입 원칙을 도출하는 데 있다. 이를 위해 다음의 연구 문제를 설정한다.</w:t>
      </w:r>
    </w:p>
    <w:p>
      <w:pPr>
        <w:pStyle w:val="Compact"/>
        <w:numPr>
          <w:ilvl w:val="0"/>
          <w:numId w:val="1001"/>
        </w:numPr>
        <w:spacing w:lineRule="auto" w:line="384"/>
        <w:jc w:val="both"/>
      </w:pPr>
      <w:r>
        <w:rPr>
          <w:rFonts w:ascii="바탕" w:hAnsi="바탕" w:eastAsia="바탕" w:cs="바탕"/>
          <w:b/>
          <w:bCs/>
          <w:sz w:val="21"/>
        </w:rPr>
        <w:t xml:space="preserve">연구 문제 1.</w:t>
      </w:r>
      <w:r>
        <w:rPr>
          <w:rFonts w:ascii="바탕" w:hAnsi="바탕" w:eastAsia="바탕" w:cs="바탕"/>
          <w:sz w:val="21"/>
        </w:rPr>
        <w:t xml:space="preserve"> </w:t>
      </w:r>
      <w:r>
        <w:rPr>
          <w:rFonts w:ascii="바탕" w:hAnsi="바탕" w:eastAsia="바탕" w:cs="바탕"/>
          <w:sz w:val="21"/>
        </w:rPr>
        <w:t xml:space="preserve">외상 치료의 신경생물학적·이론적 기반은 무엇이며, 이를 AI 영상치유 평가에 적용할 분석틀은 어떻게 구성되는가?</w:t>
      </w:r>
    </w:p>
    <w:p>
      <w:pPr>
        <w:pStyle w:val="Compact"/>
        <w:numPr>
          <w:ilvl w:val="0"/>
          <w:numId w:val="1001"/>
        </w:numPr>
        <w:spacing w:lineRule="auto" w:line="384"/>
        <w:jc w:val="both"/>
      </w:pPr>
      <w:r>
        <w:rPr>
          <w:rFonts w:ascii="바탕" w:hAnsi="바탕" w:eastAsia="바탕" w:cs="바탕"/>
          <w:b/>
          <w:bCs/>
          <w:sz w:val="21"/>
        </w:rPr>
        <w:t xml:space="preserve">연구 문제 2.</w:t>
      </w:r>
      <w:r>
        <w:rPr>
          <w:rFonts w:ascii="바탕" w:hAnsi="바탕" w:eastAsia="바탕" w:cs="바탕"/>
          <w:sz w:val="21"/>
        </w:rPr>
        <w:t xml:space="preserve"> </w:t>
      </w:r>
      <w:r>
        <w:rPr>
          <w:rFonts w:ascii="바탕" w:hAnsi="바탕" w:eastAsia="바탕" w:cs="바탕"/>
          <w:sz w:val="21"/>
        </w:rPr>
        <w:t xml:space="preserve">구성된 분석틀에 비추어, 트라우마 영역에서 AI 영상치유 적용의 임상적 쟁점은 무엇인가?</w:t>
      </w:r>
    </w:p>
    <w:p>
      <w:pPr>
        <w:pStyle w:val="Compact"/>
        <w:numPr>
          <w:ilvl w:val="0"/>
          <w:numId w:val="1001"/>
        </w:numPr>
        <w:spacing w:lineRule="auto" w:line="384"/>
        <w:jc w:val="both"/>
      </w:pPr>
      <w:r>
        <w:rPr>
          <w:rFonts w:ascii="바탕" w:hAnsi="바탕" w:eastAsia="바탕" w:cs="바탕"/>
          <w:b/>
          <w:bCs/>
          <w:sz w:val="21"/>
        </w:rPr>
        <w:t xml:space="preserve">연구 문제 3.</w:t>
      </w:r>
      <w:r>
        <w:rPr>
          <w:rFonts w:ascii="바탕" w:hAnsi="바탕" w:eastAsia="바탕" w:cs="바탕"/>
          <w:sz w:val="21"/>
        </w:rPr>
        <w:t xml:space="preserve"> </w:t>
      </w:r>
      <w:r>
        <w:rPr>
          <w:rFonts w:ascii="바탕" w:hAnsi="바탕" w:eastAsia="바탕" w:cs="바탕"/>
          <w:sz w:val="21"/>
        </w:rPr>
        <w:t xml:space="preserve">트라우마 영역에서 AI 영상치유 적용의 윤리적 쟁점은 무엇이며, 책임 있는 적용을 위한 원칙과 후속 연구의 방향은 무엇인가?</w:t>
      </w:r>
    </w:p>
    <w:p>
      <w:pPr>
        <w:spacing w:lineRule="auto" w:line="384"/>
        <w:jc w:val="both"/>
      </w:pPr>
      <w:r>
        <w:rPr>
          <w:rFonts w:ascii="바탕" w:hAnsi="바탕" w:eastAsia="바탕" w:cs="바탕"/>
          <w:sz w:val="21"/>
        </w:rPr>
        <w:pict>
          <v:rect style="width:0;height:1.5pt" o:hralign="center" o:hrstd="t" o:hr="t"/>
        </w:pict>
      </w:r>
    </w:p>
    <w:bookmarkEnd w:id="15"/>
    <w:bookmarkEnd w:id="16"/>
    <w:bookmarkStart w:id="20" w:name="X725765e34492272bec695a8fa9002d9dca43a97"/>
    <w:p>
      <w:pPr>
        <w:pStyle w:val="Heading2"/>
        <w:spacing w:lineRule="auto" w:line="384" w:before="240" w:after="120"/>
        <w:jc w:val="left"/>
      </w:pPr>
      <w:r>
        <w:rPr>
          <w:rFonts w:ascii="돋움" w:hAnsi="돋움" w:eastAsia="돋움" w:cs="돋움"/>
          <w:b/>
        </w:rPr>
        <w:t xml:space="preserve">Ⅱ. 연구 방법</w:t>
      </w:r>
    </w:p>
    <w:bookmarkStart w:id="17" w:name="Xa61171a1cfd4139a45b6d31c2c74ac1f28b036f"/>
    <w:p>
      <w:pPr>
        <w:pStyle w:val="Heading3"/>
        <w:spacing w:lineRule="auto" w:line="384" w:before="240" w:after="120"/>
        <w:jc w:val="left"/>
      </w:pPr>
      <w:r>
        <w:rPr>
          <w:rFonts w:ascii="돋움" w:hAnsi="돋움" w:eastAsia="돋움" w:cs="돋움"/>
          <w:b/>
        </w:rPr>
        <w:t xml:space="preserve">1. 연구 설계</w:t>
      </w:r>
    </w:p>
    <w:p>
      <w:pPr>
        <w:pStyle w:val="FirstParagraph"/>
        <w:spacing w:lineRule="auto" w:line="384"/>
        <w:jc w:val="both"/>
      </w:pPr>
      <w:r>
        <w:rPr>
          <w:rFonts w:ascii="바탕" w:hAnsi="바탕" w:eastAsia="바탕" w:cs="바탕"/>
          <w:sz w:val="21"/>
        </w:rPr>
        <w:t xml:space="preserve">본 연구는 이론적 문헌고찰(theoretical literature review)을 연구 설계로 채택한다. 이는 새로운 실증 자료를 수집·검증하는 대신, 기존의 이론과 경험적 근거를 비판적으로 종합하여 개념적 분석틀을 구성하고 이를 특정 현상에 적용하는 방법으로, 아직 실증연구가 축적되지 않은 신생 영역의 쟁점을 선제적으로 규명하는 데 적합하다. 본 연구는 효과 검증이 아니라</w:t>
      </w:r>
      <w:r>
        <w:rPr>
          <w:rFonts w:ascii="바탕" w:hAnsi="바탕" w:eastAsia="바탕" w:cs="바탕"/>
          <w:sz w:val="21"/>
        </w:rPr>
        <w:t xml:space="preserve"> </w:t>
      </w:r>
      <w:r>
        <w:rPr>
          <w:rFonts w:ascii="바탕" w:hAnsi="바탕" w:eastAsia="바탕" w:cs="바탕"/>
          <w:i/>
          <w:iCs/>
          <w:sz w:val="21"/>
        </w:rPr>
        <w:t xml:space="preserve">이론 기반 쟁점 분석</w:t>
      </w:r>
      <w:r>
        <w:rPr>
          <w:rFonts w:ascii="바탕" w:hAnsi="바탕" w:eastAsia="바탕" w:cs="바탕"/>
          <w:sz w:val="21"/>
        </w:rPr>
        <w:t xml:space="preserve">을 지향하므로, 그 결론은 단정적 평가가 아니라 후속 실증연구와 가이드라인 수립을 위한 가설·원칙의 성격을 갖는다.</w:t>
      </w:r>
    </w:p>
    <w:bookmarkEnd w:id="17"/>
    <w:bookmarkStart w:id="18" w:name="Xac58d20185f6fa5c5f97d60f334d3fd6867c400"/>
    <w:p>
      <w:pPr>
        <w:pStyle w:val="Heading3"/>
        <w:spacing w:lineRule="auto" w:line="384" w:before="240" w:after="120"/>
        <w:jc w:val="left"/>
      </w:pPr>
      <w:r>
        <w:rPr>
          <w:rFonts w:ascii="돋움" w:hAnsi="돋움" w:eastAsia="돋움" w:cs="돋움"/>
          <w:b/>
        </w:rPr>
        <w:t xml:space="preserve">2. 문헌 검색 및 선정</w:t>
      </w:r>
    </w:p>
    <w:p>
      <w:pPr>
        <w:pStyle w:val="FirstParagraph"/>
        <w:spacing w:lineRule="auto" w:line="384"/>
        <w:jc w:val="both"/>
      </w:pPr>
      <w:r>
        <w:rPr>
          <w:rFonts w:ascii="바탕" w:hAnsi="바탕" w:eastAsia="바탕" w:cs="바탕"/>
          <w:sz w:val="21"/>
        </w:rPr>
        <w:t xml:space="preserve">문헌은 다음 절차로 수집하였다.</w:t>
      </w:r>
      <w:r>
        <w:rPr>
          <w:rFonts w:ascii="바탕" w:hAnsi="바탕" w:eastAsia="바탕" w:cs="바탕"/>
          <w:sz w:val="21"/>
        </w:rPr>
        <w:t xml:space="preserve"> </w:t>
      </w:r>
      <w:r>
        <w:rPr>
          <w:rFonts w:ascii="바탕" w:hAnsi="바탕" w:eastAsia="바탕" w:cs="바탕"/>
          <w:b/>
          <w:bCs/>
          <w:sz w:val="21"/>
        </w:rPr>
        <w:t xml:space="preserve">검색 데이터베이스</w:t>
      </w:r>
      <w:r>
        <w:rPr>
          <w:rFonts w:ascii="바탕" w:hAnsi="바탕" w:eastAsia="바탕" w:cs="바탕"/>
          <w:sz w:val="21"/>
        </w:rPr>
        <w:t xml:space="preserve">로는 국외의 PubMed·PsycINFO·Google Scholar와 국내의 KCI·RISS를 활용하였다.</w:t>
      </w:r>
      <w:r>
        <w:rPr>
          <w:rFonts w:ascii="바탕" w:hAnsi="바탕" w:eastAsia="바탕" w:cs="바탕"/>
          <w:sz w:val="21"/>
        </w:rPr>
        <w:t xml:space="preserve"> </w:t>
      </w:r>
      <w:r>
        <w:rPr>
          <w:rFonts w:ascii="바탕" w:hAnsi="바탕" w:eastAsia="바탕" w:cs="바탕"/>
          <w:b/>
          <w:bCs/>
          <w:sz w:val="21"/>
        </w:rPr>
        <w:t xml:space="preserve">검색어</w:t>
      </w:r>
      <w:r>
        <w:rPr>
          <w:rFonts w:ascii="바탕" w:hAnsi="바탕" w:eastAsia="바탕" w:cs="바탕"/>
          <w:sz w:val="21"/>
        </w:rPr>
        <w:t xml:space="preserve">는 '트라우마/trauma', 'PTSD', '노출치료/exposure therapy', '재외상화/retraumatization', '생성형 AI/generative AI', '텍스트-투-비디오/text-to-video', '디지털 정신건강 윤리/digital mental health ethics' 등을 조합하였다.</w:t>
      </w:r>
      <w:r>
        <w:rPr>
          <w:rFonts w:ascii="바탕" w:hAnsi="바탕" w:eastAsia="바탕" w:cs="바탕"/>
          <w:sz w:val="21"/>
        </w:rPr>
        <w:t xml:space="preserve"> </w:t>
      </w:r>
      <w:r>
        <w:rPr>
          <w:rFonts w:ascii="바탕" w:hAnsi="바탕" w:eastAsia="바탕" w:cs="바탕"/>
          <w:b/>
          <w:bCs/>
          <w:sz w:val="21"/>
        </w:rPr>
        <w:t xml:space="preserve">선정 기준</w:t>
      </w:r>
      <w:r>
        <w:rPr>
          <w:rFonts w:ascii="바탕" w:hAnsi="바탕" w:eastAsia="바탕" w:cs="바탕"/>
          <w:sz w:val="21"/>
        </w:rPr>
        <w:t xml:space="preserve">은 (1) 외상 치료의 이론·기제·근거를 다룬 문헌, (2) 디지털·생성형 AI 정신건강 개입의 효과·위험·윤리를 다룬 문헌, (3) 보건의료 AI 거버넌스·알고리즘 편향을 다룬 권위 있는 자료로 하였다. 이론적 정박을 위해 해당 분야의</w:t>
      </w:r>
      <w:r>
        <w:rPr>
          <w:rFonts w:ascii="바탕" w:hAnsi="바탕" w:eastAsia="바탕" w:cs="바탕"/>
          <w:sz w:val="21"/>
        </w:rPr>
        <w:t xml:space="preserve"> </w:t>
      </w:r>
      <w:r>
        <w:rPr>
          <w:rFonts w:ascii="바탕" w:hAnsi="바탕" w:eastAsia="바탕" w:cs="바탕"/>
          <w:b/>
          <w:bCs/>
          <w:sz w:val="21"/>
        </w:rPr>
        <w:t xml:space="preserve">고전·1차 문헌</w:t>
      </w:r>
      <w:r>
        <w:rPr>
          <w:rFonts w:ascii="바탕" w:hAnsi="바탕" w:eastAsia="바탕" w:cs="바탕"/>
          <w:sz w:val="21"/>
        </w:rPr>
        <w:t xml:space="preserve">(seminal works)을 우선 포함하였으며, 신생 기술 영역의 시의성을 확보하기 위해 최근 5년 내 문헌을 함께 포함하였다.</w:t>
      </w:r>
    </w:p>
    <w:bookmarkEnd w:id="18"/>
    <w:bookmarkStart w:id="19" w:name="X40b976e0f9d65217cf77ecd3a36c1e1e7a38035"/>
    <w:p>
      <w:pPr>
        <w:pStyle w:val="Heading3"/>
        <w:spacing w:lineRule="auto" w:line="384" w:before="240" w:after="120"/>
        <w:jc w:val="left"/>
      </w:pPr>
      <w:r>
        <w:rPr>
          <w:rFonts w:ascii="돋움" w:hAnsi="돋움" w:eastAsia="돋움" w:cs="돋움"/>
          <w:b/>
        </w:rPr>
        <w:t xml:space="preserve">3. 분석틀</w:t>
      </w:r>
    </w:p>
    <w:p>
      <w:pPr>
        <w:pStyle w:val="FirstParagraph"/>
        <w:spacing w:lineRule="auto" w:line="384"/>
        <w:jc w:val="both"/>
      </w:pPr>
      <w:r>
        <w:rPr>
          <w:rFonts w:ascii="바탕" w:hAnsi="바탕" w:eastAsia="바탕" w:cs="바탕"/>
          <w:sz w:val="21"/>
        </w:rPr>
        <w:t xml:space="preserve">본 연구는 외상 치료의 핵심 이론 다섯 가지—① 정서처리이론(Foa &amp; Kozak, 1986), ② 회복의 단계 모델(Herman, 1992), ③ 작업동맹 이론(Bordin, 1979), ④ 외상 기억의 신경생물학(van der Kolk, 2014; 유정, 2015), ⑤ 트라우마 정보 기반 치료(SAMHSA, 2014)—을 통합하여 분석 렌즈를 구성하였다. 임상적 쟁점은 이 다섯 렌즈에 비추어 도출하고, 윤리적 쟁점은 보건의료 AI 윤리의 국제 규범(World Health Organization, 2021)과 정신건강 AI 윤리 논의(American Psychological Association, 2025)에 정박하여 분석하였다.</w:t>
      </w:r>
    </w:p>
    <w:p>
      <w:pPr>
        <w:spacing w:lineRule="auto" w:line="384"/>
        <w:jc w:val="both"/>
      </w:pPr>
      <w:r>
        <w:rPr>
          <w:rFonts w:ascii="바탕" w:hAnsi="바탕" w:eastAsia="바탕" w:cs="바탕"/>
          <w:sz w:val="21"/>
        </w:rPr>
        <w:pict>
          <v:rect style="width:0;height:1.5pt" o:hralign="center" o:hrstd="t" o:hr="t"/>
        </w:pict>
      </w:r>
    </w:p>
    <w:bookmarkEnd w:id="19"/>
    <w:bookmarkEnd w:id="20"/>
    <w:bookmarkStart w:id="27" w:name="X316b7b16d2637209230a83168571f18fee16733"/>
    <w:p>
      <w:pPr>
        <w:pStyle w:val="Heading2"/>
        <w:spacing w:lineRule="auto" w:line="384" w:before="240" w:after="120"/>
        <w:jc w:val="left"/>
      </w:pPr>
      <w:r>
        <w:rPr>
          <w:rFonts w:ascii="돋움" w:hAnsi="돋움" w:eastAsia="돋움" w:cs="돋움"/>
          <w:b/>
        </w:rPr>
        <w:t xml:space="preserve">Ⅲ. 이론적 배경</w:t>
      </w:r>
    </w:p>
    <w:bookmarkStart w:id="21" w:name="Xf5a1a66a9e5714cc53e992cb3968a8356e9f69a"/>
    <w:p>
      <w:pPr>
        <w:pStyle w:val="Heading3"/>
        <w:spacing w:lineRule="auto" w:line="384" w:before="240" w:after="120"/>
        <w:jc w:val="left"/>
      </w:pPr>
      <w:r>
        <w:rPr>
          <w:rFonts w:ascii="돋움" w:hAnsi="돋움" w:eastAsia="돋움" w:cs="돋움"/>
          <w:b/>
        </w:rPr>
        <w:t xml:space="preserve">1. 외상 기억의 신경생물학</w:t>
      </w:r>
    </w:p>
    <w:p>
      <w:pPr>
        <w:pStyle w:val="FirstParagraph"/>
        <w:spacing w:lineRule="auto" w:line="384"/>
        <w:jc w:val="both"/>
      </w:pPr>
      <w:r>
        <w:rPr>
          <w:rFonts w:ascii="바탕" w:hAnsi="바탕" w:eastAsia="바탕" w:cs="바탕"/>
          <w:sz w:val="21"/>
        </w:rPr>
        <w:t xml:space="preserve">외상 치료의 모든 절차는 외상 기억이 '보통의 기억과 다르게 작동한다'는 인식에서 출발한다. van der Kolk(2014)에 따르면, 압도적 위협 상황에서 정서·생존을 담당하는 변연계(특히 편도체)가 과활성화되는 반면, 경험을 시간·맥락 속에 통합하고 언어화하는 해마와 전두엽의 기능은 저하된다. 그 결과 외상 기억은 일관된 서사로 부호화되지 못하고, 감각·이미지·신체감각의 파편으로 저장되어, 관련 단서에 노출될 때 '과거'가 아니라 '현재'의 위협으로 재경험된다. 유정(2015)도 외상의 정보처리가 일반 기억과 구별되는 뇌생리학적 기제를 가지며, 치료의 관건이 파편화된 외상 정보를 통합 가능한 내러티브로 전환하는 데 있음을 논한다. 이 관점은 영상이라는 강력한 감각 자극을 외상 치료에 사용할 때 왜 극도의 신중함이 요구되는지를 설명한다. 부적절한 시각 자극은 통합이 아니라 편도체의 재활성화를 촉발할 수 있기 때문이다.</w:t>
      </w:r>
    </w:p>
    <w:bookmarkEnd w:id="21"/>
    <w:bookmarkStart w:id="22" w:name="Xe8c33f1a46ab7f7b5dff3d9a1bf1f2380b2c9bf"/>
    <w:p>
      <w:pPr>
        <w:pStyle w:val="Heading3"/>
        <w:spacing w:lineRule="auto" w:line="384" w:before="240" w:after="120"/>
        <w:jc w:val="left"/>
      </w:pPr>
      <w:r>
        <w:rPr>
          <w:rFonts w:ascii="돋움" w:hAnsi="돋움" w:eastAsia="돋움" w:cs="돋움"/>
          <w:b/>
        </w:rPr>
        <w:t xml:space="preserve">2. 외상 치료의 기제: 정서처리이론과 노출</w:t>
      </w:r>
    </w:p>
    <w:p>
      <w:pPr>
        <w:pStyle w:val="FirstParagraph"/>
        <w:spacing w:lineRule="auto" w:line="384"/>
        <w:jc w:val="both"/>
      </w:pPr>
      <w:r>
        <w:rPr>
          <w:rFonts w:ascii="바탕" w:hAnsi="바탕" w:eastAsia="바탕" w:cs="바탕"/>
          <w:sz w:val="21"/>
        </w:rPr>
        <w:t xml:space="preserve">Foa와 Kozak(1986)의 정서처리이론은 외상 치료의 핵심 기제를 이론화한 고전이다. 이들은 공포가 자극·반응·의미에 관한 정보가 연결된 '공포 구조(fear structure)'로 기억에 표상된다고 보았다. 치료적 변화는 (1) 이 공포 구조가 충분히</w:t>
      </w:r>
      <w:r>
        <w:rPr>
          <w:rFonts w:ascii="바탕" w:hAnsi="바탕" w:eastAsia="바탕" w:cs="바탕"/>
          <w:sz w:val="21"/>
        </w:rPr>
        <w:t xml:space="preserve"> </w:t>
      </w:r>
      <w:r>
        <w:rPr>
          <w:rFonts w:ascii="바탕" w:hAnsi="바탕" w:eastAsia="바탕" w:cs="바탕"/>
          <w:b/>
          <w:bCs/>
          <w:sz w:val="21"/>
        </w:rPr>
        <w:t xml:space="preserve">활성화</w:t>
      </w:r>
      <w:r>
        <w:rPr>
          <w:rFonts w:ascii="바탕" w:hAnsi="바탕" w:eastAsia="바탕" w:cs="바탕"/>
          <w:sz w:val="21"/>
        </w:rPr>
        <w:t xml:space="preserve">되고, 동시에 (2) 기존의 공포 예측과 불일치하는 교정적 정보(corrective information)가 통합될 때 일어난다. 즉, 외상 단서에 노출되되 '지금 여기'는 안전하다는 교정 경험이 함께 부호화되어야 둔감화가 이루어진다. 이 이론은 두 가지 임계 조건을 시사한다. 활성화가 과도하면 압도와 재외상화로, 부족하면 변화 없음으로 귀결된다는 것이다. 노출의 강도·속도·맥락에 대한 정교한 조절이 치료의 성패를 가르는 이유가 여기에 있다.</w:t>
      </w:r>
    </w:p>
    <w:p>
      <w:pPr>
        <w:pStyle w:val="BodyText"/>
        <w:spacing w:lineRule="auto" w:line="384"/>
        <w:jc w:val="both"/>
      </w:pPr>
      <w:r>
        <w:rPr>
          <w:rFonts w:ascii="바탕" w:hAnsi="바탕" w:eastAsia="바탕" w:cs="바탕"/>
          <w:sz w:val="21"/>
        </w:rPr>
        <w:t xml:space="preserve">이 원리는 다양한 근거기반 치료로 구현되었다. 내러티브 노출치료(NET)는 외상 기억을 일관된 자전적 서사로 재구성하여, 환자가 외상 자극에 압도되지 않고 현재의 안전을 재평가하도록 돕는다(Adenauer et al., 2011). 가상현실 노출치료(VRET)는 외상 장면을 통제된 가상 환경에서 재현하여 현실에서 어려운 노출을 가능하게 하며, 메타분석은 VRET가 대기자 통제집단보다 우수하고 기존 치료와 대등한 효과를 보이며 중도탈락을 일부 완화함을 보고하였다(Kothgassner et al., 2019). 다만 VRET의 효과는 임상가가 노출을 설계·통제한다는 전제 위에서 성립한다는 점에 유의해야 한다.</w:t>
      </w:r>
    </w:p>
    <w:bookmarkEnd w:id="22"/>
    <w:bookmarkStart w:id="23" w:name="X1ba31e2093ca5dbc726d794751c92af8f3f5ec0"/>
    <w:p>
      <w:pPr>
        <w:pStyle w:val="Heading3"/>
        <w:spacing w:lineRule="auto" w:line="384" w:before="240" w:after="120"/>
        <w:jc w:val="left"/>
      </w:pPr>
      <w:r>
        <w:rPr>
          <w:rFonts w:ascii="돋움" w:hAnsi="돋움" w:eastAsia="돋움" w:cs="돋움"/>
          <w:b/>
        </w:rPr>
        <w:t xml:space="preserve">3. 회복의 단계 모델</w:t>
      </w:r>
    </w:p>
    <w:p>
      <w:pPr>
        <w:pStyle w:val="FirstParagraph"/>
        <w:spacing w:lineRule="auto" w:line="384"/>
        <w:jc w:val="both"/>
      </w:pPr>
      <w:r>
        <w:rPr>
          <w:rFonts w:ascii="바탕" w:hAnsi="바탕" w:eastAsia="바탕" w:cs="바탕"/>
          <w:sz w:val="21"/>
        </w:rPr>
        <w:t xml:space="preserve">Herman(1992)은 외상으로부터의 회복이 세 단계—① 안전의 확립(safety), ② 기억과 애도(remembrance and mourning), ③ 재연결(reconnection)—를 거친다고 보았다. 특히 첫 단계인 안전과 안정화의 확립은 이후 모든 작업의 전제 조건이다. 정서 조절 능력과 안전감이 확보되지 않은 상태에서 외상 기억을 다루면, 치료가 아니라 압도와 악화를 초래한다. 이 단계 모델은 외상 치료에서 '무엇을 하느냐'만큼 '언제·어떤 순서로 하느냐'가 결정적임을 보여준다.</w:t>
      </w:r>
    </w:p>
    <w:bookmarkEnd w:id="23"/>
    <w:bookmarkStart w:id="24" w:name="X9f78dfd800cb1480ef0139673c8f3bead23258a"/>
    <w:p>
      <w:pPr>
        <w:pStyle w:val="Heading3"/>
        <w:spacing w:lineRule="auto" w:line="384" w:before="240" w:after="120"/>
        <w:jc w:val="left"/>
      </w:pPr>
      <w:r>
        <w:rPr>
          <w:rFonts w:ascii="돋움" w:hAnsi="돋움" w:eastAsia="돋움" w:cs="돋움"/>
          <w:b/>
        </w:rPr>
        <w:t xml:space="preserve">4. 치료적 동맹</w:t>
      </w:r>
    </w:p>
    <w:p>
      <w:pPr>
        <w:pStyle w:val="FirstParagraph"/>
        <w:spacing w:lineRule="auto" w:line="384"/>
        <w:jc w:val="both"/>
      </w:pPr>
      <w:r>
        <w:rPr>
          <w:rFonts w:ascii="바탕" w:hAnsi="바탕" w:eastAsia="바탕" w:cs="바탕"/>
          <w:sz w:val="21"/>
        </w:rPr>
        <w:t xml:space="preserve">심리치료 성과를 설명하는 공통요인 연구는 기법의 종류보다 치료적 관계가 성과를 더 잘 예측함을 일관되게 보고해 왔다(Cuijpers et al., 2019). Bordin(1979)은 이 관계를 목표(goals)·과제(tasks)·유대(bonds)로 구성된 작업동맹으로 개념화하고, 변화의 핵심이 동맹의</w:t>
      </w:r>
      <w:r>
        <w:rPr>
          <w:rFonts w:ascii="바탕" w:hAnsi="바탕" w:eastAsia="바탕" w:cs="바탕"/>
          <w:sz w:val="21"/>
        </w:rPr>
        <w:t xml:space="preserve"> </w:t>
      </w:r>
      <w:r>
        <w:rPr>
          <w:rFonts w:ascii="바탕" w:hAnsi="바탕" w:eastAsia="바탕" w:cs="바탕"/>
          <w:i/>
          <w:iCs/>
          <w:sz w:val="21"/>
        </w:rPr>
        <w:t xml:space="preserve">강도</w:t>
      </w:r>
      <w:r>
        <w:rPr>
          <w:rFonts w:ascii="바탕" w:hAnsi="바탕" w:eastAsia="바탕" w:cs="바탕"/>
          <w:sz w:val="21"/>
        </w:rPr>
        <w:t xml:space="preserve">에 있다고 보았다. 다수 연구를 종합한 메타분석 역시 동맹이 치료 지향과 무관하게 성과를 예측하는 강건한 변인임을 확인하였다(Flückiger et al., 2018). 외상 치료에서 이 관계는 더욱 결정적이다. 외상은 흔히 관계 속에서 발생하므로, 안전하고 신뢰할 수 있는 관계 자체가 교정적 경험이자 회복의 매개가 된다. 영상치료에서도 영상의 효과는 치료자와의 대화·해석이라는 관계적 토대 위에서 발현된다(Sacilotto et al., 2022).</w:t>
      </w:r>
    </w:p>
    <w:bookmarkEnd w:id="24"/>
    <w:bookmarkStart w:id="25" w:name="X67f0554ba25d7c67266a903f56dcf0b3004eb74"/>
    <w:p>
      <w:pPr>
        <w:pStyle w:val="Heading3"/>
        <w:spacing w:lineRule="auto" w:line="384" w:before="240" w:after="120"/>
        <w:jc w:val="left"/>
      </w:pPr>
      <w:r>
        <w:rPr>
          <w:rFonts w:ascii="돋움" w:hAnsi="돋움" w:eastAsia="돋움" w:cs="돋움"/>
          <w:b/>
        </w:rPr>
        <w:t xml:space="preserve">5. 트라우마 정보 기반 치료</w:t>
      </w:r>
    </w:p>
    <w:p>
      <w:pPr>
        <w:pStyle w:val="FirstParagraph"/>
        <w:spacing w:lineRule="auto" w:line="384"/>
        <w:jc w:val="both"/>
      </w:pPr>
      <w:r>
        <w:rPr>
          <w:rFonts w:ascii="바탕" w:hAnsi="바탕" w:eastAsia="바탕" w:cs="바탕"/>
          <w:sz w:val="21"/>
        </w:rPr>
        <w:t xml:space="preserve">SAMHSA(2014)는 위의 임상 지혜를 여섯 가지 트라우마 정보 기반 원칙—안전(safety), 신뢰성과 투명성(trustworthiness and transparency), 동료 지지(peer support), 협력과 상호성(collaboration and mutuality), 역량강화·목소리·선택(empowerment, voice, and choice), 문화·역사·성 인지(cultural, historical, and gender issues)—으로 정식화하였다. 이 원칙들은 개별 기법을 넘어, 외상 생존자를 다루는 모든 서비스가 갖추어야 할 토대를 규정한다. 본 연구는 이를 AI 영상치유의 설계·운영을 평가하는 규범적 준거로 활용한다.</w:t>
      </w:r>
    </w:p>
    <w:bookmarkEnd w:id="25"/>
    <w:bookmarkStart w:id="26" w:name="Xf3243204d8dc1ac6c25cfdaa5eafc268da66ad3"/>
    <w:p>
      <w:pPr>
        <w:pStyle w:val="Heading3"/>
        <w:spacing w:lineRule="auto" w:line="384" w:before="240" w:after="120"/>
        <w:jc w:val="left"/>
      </w:pPr>
      <w:r>
        <w:rPr>
          <w:rFonts w:ascii="돋움" w:hAnsi="돋움" w:eastAsia="돋움" w:cs="돋움"/>
          <w:b/>
        </w:rPr>
        <w:t xml:space="preserve">6. 생성형 AI 영상 기술과 그 한계</w:t>
      </w:r>
    </w:p>
    <w:p>
      <w:pPr>
        <w:pStyle w:val="FirstParagraph"/>
        <w:spacing w:lineRule="auto" w:line="384"/>
        <w:jc w:val="both"/>
      </w:pPr>
      <w:r>
        <w:rPr>
          <w:rFonts w:ascii="바탕" w:hAnsi="바탕" w:eastAsia="바탕" w:cs="바탕"/>
          <w:sz w:val="21"/>
        </w:rPr>
        <w:t xml:space="preserve">AI 영상치유의 기술적 기반은 디퓨전 트랜스포머(diffusion transformer) 계열의 텍스트-투-비디오 모델로, 자연어 프롬프트로부터 고해상도 영상을 생성한다(Sun et al., 2024; Liu et al., 2024). 그러나 이 기술은 본질적 한계를 지닌다. 생성 결과는 학습 데이터의 통계적 패턴에 기반하므로 의도와 다른 산출(이른바 환각)·세부 통제의 불완전성·학습 데이터 편향을 내포하며, '왜 그런 영상을 생성했는가'에 대한 설명가능성이 낮다. 이러한 기술적 특성은 정밀한 통제와 안전이 생명인 외상 치료의 요구와 근본적으로 긴장 관계에 있다.</w:t>
      </w:r>
    </w:p>
    <w:p>
      <w:pPr>
        <w:spacing w:lineRule="auto" w:line="384"/>
        <w:jc w:val="both"/>
      </w:pPr>
      <w:r>
        <w:rPr>
          <w:rFonts w:ascii="바탕" w:hAnsi="바탕" w:eastAsia="바탕" w:cs="바탕"/>
          <w:sz w:val="21"/>
        </w:rPr>
        <w:pict>
          <v:rect style="width:0;height:1.5pt" o:hralign="center" o:hrstd="t" o:hr="t"/>
        </w:pict>
      </w:r>
    </w:p>
    <w:bookmarkEnd w:id="26"/>
    <w:bookmarkEnd w:id="27"/>
    <w:bookmarkStart w:id="28" w:name="Xe5e2ea4ced56fd57badc8f221b5f18a64ef6e1e"/>
    <w:p>
      <w:pPr>
        <w:pStyle w:val="Heading2"/>
        <w:spacing w:lineRule="auto" w:line="384" w:before="240" w:after="120"/>
        <w:jc w:val="left"/>
      </w:pPr>
      <w:r>
        <w:rPr>
          <w:rFonts w:ascii="돋움" w:hAnsi="돋움" w:eastAsia="돋움" w:cs="돋움"/>
          <w:b/>
        </w:rPr>
        <w:t xml:space="preserve">Ⅳ. 분석틀: AI 영상치유 평가를 위한 통합 렌즈</w:t>
      </w:r>
    </w:p>
    <w:p>
      <w:pPr>
        <w:pStyle w:val="FirstParagraph"/>
        <w:spacing w:lineRule="auto" w:line="384"/>
        <w:jc w:val="both"/>
      </w:pPr>
      <w:r>
        <w:rPr>
          <w:rFonts w:ascii="바탕" w:hAnsi="바탕" w:eastAsia="바탕" w:cs="바탕"/>
          <w:sz w:val="21"/>
        </w:rPr>
        <w:t xml:space="preserve">앞의 이론들을 종합하면, 트라우마 영역에서 AI 영상치유를 평가하기 위한 통합 분석틀을 〈표 1〉과 같이 구성할 수 있다. 각 이론은 AI 영상치유가 충족해야 할 임상적 요건과, 그 요건이 위협받을 때 발생하는 위험을 식별하는 렌즈로 기능한다.</w:t>
      </w:r>
    </w:p>
    <w:p>
      <w:pPr>
        <w:pStyle w:val="BodyText"/>
        <w:spacing w:lineRule="auto" w:line="384"/>
        <w:jc w:val="both"/>
      </w:pPr>
      <w:r>
        <w:rPr>
          <w:rFonts w:ascii="바탕" w:hAnsi="바탕" w:eastAsia="바탕" w:cs="바탕"/>
          <w:b/>
          <w:bCs/>
          <w:sz w:val="21"/>
        </w:rPr>
        <w:t xml:space="preserve">〈표 1〉 외상 치료 이론에 기반한 AI 영상치유 평가 분석틀</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spacing w:line="312" w:lineRule="auto"/>
            </w:pPr>
            <w:r>
              <w:rPr>
                <w:rFonts w:ascii="바탕" w:hAnsi="바탕" w:eastAsia="바탕" w:cs="바탕"/>
                <w:sz w:val="20"/>
              </w:rPr>
              <w:t xml:space="preserve">이론적 렌즈</w:t>
            </w:r>
          </w:p>
        </w:tc>
        <w:tc>
          <w:tcPr/>
          <w:p>
            <w:pPr>
              <w:pStyle w:val="Compact"/>
              <w:spacing w:line="312" w:lineRule="auto"/>
            </w:pPr>
            <w:r>
              <w:rPr>
                <w:rFonts w:ascii="바탕" w:hAnsi="바탕" w:eastAsia="바탕" w:cs="바탕"/>
                <w:sz w:val="20"/>
              </w:rPr>
              <w:t xml:space="preserve">핵심 요건</w:t>
            </w:r>
          </w:p>
        </w:tc>
        <w:tc>
          <w:tcPr/>
          <w:p>
            <w:pPr>
              <w:pStyle w:val="Compact"/>
              <w:spacing w:line="312" w:lineRule="auto"/>
            </w:pPr>
            <w:r>
              <w:rPr>
                <w:rFonts w:ascii="바탕" w:hAnsi="바탕" w:eastAsia="바탕" w:cs="바탕"/>
                <w:sz w:val="20"/>
              </w:rPr>
              <w:t xml:space="preserve">위협받을 때의 위험</w:t>
            </w:r>
          </w:p>
        </w:tc>
      </w:tr>
      <w:tr>
        <w:tc>
          <w:tcPr/>
          <w:p>
            <w:pPr>
              <w:pStyle w:val="Compact"/>
              <w:spacing w:line="312" w:lineRule="auto"/>
            </w:pPr>
            <w:r>
              <w:rPr>
                <w:rFonts w:ascii="바탕" w:hAnsi="바탕" w:eastAsia="바탕" w:cs="바탕"/>
                <w:sz w:val="20"/>
              </w:rPr>
              <w:t xml:space="preserve">정서처리이론(Foa &amp; Kozak, 1986)</w:t>
            </w:r>
          </w:p>
        </w:tc>
        <w:tc>
          <w:tcPr/>
          <w:p>
            <w:pPr>
              <w:pStyle w:val="Compact"/>
              <w:spacing w:line="312" w:lineRule="auto"/>
            </w:pPr>
            <w:r>
              <w:rPr>
                <w:rFonts w:ascii="바탕" w:hAnsi="바탕" w:eastAsia="바탕" w:cs="바탕"/>
                <w:sz w:val="20"/>
              </w:rPr>
              <w:t xml:space="preserve">활성화와 교정적 정보의 균형, 노출 강도의 정밀 조절</w:t>
            </w:r>
          </w:p>
        </w:tc>
        <w:tc>
          <w:tcPr/>
          <w:p>
            <w:pPr>
              <w:pStyle w:val="Compact"/>
              <w:spacing w:line="312" w:lineRule="auto"/>
            </w:pPr>
            <w:r>
              <w:rPr>
                <w:rFonts w:ascii="바탕" w:hAnsi="바탕" w:eastAsia="바탕" w:cs="바탕"/>
                <w:sz w:val="20"/>
              </w:rPr>
              <w:t xml:space="preserve">과활성화 → 재외상화</w:t>
            </w:r>
          </w:p>
        </w:tc>
      </w:tr>
      <w:tr>
        <w:tc>
          <w:tcPr/>
          <w:p>
            <w:pPr>
              <w:pStyle w:val="Compact"/>
              <w:spacing w:line="312" w:lineRule="auto"/>
            </w:pPr>
            <w:r>
              <w:rPr>
                <w:rFonts w:ascii="바탕" w:hAnsi="바탕" w:eastAsia="바탕" w:cs="바탕"/>
                <w:sz w:val="20"/>
              </w:rPr>
              <w:t xml:space="preserve">회복의 단계 모델(Herman, 1992)</w:t>
            </w:r>
          </w:p>
        </w:tc>
        <w:tc>
          <w:tcPr/>
          <w:p>
            <w:pPr>
              <w:pStyle w:val="Compact"/>
              <w:spacing w:line="312" w:lineRule="auto"/>
            </w:pPr>
            <w:r>
              <w:rPr>
                <w:rFonts w:ascii="바탕" w:hAnsi="바탕" w:eastAsia="바탕" w:cs="바탕"/>
                <w:sz w:val="20"/>
              </w:rPr>
              <w:t xml:space="preserve">안정화의 선행, 단계적 진행</w:t>
            </w:r>
          </w:p>
        </w:tc>
        <w:tc>
          <w:tcPr/>
          <w:p>
            <w:pPr>
              <w:pStyle w:val="Compact"/>
              <w:spacing w:line="312" w:lineRule="auto"/>
            </w:pPr>
            <w:r>
              <w:rPr>
                <w:rFonts w:ascii="바탕" w:hAnsi="바탕" w:eastAsia="바탕" w:cs="바탕"/>
                <w:sz w:val="20"/>
              </w:rPr>
              <w:t xml:space="preserve">안정화 생략 → 압도·악화</w:t>
            </w:r>
          </w:p>
        </w:tc>
      </w:tr>
      <w:tr>
        <w:tc>
          <w:tcPr/>
          <w:p>
            <w:pPr>
              <w:pStyle w:val="Compact"/>
              <w:spacing w:line="312" w:lineRule="auto"/>
            </w:pPr>
            <w:r>
              <w:rPr>
                <w:rFonts w:ascii="바탕" w:hAnsi="바탕" w:eastAsia="바탕" w:cs="바탕"/>
                <w:sz w:val="20"/>
              </w:rPr>
              <w:t xml:space="preserve">작업동맹(Bordin, 1979)</w:t>
            </w:r>
          </w:p>
        </w:tc>
        <w:tc>
          <w:tcPr/>
          <w:p>
            <w:pPr>
              <w:pStyle w:val="Compact"/>
              <w:spacing w:line="312" w:lineRule="auto"/>
            </w:pPr>
            <w:r>
              <w:rPr>
                <w:rFonts w:ascii="바탕" w:hAnsi="바탕" w:eastAsia="바탕" w:cs="바탕"/>
                <w:sz w:val="20"/>
              </w:rPr>
              <w:t xml:space="preserve">안전한 관계적 담아내기</w:t>
            </w:r>
          </w:p>
        </w:tc>
        <w:tc>
          <w:tcPr/>
          <w:p>
            <w:pPr>
              <w:pStyle w:val="Compact"/>
              <w:spacing w:line="312" w:lineRule="auto"/>
            </w:pPr>
            <w:r>
              <w:rPr>
                <w:rFonts w:ascii="바탕" w:hAnsi="바탕" w:eastAsia="바탕" w:cs="바탕"/>
                <w:sz w:val="20"/>
              </w:rPr>
              <w:t xml:space="preserve">관계 부재 → 교정 경험 상실</w:t>
            </w:r>
          </w:p>
        </w:tc>
      </w:tr>
      <w:tr>
        <w:tc>
          <w:tcPr/>
          <w:p>
            <w:pPr>
              <w:pStyle w:val="Compact"/>
              <w:spacing w:line="312" w:lineRule="auto"/>
            </w:pPr>
            <w:r>
              <w:rPr>
                <w:rFonts w:ascii="바탕" w:hAnsi="바탕" w:eastAsia="바탕" w:cs="바탕"/>
                <w:sz w:val="20"/>
              </w:rPr>
              <w:t xml:space="preserve">외상 기억 신경생물학(van der Kolk, 2014)</w:t>
            </w:r>
          </w:p>
        </w:tc>
        <w:tc>
          <w:tcPr/>
          <w:p>
            <w:pPr>
              <w:pStyle w:val="Compact"/>
              <w:spacing w:line="312" w:lineRule="auto"/>
            </w:pPr>
            <w:r>
              <w:rPr>
                <w:rFonts w:ascii="바탕" w:hAnsi="바탕" w:eastAsia="바탕" w:cs="바탕"/>
                <w:sz w:val="20"/>
              </w:rPr>
              <w:t xml:space="preserve">통합 가능한 형태의 자극 제공</w:t>
            </w:r>
          </w:p>
        </w:tc>
        <w:tc>
          <w:tcPr/>
          <w:p>
            <w:pPr>
              <w:pStyle w:val="Compact"/>
              <w:spacing w:line="312" w:lineRule="auto"/>
            </w:pPr>
            <w:r>
              <w:rPr>
                <w:rFonts w:ascii="바탕" w:hAnsi="바탕" w:eastAsia="바탕" w:cs="바탕"/>
                <w:sz w:val="20"/>
              </w:rPr>
              <w:t xml:space="preserve">파편적 재활성화 → 침습</w:t>
            </w:r>
          </w:p>
        </w:tc>
      </w:tr>
      <w:tr>
        <w:tc>
          <w:tcPr/>
          <w:p>
            <w:pPr>
              <w:pStyle w:val="Compact"/>
              <w:spacing w:line="312" w:lineRule="auto"/>
            </w:pPr>
            <w:r>
              <w:rPr>
                <w:rFonts w:ascii="바탕" w:hAnsi="바탕" w:eastAsia="바탕" w:cs="바탕"/>
                <w:sz w:val="20"/>
              </w:rPr>
              <w:t xml:space="preserve">트라우마 정보 기반 치료(SAMHSA, 2014)</w:t>
            </w:r>
          </w:p>
        </w:tc>
        <w:tc>
          <w:tcPr/>
          <w:p>
            <w:pPr>
              <w:pStyle w:val="Compact"/>
              <w:spacing w:line="312" w:lineRule="auto"/>
            </w:pPr>
            <w:r>
              <w:rPr>
                <w:rFonts w:ascii="바탕" w:hAnsi="바탕" w:eastAsia="바탕" w:cs="바탕"/>
                <w:sz w:val="20"/>
              </w:rPr>
              <w:t xml:space="preserve">안전·신뢰·선택·문화 인지</w:t>
            </w:r>
          </w:p>
        </w:tc>
        <w:tc>
          <w:tcPr/>
          <w:p>
            <w:pPr>
              <w:pStyle w:val="Compact"/>
              <w:spacing w:line="312" w:lineRule="auto"/>
            </w:pPr>
            <w:r>
              <w:rPr>
                <w:rFonts w:ascii="바탕" w:hAnsi="바탕" w:eastAsia="바탕" w:cs="바탕"/>
                <w:sz w:val="20"/>
              </w:rPr>
              <w:t xml:space="preserve">원칙 위반 → 2차 가해</w:t>
            </w:r>
          </w:p>
        </w:tc>
      </w:tr>
    </w:tbl>
    <w:p>
      <w:pPr>
        <w:pStyle w:val="BodyText"/>
        <w:spacing w:lineRule="auto" w:line="384"/>
        <w:jc w:val="both"/>
      </w:pPr>
      <w:r>
        <w:rPr>
          <w:rFonts w:ascii="바탕" w:hAnsi="바탕" w:eastAsia="바탕" w:cs="바탕"/>
          <w:sz w:val="21"/>
        </w:rPr>
        <w:t xml:space="preserve">이 분석틀은 다음 두 장(Ⅴ·Ⅵ)에서 임상적·윤리적 쟁점을 도출하는 준거가 된다.</w:t>
      </w:r>
    </w:p>
    <w:p>
      <w:pPr>
        <w:spacing w:lineRule="auto" w:line="384"/>
        <w:jc w:val="both"/>
      </w:pPr>
      <w:r>
        <w:rPr>
          <w:rFonts w:ascii="바탕" w:hAnsi="바탕" w:eastAsia="바탕" w:cs="바탕"/>
          <w:sz w:val="21"/>
        </w:rPr>
        <w:pict>
          <v:rect style="width:0;height:1.5pt" o:hralign="center" o:hrstd="t" o:hr="t"/>
        </w:pict>
      </w:r>
    </w:p>
    <w:bookmarkEnd w:id="28"/>
    <w:bookmarkStart w:id="34" w:name="Xb15e6797803da90f84d7cf838c60866984f91e7"/>
    <w:p>
      <w:pPr>
        <w:pStyle w:val="Heading2"/>
        <w:spacing w:lineRule="auto" w:line="384" w:before="240" w:after="120"/>
        <w:jc w:val="left"/>
      </w:pPr>
      <w:r>
        <w:rPr>
          <w:rFonts w:ascii="돋움" w:hAnsi="돋움" w:eastAsia="돋움" w:cs="돋움"/>
          <w:b/>
        </w:rPr>
        <w:t xml:space="preserve">Ⅴ. 임상적 쟁점</w:t>
      </w:r>
    </w:p>
    <w:bookmarkStart w:id="29" w:name="Xb836b7c0cbd14abe2bdcefcec93a4f58c5eb0d0"/>
    <w:p>
      <w:pPr>
        <w:pStyle w:val="Heading3"/>
        <w:spacing w:lineRule="auto" w:line="384" w:before="240" w:after="120"/>
        <w:jc w:val="left"/>
      </w:pPr>
      <w:r>
        <w:rPr>
          <w:rFonts w:ascii="돋움" w:hAnsi="돋움" w:eastAsia="돋움" w:cs="돋움"/>
          <w:b/>
        </w:rPr>
        <w:t xml:space="preserve">1. 재외상화: 정서처리 통제의 실패</w:t>
      </w:r>
    </w:p>
    <w:p>
      <w:pPr>
        <w:pStyle w:val="FirstParagraph"/>
        <w:spacing w:lineRule="auto" w:line="384"/>
        <w:jc w:val="both"/>
      </w:pPr>
      <w:r>
        <w:rPr>
          <w:rFonts w:ascii="바탕" w:hAnsi="바탕" w:eastAsia="바탕" w:cs="바탕"/>
          <w:sz w:val="21"/>
        </w:rPr>
        <w:t xml:space="preserve">가장 중대한 임상적 위험이다. 정서처리이론에 따르면 둔감화는 공포 구조의 활성화와 교정적 정보의 통합이 균형을 이룰 때만 일어나며, 활성화가 과도하면 압도와 재외상화로 귀결된다(Foa &amp; Kozak, 1986). 임상 현장에서 치료자는 내담자의 반응을 실시간으로 관찰하며 노출 강도와 속도를 미세 조정하고, '지금 여기는 안전하다'는 교정 경험을 함께 제공한다(Adenauer et al., 2011). 그러나 AI가 생성한 외상 관련 영상은 (1) 노출 강도의 정밀 조절이 어렵고, (2) 교정적 정보의 통합을 보장하지 못하며, (3) 생성의 불완전성으로 의도치 않은 외상 단서를 포함할 수 있다. 그 결과는 둔감화가 아니라 편도체의 재활성화, 즉 재외상화일 수 있다. 신경생물학적으로도 통합되지 못한 시각 자극은 외상 기억의 파편적 재경험을 촉발한다(van der Kolk, 2014). 임상적 판단 없이 작동하는 자동화 시스템에서 이 위험은 구조적으로 증폭된다.</w:t>
      </w:r>
    </w:p>
    <w:bookmarkEnd w:id="29"/>
    <w:bookmarkStart w:id="30" w:name="Xfc8e26a4313918caa24ee286e86abaeb7152014"/>
    <w:p>
      <w:pPr>
        <w:pStyle w:val="Heading3"/>
        <w:spacing w:lineRule="auto" w:line="384" w:before="240" w:after="120"/>
        <w:jc w:val="left"/>
      </w:pPr>
      <w:r>
        <w:rPr>
          <w:rFonts w:ascii="돋움" w:hAnsi="돋움" w:eastAsia="돋움" w:cs="돋움"/>
          <w:b/>
        </w:rPr>
        <w:t xml:space="preserve">2. 안정화의 부재: 단계 위반</w:t>
      </w:r>
    </w:p>
    <w:p>
      <w:pPr>
        <w:pStyle w:val="FirstParagraph"/>
        <w:spacing w:lineRule="auto" w:line="384"/>
        <w:jc w:val="both"/>
      </w:pPr>
      <w:r>
        <w:rPr>
          <w:rFonts w:ascii="바탕" w:hAnsi="바탕" w:eastAsia="바탕" w:cs="바탕"/>
          <w:sz w:val="21"/>
        </w:rPr>
        <w:t xml:space="preserve">Herman(1992)의 모델에서 안전과 안정화는 모든 외상 작업의 전제이다. 그러나 사용자가 자율적으로 접근하는 AI 영상치유는 이 단계적 순서를 보장하기 어렵다. 정서 조절 자원이 확보되지 않은 사용자가 외상 단서를 담은 영상에 노출되면, 회복이 아니라 증상 악화로 이어질 수 있다. 더욱이 '안정화 심상'을 제공한다는 적용조차, 무엇이 안정화이고 언제 다음 단계로 나아가야 하는지에 대한 임상적 판단을 결여한 채 작동한다면 그 자체로 위험하다.</w:t>
      </w:r>
    </w:p>
    <w:bookmarkEnd w:id="30"/>
    <w:bookmarkStart w:id="31" w:name="X12910fc4d6b6813fda983f6ab440a9dd97fc3a1"/>
    <w:p>
      <w:pPr>
        <w:pStyle w:val="Heading3"/>
        <w:spacing w:lineRule="auto" w:line="384" w:before="240" w:after="120"/>
        <w:jc w:val="left"/>
      </w:pPr>
      <w:r>
        <w:rPr>
          <w:rFonts w:ascii="돋움" w:hAnsi="돋움" w:eastAsia="돋움" w:cs="돋움"/>
          <w:b/>
        </w:rPr>
        <w:t xml:space="preserve">3. 치료적 동맹의 부재: 관계적 담아내기의 상실</w:t>
      </w:r>
    </w:p>
    <w:p>
      <w:pPr>
        <w:pStyle w:val="FirstParagraph"/>
        <w:spacing w:lineRule="auto" w:line="384"/>
        <w:jc w:val="both"/>
      </w:pPr>
      <w:r>
        <w:rPr>
          <w:rFonts w:ascii="바탕" w:hAnsi="바탕" w:eastAsia="바탕" w:cs="바탕"/>
          <w:sz w:val="21"/>
        </w:rPr>
        <w:t xml:space="preserve">외상 회복의 핵심 매개인 안전한 관계(Bordin, 1979; Cuijpers et al., 2019)를 AI는 진정으로 제공하지 못한다. AI는 영상을</w:t>
      </w:r>
      <w:r>
        <w:rPr>
          <w:rFonts w:ascii="바탕" w:hAnsi="바탕" w:eastAsia="바탕" w:cs="바탕"/>
          <w:sz w:val="21"/>
        </w:rPr>
        <w:t xml:space="preserve"> </w:t>
      </w:r>
      <w:r>
        <w:rPr>
          <w:rFonts w:ascii="바탕" w:hAnsi="바탕" w:eastAsia="바탕" w:cs="바탕"/>
          <w:i/>
          <w:iCs/>
          <w:sz w:val="21"/>
        </w:rPr>
        <w:t xml:space="preserve">생성</w:t>
      </w:r>
      <w:r>
        <w:rPr>
          <w:rFonts w:ascii="바탕" w:hAnsi="바탕" w:eastAsia="바탕" w:cs="바탕"/>
          <w:sz w:val="21"/>
        </w:rPr>
        <w:t xml:space="preserve">할 수 있어도, 외상 경험을 안전하게 담아내고 함께 의미를 처리하는 관계적 그릇(holding)이 될 수 없다. 영상치료의 효과 또한 이 관계적 토대 위에서 발현된다(Sacilotto et al., 2022). 국내 상담사들도 챗봇의 기능적 유용성은 인정하면서 관계적·정서적 깊이의 한계를 지적한 바 있다(장규현, 서영석, 2022). 관계가 곧 치료인 외상 영역에서, 관계의 부재는 단순한 한계가 아니라 본질적 결함이다.</w:t>
      </w:r>
    </w:p>
    <w:bookmarkEnd w:id="31"/>
    <w:bookmarkStart w:id="32" w:name="X21820da04b76efe34ab1c2d0d17feca3b1029be"/>
    <w:p>
      <w:pPr>
        <w:pStyle w:val="Heading3"/>
        <w:spacing w:lineRule="auto" w:line="384" w:before="240" w:after="120"/>
        <w:jc w:val="left"/>
      </w:pPr>
      <w:r>
        <w:rPr>
          <w:rFonts w:ascii="돋움" w:hAnsi="돋움" w:eastAsia="돋움" w:cs="돋움"/>
          <w:b/>
        </w:rPr>
        <w:t xml:space="preserve">4. 통제권의 이전과 위기 대응의 취약성</w:t>
      </w:r>
    </w:p>
    <w:p>
      <w:pPr>
        <w:pStyle w:val="FirstParagraph"/>
        <w:spacing w:lineRule="auto" w:line="384"/>
        <w:jc w:val="both"/>
      </w:pPr>
      <w:r>
        <w:rPr>
          <w:rFonts w:ascii="바탕" w:hAnsi="바탕" w:eastAsia="바탕" w:cs="바탕"/>
          <w:sz w:val="21"/>
        </w:rPr>
        <w:t xml:space="preserve">VRET가 임상가의 통제 아래 수행되는 것과 달리(Kothgassner et al., 2019), AI 영상치유에서는 콘텐츠 생성과 노출 조절의 통제권이 알고리즘과 사용자에게 이전된다. 이는 외상 치료에서 가장 위험한 변화이다. 또한 트라우마 내담자는 해리·자해·자살 위험 등 급성 위기를 겪을 수 있는데, AI는 위기 신호의 미묘한 맥락을 판단하고 책임 있게 개입할 임상적 역량이 결여되어 있다(Parks et al., 2025). 위기 가능성이 높은 외상 영역에서 안전장치의 부재는 치명적일 수 있다.</w:t>
      </w:r>
    </w:p>
    <w:bookmarkEnd w:id="32"/>
    <w:bookmarkStart w:id="33" w:name="Xdcc06afde1c081ef2aa8b568b30c41233802d4a"/>
    <w:p>
      <w:pPr>
        <w:pStyle w:val="Heading3"/>
        <w:spacing w:lineRule="auto" w:line="384" w:before="240" w:after="120"/>
        <w:jc w:val="left"/>
      </w:pPr>
      <w:r>
        <w:rPr>
          <w:rFonts w:ascii="돋움" w:hAnsi="돋움" w:eastAsia="돋움" w:cs="돋움"/>
          <w:b/>
        </w:rPr>
        <w:t xml:space="preserve">5. 효과 근거의 부족</w:t>
      </w:r>
    </w:p>
    <w:p>
      <w:pPr>
        <w:pStyle w:val="FirstParagraph"/>
        <w:spacing w:lineRule="auto" w:line="384"/>
        <w:jc w:val="both"/>
      </w:pPr>
      <w:r>
        <w:rPr>
          <w:rFonts w:ascii="바탕" w:hAnsi="바탕" w:eastAsia="바탕" w:cs="바탕"/>
          <w:sz w:val="21"/>
        </w:rPr>
        <w:t xml:space="preserve">임상가가 설계·통제하는 기술 매개 노출(VRET)은 일정한 근거를 축적했으나(Kothgassner et al., 2019), 생성형 AI 영상을 트라우마에 적용한 통제된 실증연구는 사실상 부재하다. 생성형 AI의 치료적 적용은 유망한 결과를 보고하면서도 실제 현장 배치와 안전성 보증은 제한적이라는 평가가 지배적이며(Wang et al., 2025), 챗봇 기반 개입의 효과를 종합한 메타분석조차 효과크기의 이질성과 안전성 검증의 부족을 지적한다(Zhang et al., 2025). 위험이 큰 영역일수록 근거 없는 적용은 더욱 신중해야 한다.</w:t>
      </w:r>
    </w:p>
    <w:p>
      <w:pPr>
        <w:spacing w:lineRule="auto" w:line="384"/>
        <w:jc w:val="both"/>
      </w:pPr>
      <w:r>
        <w:rPr>
          <w:rFonts w:ascii="바탕" w:hAnsi="바탕" w:eastAsia="바탕" w:cs="바탕"/>
          <w:sz w:val="21"/>
        </w:rPr>
        <w:pict>
          <v:rect style="width:0;height:1.5pt" o:hralign="center" o:hrstd="t" o:hr="t"/>
        </w:pict>
      </w:r>
    </w:p>
    <w:bookmarkEnd w:id="33"/>
    <w:bookmarkEnd w:id="34"/>
    <w:bookmarkStart w:id="41" w:name="Xcf73da04bfbdbf5094adb069e7335242a5ab4df"/>
    <w:p>
      <w:pPr>
        <w:pStyle w:val="Heading2"/>
        <w:spacing w:lineRule="auto" w:line="384" w:before="240" w:after="120"/>
        <w:jc w:val="left"/>
      </w:pPr>
      <w:r>
        <w:rPr>
          <w:rFonts w:ascii="돋움" w:hAnsi="돋움" w:eastAsia="돋움" w:cs="돋움"/>
          <w:b/>
        </w:rPr>
        <w:t xml:space="preserve">Ⅵ. 윤리적 쟁점</w:t>
      </w:r>
    </w:p>
    <w:p>
      <w:pPr>
        <w:pStyle w:val="FirstParagraph"/>
        <w:spacing w:lineRule="auto" w:line="384"/>
        <w:jc w:val="both"/>
      </w:pPr>
      <w:r>
        <w:rPr>
          <w:rFonts w:ascii="바탕" w:hAnsi="바탕" w:eastAsia="바탕" w:cs="바탕"/>
          <w:sz w:val="21"/>
        </w:rPr>
        <w:t xml:space="preserve">본 장은 보건의료 AI 윤리의 국제 규범(World Health Organization, 2021)과 정신건강 AI 윤리 논의(American Psychological Association, 2025)에 정박하여, 트라우마 영역에 특화된 윤리적 쟁점을 분석한다.</w:t>
      </w:r>
    </w:p>
    <w:bookmarkStart w:id="35" w:name="X5493cf0e281aec8f5b0090decd4c393d07f4e57"/>
    <w:p>
      <w:pPr>
        <w:pStyle w:val="Heading3"/>
        <w:spacing w:lineRule="auto" w:line="384" w:before="240" w:after="120"/>
        <w:jc w:val="left"/>
      </w:pPr>
      <w:r>
        <w:rPr>
          <w:rFonts w:ascii="돋움" w:hAnsi="돋움" w:eastAsia="돋움" w:cs="돋움"/>
          <w:b/>
        </w:rPr>
        <w:t xml:space="preserve">1. 자율성과 충분한 동의</w:t>
      </w:r>
    </w:p>
    <w:p>
      <w:pPr>
        <w:pStyle w:val="FirstParagraph"/>
        <w:spacing w:lineRule="auto" w:line="384"/>
        <w:jc w:val="both"/>
      </w:pPr>
      <w:r>
        <w:rPr>
          <w:rFonts w:ascii="바탕" w:hAnsi="바탕" w:eastAsia="바탕" w:cs="바탕"/>
          <w:sz w:val="21"/>
        </w:rPr>
        <w:t xml:space="preserve">트라우마 내담자는 정서적으로 취약하고 판단이 위축된 상태일 수 있어, 자율적 의사결정과 충분한 설명에 근거한 동의(informed consent)가 특히 중요하다. AI 영상치유의 작동 원리·한계·재외상화 위험을 이해하지 못한 채 사용에 동의하는 것은 진정한 동의로 보기 어렵다. WHO(2021)는 인간의 자율성 보호를 보건의료 AI의 제1원칙으로 제시하며, 미국심리학회 역시 생성형 AI의 정신건강 활용에서 자율성·동의를 핵심 쟁점으로 든다(American Psychological Association, 2025).</w:t>
      </w:r>
    </w:p>
    <w:bookmarkEnd w:id="35"/>
    <w:bookmarkStart w:id="36" w:name="Xad31040cea399ef59759f79f828c642e8a4dc70"/>
    <w:p>
      <w:pPr>
        <w:pStyle w:val="Heading3"/>
        <w:spacing w:lineRule="auto" w:line="384" w:before="240" w:after="120"/>
        <w:jc w:val="left"/>
      </w:pPr>
      <w:r>
        <w:rPr>
          <w:rFonts w:ascii="돋움" w:hAnsi="돋움" w:eastAsia="돋움" w:cs="돋움"/>
          <w:b/>
        </w:rPr>
        <w:t xml:space="preserve">2. 무해성과 해악 방지</w:t>
      </w:r>
    </w:p>
    <w:p>
      <w:pPr>
        <w:pStyle w:val="FirstParagraph"/>
        <w:spacing w:lineRule="auto" w:line="384"/>
        <w:jc w:val="both"/>
      </w:pPr>
      <w:r>
        <w:rPr>
          <w:rFonts w:ascii="바탕" w:hAnsi="바탕" w:eastAsia="바탕" w:cs="바탕"/>
          <w:sz w:val="21"/>
        </w:rPr>
        <w:t xml:space="preserve">"해를 끼치지 말라(non-maleficence)"는 의료 윤리의 근간이며, WHO(2021)는 AI의 안전성과 해악 방지를 핵심 원칙으로 규정한다. 트라우마는 부적절한 개입이 곧 해로 직결되는 영역이므로, 재외상화·위기 미대응의 위험을 통제하지 못하는 AI 영상치유의 적용은 무해성 원칙과 정면으로 충돌한다. 안전이 입증되기 전의 적용은 그 자체로 윤리적 문제이다.</w:t>
      </w:r>
    </w:p>
    <w:bookmarkEnd w:id="36"/>
    <w:bookmarkStart w:id="37" w:name="X3f81f56004bf7ad99fa7a383c8f8e2f3a024791"/>
    <w:p>
      <w:pPr>
        <w:pStyle w:val="Heading3"/>
        <w:spacing w:lineRule="auto" w:line="384" w:before="240" w:after="120"/>
        <w:jc w:val="left"/>
      </w:pPr>
      <w:r>
        <w:rPr>
          <w:rFonts w:ascii="돋움" w:hAnsi="돋움" w:eastAsia="돋움" w:cs="돋움"/>
          <w:b/>
        </w:rPr>
        <w:t xml:space="preserve">3. 프라이버시와 민감정보 보호</w:t>
      </w:r>
    </w:p>
    <w:p>
      <w:pPr>
        <w:pStyle w:val="FirstParagraph"/>
        <w:spacing w:lineRule="auto" w:line="384"/>
        <w:jc w:val="both"/>
      </w:pPr>
      <w:r>
        <w:rPr>
          <w:rFonts w:ascii="바탕" w:hAnsi="바탕" w:eastAsia="바탕" w:cs="바탕"/>
          <w:sz w:val="21"/>
        </w:rPr>
        <w:t xml:space="preserve">트라우마 작업은 개인의 가장 깊고 고통스러운 기억과 정서 데이터를 다룬다. 이러한 민감정보가 AI 시스템에 입력·저장·학습에 활용될 경우, 유출이나 오용은 회복이 아니라 2차 피해로 이어진다. WHO(2021)와 정신건강 AI 윤리 논의(American Psychological Association, 2025; Wang et al., 2025)는 모두 프라이버시 보호와 데이터 거버넌스를 핵심 요건으로 강조하며, 외상 영역에서는 그 기준이 더욱 엄격해야 한다.</w:t>
      </w:r>
    </w:p>
    <w:bookmarkEnd w:id="37"/>
    <w:bookmarkStart w:id="38" w:name="X8a4e9b41fa7f424e516f3fd8b49ecec41365353"/>
    <w:p>
      <w:pPr>
        <w:pStyle w:val="Heading3"/>
        <w:spacing w:lineRule="auto" w:line="384" w:before="240" w:after="120"/>
        <w:jc w:val="left"/>
      </w:pPr>
      <w:r>
        <w:rPr>
          <w:rFonts w:ascii="돋움" w:hAnsi="돋움" w:eastAsia="돋움" w:cs="돋움"/>
          <w:b/>
        </w:rPr>
        <w:t xml:space="preserve">4. 정의와 알고리즘 편향</w:t>
      </w:r>
    </w:p>
    <w:p>
      <w:pPr>
        <w:pStyle w:val="FirstParagraph"/>
        <w:spacing w:lineRule="auto" w:line="384"/>
        <w:jc w:val="both"/>
      </w:pPr>
      <w:r>
        <w:rPr>
          <w:rFonts w:ascii="바탕" w:hAnsi="바탕" w:eastAsia="바탕" w:cs="바탕"/>
          <w:sz w:val="21"/>
        </w:rPr>
        <w:t xml:space="preserve">생성형 모델은 학습 데이터의 편향을 반영하며, 외상 경험의 표현은 문화·성별·연령에 따라 크게 다르다. 보건의료 알고리즘이 사회적 약자에게 체계적으로 불리하게 작동할 수 있음은 이미 실증적으로 드러났다(Obermeyer et al., 2019). 특정 집단의 외상 맥락을 무시한 채 생성된 영상은 부적절하거나 해로울 수 있으며, 사회적 약자의 외상을 왜곡·전형화할 위험이 있다. 이는 SAMHSA(2014)가 강조한 문화·역사·성 인지 원칙과 WHO(2021)의 포용성·형평성 원칙에 위배된다.</w:t>
      </w:r>
    </w:p>
    <w:bookmarkEnd w:id="38"/>
    <w:bookmarkStart w:id="39" w:name="X10eb2568a9201a3716ad0bb8d7b1ed62e81dc5f"/>
    <w:p>
      <w:pPr>
        <w:pStyle w:val="Heading3"/>
        <w:spacing w:lineRule="auto" w:line="384" w:before="240" w:after="120"/>
        <w:jc w:val="left"/>
      </w:pPr>
      <w:r>
        <w:rPr>
          <w:rFonts w:ascii="돋움" w:hAnsi="돋움" w:eastAsia="돋움" w:cs="돋움"/>
          <w:b/>
        </w:rPr>
        <w:t xml:space="preserve">5. 책임성과 투명성</w:t>
      </w:r>
    </w:p>
    <w:p>
      <w:pPr>
        <w:pStyle w:val="FirstParagraph"/>
        <w:spacing w:lineRule="auto" w:line="384"/>
        <w:jc w:val="both"/>
      </w:pPr>
      <w:r>
        <w:rPr>
          <w:rFonts w:ascii="바탕" w:hAnsi="바탕" w:eastAsia="바탕" w:cs="바탕"/>
          <w:sz w:val="21"/>
        </w:rPr>
        <w:t xml:space="preserve">AI 영상치유가 재외상화나 위기 미대응으로 해를 끼쳤을 때, 그 책임이 개발자·서비스 제공자·임상가·사용자 중 누구에게 있는지가 모호하다. 생성 모델의 낮은 설명가능성은 이 책임 공백을 심화시킨다. WHO(2021)는 책임성(accountability)과 설명가능성(explainability), 투명성을 핵심 원칙으로 제시하며, 인간 임상가를 값싼 자동화로 대체하려는 경향은 책임 구조를 더욱 불분명하게 만든다(American Psychological Association, 2025). 트라우마처럼 해의 위험이 큰 영역에서 책임 구조의 불분명함은 중대한 윤리적 결함이다.</w:t>
      </w:r>
    </w:p>
    <w:bookmarkEnd w:id="39"/>
    <w:bookmarkStart w:id="40" w:name="X19a404b1622d865487bc95560167162f82ca402"/>
    <w:p>
      <w:pPr>
        <w:pStyle w:val="Heading3"/>
        <w:spacing w:lineRule="auto" w:line="384" w:before="240" w:after="120"/>
        <w:jc w:val="left"/>
      </w:pPr>
      <w:r>
        <w:rPr>
          <w:rFonts w:ascii="돋움" w:hAnsi="돋움" w:eastAsia="돋움" w:cs="돋움"/>
          <w:b/>
        </w:rPr>
        <w:t xml:space="preserve">6. 임상적·윤리적 쟁점의 종합</w:t>
      </w:r>
    </w:p>
    <w:p>
      <w:pPr>
        <w:pStyle w:val="FirstParagraph"/>
        <w:spacing w:lineRule="auto" w:line="384"/>
        <w:jc w:val="both"/>
      </w:pPr>
      <w:r>
        <w:rPr>
          <w:rFonts w:ascii="바탕" w:hAnsi="바탕" w:eastAsia="바탕" w:cs="바탕"/>
          <w:sz w:val="21"/>
        </w:rPr>
        <w:t xml:space="preserve">이상의 분석을 종합하면 〈표 2〉와 같다.</w:t>
      </w:r>
    </w:p>
    <w:p>
      <w:pPr>
        <w:pStyle w:val="BodyText"/>
        <w:spacing w:lineRule="auto" w:line="384"/>
        <w:jc w:val="both"/>
      </w:pPr>
      <w:r>
        <w:rPr>
          <w:rFonts w:ascii="바탕" w:hAnsi="바탕" w:eastAsia="바탕" w:cs="바탕"/>
          <w:b/>
          <w:bCs/>
          <w:sz w:val="21"/>
        </w:rPr>
        <w:t xml:space="preserve">〈표 2〉 트라우마 영역 AI 영상치유 적용의 임상적·윤리적 쟁점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312" w:lineRule="auto"/>
            </w:pPr>
            <w:r>
              <w:rPr>
                <w:rFonts w:ascii="바탕" w:hAnsi="바탕" w:eastAsia="바탕" w:cs="바탕"/>
                <w:sz w:val="20"/>
              </w:rPr>
              <w:t xml:space="preserve">구분</w:t>
            </w:r>
          </w:p>
        </w:tc>
        <w:tc>
          <w:tcPr/>
          <w:p>
            <w:pPr>
              <w:pStyle w:val="Compact"/>
              <w:spacing w:line="312" w:lineRule="auto"/>
            </w:pPr>
            <w:r>
              <w:rPr>
                <w:rFonts w:ascii="바탕" w:hAnsi="바탕" w:eastAsia="바탕" w:cs="바탕"/>
                <w:sz w:val="20"/>
              </w:rPr>
              <w:t xml:space="preserve">쟁점</w:t>
            </w:r>
          </w:p>
        </w:tc>
        <w:tc>
          <w:tcPr/>
          <w:p>
            <w:pPr>
              <w:pStyle w:val="Compact"/>
              <w:spacing w:line="312" w:lineRule="auto"/>
            </w:pPr>
            <w:r>
              <w:rPr>
                <w:rFonts w:ascii="바탕" w:hAnsi="바탕" w:eastAsia="바탕" w:cs="바탕"/>
                <w:sz w:val="20"/>
              </w:rPr>
              <w:t xml:space="preserve">이론적 준거</w:t>
            </w:r>
          </w:p>
        </w:tc>
        <w:tc>
          <w:tcPr/>
          <w:p>
            <w:pPr>
              <w:pStyle w:val="Compact"/>
              <w:spacing w:line="312" w:lineRule="auto"/>
            </w:pPr>
            <w:r>
              <w:rPr>
                <w:rFonts w:ascii="바탕" w:hAnsi="바탕" w:eastAsia="바탕" w:cs="바탕"/>
                <w:sz w:val="20"/>
              </w:rPr>
              <w:t xml:space="preserve">핵심 위험</w:t>
            </w:r>
          </w:p>
        </w:tc>
      </w:tr>
      <w:tr>
        <w:tc>
          <w:tcPr/>
          <w:p>
            <w:pPr>
              <w:pStyle w:val="Compact"/>
              <w:spacing w:line="312" w:lineRule="auto"/>
            </w:pPr>
            <w:r>
              <w:rPr>
                <w:rFonts w:ascii="바탕" w:hAnsi="바탕" w:eastAsia="바탕" w:cs="바탕"/>
                <w:sz w:val="20"/>
              </w:rPr>
              <w:t xml:space="preserve">임상</w:t>
            </w:r>
          </w:p>
        </w:tc>
        <w:tc>
          <w:tcPr/>
          <w:p>
            <w:pPr>
              <w:pStyle w:val="Compact"/>
              <w:spacing w:line="312" w:lineRule="auto"/>
            </w:pPr>
            <w:r>
              <w:rPr>
                <w:rFonts w:ascii="바탕" w:hAnsi="바탕" w:eastAsia="바탕" w:cs="바탕"/>
                <w:sz w:val="20"/>
              </w:rPr>
              <w:t xml:space="preserve">재외상화</w:t>
            </w:r>
          </w:p>
        </w:tc>
        <w:tc>
          <w:tcPr/>
          <w:p>
            <w:pPr>
              <w:pStyle w:val="Compact"/>
              <w:spacing w:line="312" w:lineRule="auto"/>
            </w:pPr>
            <w:r>
              <w:rPr>
                <w:rFonts w:ascii="바탕" w:hAnsi="바탕" w:eastAsia="바탕" w:cs="바탕"/>
                <w:sz w:val="20"/>
              </w:rPr>
              <w:t xml:space="preserve">정서처리이론</w:t>
            </w:r>
          </w:p>
        </w:tc>
        <w:tc>
          <w:tcPr/>
          <w:p>
            <w:pPr>
              <w:pStyle w:val="Compact"/>
              <w:spacing w:line="312" w:lineRule="auto"/>
            </w:pPr>
            <w:r>
              <w:rPr>
                <w:rFonts w:ascii="바탕" w:hAnsi="바탕" w:eastAsia="바탕" w:cs="바탕"/>
                <w:sz w:val="20"/>
              </w:rPr>
              <w:t xml:space="preserve">과활성화·교정정보 부재</w:t>
            </w:r>
          </w:p>
        </w:tc>
      </w:tr>
      <w:tr>
        <w:tc>
          <w:tcPr/>
          <w:p>
            <w:pPr>
              <w:pStyle w:val="Compact"/>
              <w:spacing w:line="312" w:lineRule="auto"/>
            </w:pPr>
            <w:r>
              <w:rPr>
                <w:rFonts w:ascii="바탕" w:hAnsi="바탕" w:eastAsia="바탕" w:cs="바탕"/>
                <w:sz w:val="20"/>
              </w:rPr>
              <w:t xml:space="preserve">임상</w:t>
            </w:r>
          </w:p>
        </w:tc>
        <w:tc>
          <w:tcPr/>
          <w:p>
            <w:pPr>
              <w:pStyle w:val="Compact"/>
              <w:spacing w:line="312" w:lineRule="auto"/>
            </w:pPr>
            <w:r>
              <w:rPr>
                <w:rFonts w:ascii="바탕" w:hAnsi="바탕" w:eastAsia="바탕" w:cs="바탕"/>
                <w:sz w:val="20"/>
              </w:rPr>
              <w:t xml:space="preserve">안정화 부재</w:t>
            </w:r>
          </w:p>
        </w:tc>
        <w:tc>
          <w:tcPr/>
          <w:p>
            <w:pPr>
              <w:pStyle w:val="Compact"/>
              <w:spacing w:line="312" w:lineRule="auto"/>
            </w:pPr>
            <w:r>
              <w:rPr>
                <w:rFonts w:ascii="바탕" w:hAnsi="바탕" w:eastAsia="바탕" w:cs="바탕"/>
                <w:sz w:val="20"/>
              </w:rPr>
              <w:t xml:space="preserve">회복 단계 모델</w:t>
            </w:r>
          </w:p>
        </w:tc>
        <w:tc>
          <w:tcPr/>
          <w:p>
            <w:pPr>
              <w:pStyle w:val="Compact"/>
              <w:spacing w:line="312" w:lineRule="auto"/>
            </w:pPr>
            <w:r>
              <w:rPr>
                <w:rFonts w:ascii="바탕" w:hAnsi="바탕" w:eastAsia="바탕" w:cs="바탕"/>
                <w:sz w:val="20"/>
              </w:rPr>
              <w:t xml:space="preserve">단계 위반·압도</w:t>
            </w:r>
          </w:p>
        </w:tc>
      </w:tr>
      <w:tr>
        <w:tc>
          <w:tcPr/>
          <w:p>
            <w:pPr>
              <w:pStyle w:val="Compact"/>
              <w:spacing w:line="312" w:lineRule="auto"/>
            </w:pPr>
            <w:r>
              <w:rPr>
                <w:rFonts w:ascii="바탕" w:hAnsi="바탕" w:eastAsia="바탕" w:cs="바탕"/>
                <w:sz w:val="20"/>
              </w:rPr>
              <w:t xml:space="preserve">임상</w:t>
            </w:r>
          </w:p>
        </w:tc>
        <w:tc>
          <w:tcPr/>
          <w:p>
            <w:pPr>
              <w:pStyle w:val="Compact"/>
              <w:spacing w:line="312" w:lineRule="auto"/>
            </w:pPr>
            <w:r>
              <w:rPr>
                <w:rFonts w:ascii="바탕" w:hAnsi="바탕" w:eastAsia="바탕" w:cs="바탕"/>
                <w:sz w:val="20"/>
              </w:rPr>
              <w:t xml:space="preserve">치료적 동맹 부재</w:t>
            </w:r>
          </w:p>
        </w:tc>
        <w:tc>
          <w:tcPr/>
          <w:p>
            <w:pPr>
              <w:pStyle w:val="Compact"/>
              <w:spacing w:line="312" w:lineRule="auto"/>
            </w:pPr>
            <w:r>
              <w:rPr>
                <w:rFonts w:ascii="바탕" w:hAnsi="바탕" w:eastAsia="바탕" w:cs="바탕"/>
                <w:sz w:val="20"/>
              </w:rPr>
              <w:t xml:space="preserve">작업동맹 이론</w:t>
            </w:r>
          </w:p>
        </w:tc>
        <w:tc>
          <w:tcPr/>
          <w:p>
            <w:pPr>
              <w:pStyle w:val="Compact"/>
              <w:spacing w:line="312" w:lineRule="auto"/>
            </w:pPr>
            <w:r>
              <w:rPr>
                <w:rFonts w:ascii="바탕" w:hAnsi="바탕" w:eastAsia="바탕" w:cs="바탕"/>
                <w:sz w:val="20"/>
              </w:rPr>
              <w:t xml:space="preserve">관계적 담아내기 상실</w:t>
            </w:r>
          </w:p>
        </w:tc>
      </w:tr>
      <w:tr>
        <w:tc>
          <w:tcPr/>
          <w:p>
            <w:pPr>
              <w:pStyle w:val="Compact"/>
              <w:spacing w:line="312" w:lineRule="auto"/>
            </w:pPr>
            <w:r>
              <w:rPr>
                <w:rFonts w:ascii="바탕" w:hAnsi="바탕" w:eastAsia="바탕" w:cs="바탕"/>
                <w:sz w:val="20"/>
              </w:rPr>
              <w:t xml:space="preserve">임상</w:t>
            </w:r>
          </w:p>
        </w:tc>
        <w:tc>
          <w:tcPr/>
          <w:p>
            <w:pPr>
              <w:pStyle w:val="Compact"/>
              <w:spacing w:line="312" w:lineRule="auto"/>
            </w:pPr>
            <w:r>
              <w:rPr>
                <w:rFonts w:ascii="바탕" w:hAnsi="바탕" w:eastAsia="바탕" w:cs="바탕"/>
                <w:sz w:val="20"/>
              </w:rPr>
              <w:t xml:space="preserve">통제권 이전·위기</w:t>
            </w:r>
          </w:p>
        </w:tc>
        <w:tc>
          <w:tcPr/>
          <w:p>
            <w:pPr>
              <w:pStyle w:val="Compact"/>
              <w:spacing w:line="312" w:lineRule="auto"/>
            </w:pPr>
            <w:r>
              <w:rPr>
                <w:rFonts w:ascii="바탕" w:hAnsi="바탕" w:eastAsia="바탕" w:cs="바탕"/>
                <w:sz w:val="20"/>
              </w:rPr>
              <w:t xml:space="preserve">VRET 통제 원리</w:t>
            </w:r>
          </w:p>
        </w:tc>
        <w:tc>
          <w:tcPr/>
          <w:p>
            <w:pPr>
              <w:pStyle w:val="Compact"/>
              <w:spacing w:line="312" w:lineRule="auto"/>
            </w:pPr>
            <w:r>
              <w:rPr>
                <w:rFonts w:ascii="바탕" w:hAnsi="바탕" w:eastAsia="바탕" w:cs="바탕"/>
                <w:sz w:val="20"/>
              </w:rPr>
              <w:t xml:space="preserve">노출 조절 실패·위기 미대응</w:t>
            </w:r>
          </w:p>
        </w:tc>
      </w:tr>
      <w:tr>
        <w:tc>
          <w:tcPr/>
          <w:p>
            <w:pPr>
              <w:pStyle w:val="Compact"/>
              <w:spacing w:line="312" w:lineRule="auto"/>
            </w:pPr>
            <w:r>
              <w:rPr>
                <w:rFonts w:ascii="바탕" w:hAnsi="바탕" w:eastAsia="바탕" w:cs="바탕"/>
                <w:sz w:val="20"/>
              </w:rPr>
              <w:t xml:space="preserve">임상</w:t>
            </w:r>
          </w:p>
        </w:tc>
        <w:tc>
          <w:tcPr/>
          <w:p>
            <w:pPr>
              <w:pStyle w:val="Compact"/>
              <w:spacing w:line="312" w:lineRule="auto"/>
            </w:pPr>
            <w:r>
              <w:rPr>
                <w:rFonts w:ascii="바탕" w:hAnsi="바탕" w:eastAsia="바탕" w:cs="바탕"/>
                <w:sz w:val="20"/>
              </w:rPr>
              <w:t xml:space="preserve">근거 부족</w:t>
            </w:r>
          </w:p>
        </w:tc>
        <w:tc>
          <w:tcPr/>
          <w:p>
            <w:pPr>
              <w:pStyle w:val="Compact"/>
              <w:spacing w:line="312" w:lineRule="auto"/>
            </w:pPr>
            <w:r>
              <w:rPr>
                <w:rFonts w:ascii="바탕" w:hAnsi="바탕" w:eastAsia="바탕" w:cs="바탕"/>
                <w:sz w:val="20"/>
              </w:rPr>
              <w:t xml:space="preserve">근거기반 실천</w:t>
            </w:r>
          </w:p>
        </w:tc>
        <w:tc>
          <w:tcPr/>
          <w:p>
            <w:pPr>
              <w:pStyle w:val="Compact"/>
              <w:spacing w:line="312" w:lineRule="auto"/>
            </w:pPr>
            <w:r>
              <w:rPr>
                <w:rFonts w:ascii="바탕" w:hAnsi="바탕" w:eastAsia="바탕" w:cs="바탕"/>
                <w:sz w:val="20"/>
              </w:rPr>
              <w:t xml:space="preserve">검증되지 않은 적용</w:t>
            </w:r>
          </w:p>
        </w:tc>
      </w:tr>
      <w:tr>
        <w:tc>
          <w:tcPr/>
          <w:p>
            <w:pPr>
              <w:pStyle w:val="Compact"/>
              <w:spacing w:line="312" w:lineRule="auto"/>
            </w:pPr>
            <w:r>
              <w:rPr>
                <w:rFonts w:ascii="바탕" w:hAnsi="바탕" w:eastAsia="바탕" w:cs="바탕"/>
                <w:sz w:val="20"/>
              </w:rPr>
              <w:t xml:space="preserve">윤리</w:t>
            </w:r>
          </w:p>
        </w:tc>
        <w:tc>
          <w:tcPr/>
          <w:p>
            <w:pPr>
              <w:pStyle w:val="Compact"/>
              <w:spacing w:line="312" w:lineRule="auto"/>
            </w:pPr>
            <w:r>
              <w:rPr>
                <w:rFonts w:ascii="바탕" w:hAnsi="바탕" w:eastAsia="바탕" w:cs="바탕"/>
                <w:sz w:val="20"/>
              </w:rPr>
              <w:t xml:space="preserve">자율성·동의</w:t>
            </w:r>
          </w:p>
        </w:tc>
        <w:tc>
          <w:tcPr/>
          <w:p>
            <w:pPr>
              <w:pStyle w:val="Compact"/>
              <w:spacing w:line="312" w:lineRule="auto"/>
            </w:pPr>
            <w:r>
              <w:rPr>
                <w:rFonts w:ascii="바탕" w:hAnsi="바탕" w:eastAsia="바탕" w:cs="바탕"/>
                <w:sz w:val="20"/>
              </w:rPr>
              <w:t xml:space="preserve">WHO 자율성 원칙</w:t>
            </w:r>
          </w:p>
        </w:tc>
        <w:tc>
          <w:tcPr/>
          <w:p>
            <w:pPr>
              <w:pStyle w:val="Compact"/>
              <w:spacing w:line="312" w:lineRule="auto"/>
            </w:pPr>
            <w:r>
              <w:rPr>
                <w:rFonts w:ascii="바탕" w:hAnsi="바탕" w:eastAsia="바탕" w:cs="바탕"/>
                <w:sz w:val="20"/>
              </w:rPr>
              <w:t xml:space="preserve">취약 상태의 비충분 동의</w:t>
            </w:r>
          </w:p>
        </w:tc>
      </w:tr>
      <w:tr>
        <w:tc>
          <w:tcPr/>
          <w:p>
            <w:pPr>
              <w:pStyle w:val="Compact"/>
              <w:spacing w:line="312" w:lineRule="auto"/>
            </w:pPr>
            <w:r>
              <w:rPr>
                <w:rFonts w:ascii="바탕" w:hAnsi="바탕" w:eastAsia="바탕" w:cs="바탕"/>
                <w:sz w:val="20"/>
              </w:rPr>
              <w:t xml:space="preserve">윤리</w:t>
            </w:r>
          </w:p>
        </w:tc>
        <w:tc>
          <w:tcPr/>
          <w:p>
            <w:pPr>
              <w:pStyle w:val="Compact"/>
              <w:spacing w:line="312" w:lineRule="auto"/>
            </w:pPr>
            <w:r>
              <w:rPr>
                <w:rFonts w:ascii="바탕" w:hAnsi="바탕" w:eastAsia="바탕" w:cs="바탕"/>
                <w:sz w:val="20"/>
              </w:rPr>
              <w:t xml:space="preserve">무해성</w:t>
            </w:r>
          </w:p>
        </w:tc>
        <w:tc>
          <w:tcPr/>
          <w:p>
            <w:pPr>
              <w:pStyle w:val="Compact"/>
              <w:spacing w:line="312" w:lineRule="auto"/>
            </w:pPr>
            <w:r>
              <w:rPr>
                <w:rFonts w:ascii="바탕" w:hAnsi="바탕" w:eastAsia="바탕" w:cs="바탕"/>
                <w:sz w:val="20"/>
              </w:rPr>
              <w:t xml:space="preserve">WHO 안전 원칙</w:t>
            </w:r>
          </w:p>
        </w:tc>
        <w:tc>
          <w:tcPr/>
          <w:p>
            <w:pPr>
              <w:pStyle w:val="Compact"/>
              <w:spacing w:line="312" w:lineRule="auto"/>
            </w:pPr>
            <w:r>
              <w:rPr>
                <w:rFonts w:ascii="바탕" w:hAnsi="바탕" w:eastAsia="바탕" w:cs="바탕"/>
                <w:sz w:val="20"/>
              </w:rPr>
              <w:t xml:space="preserve">재외상화로 인한 해</w:t>
            </w:r>
          </w:p>
        </w:tc>
      </w:tr>
      <w:tr>
        <w:tc>
          <w:tcPr/>
          <w:p>
            <w:pPr>
              <w:pStyle w:val="Compact"/>
              <w:spacing w:line="312" w:lineRule="auto"/>
            </w:pPr>
            <w:r>
              <w:rPr>
                <w:rFonts w:ascii="바탕" w:hAnsi="바탕" w:eastAsia="바탕" w:cs="바탕"/>
                <w:sz w:val="20"/>
              </w:rPr>
              <w:t xml:space="preserve">윤리</w:t>
            </w:r>
          </w:p>
        </w:tc>
        <w:tc>
          <w:tcPr/>
          <w:p>
            <w:pPr>
              <w:pStyle w:val="Compact"/>
              <w:spacing w:line="312" w:lineRule="auto"/>
            </w:pPr>
            <w:r>
              <w:rPr>
                <w:rFonts w:ascii="바탕" w:hAnsi="바탕" w:eastAsia="바탕" w:cs="바탕"/>
                <w:sz w:val="20"/>
              </w:rPr>
              <w:t xml:space="preserve">프라이버시</w:t>
            </w:r>
          </w:p>
        </w:tc>
        <w:tc>
          <w:tcPr/>
          <w:p>
            <w:pPr>
              <w:pStyle w:val="Compact"/>
              <w:spacing w:line="312" w:lineRule="auto"/>
            </w:pPr>
            <w:r>
              <w:rPr>
                <w:rFonts w:ascii="바탕" w:hAnsi="바탕" w:eastAsia="바탕" w:cs="바탕"/>
                <w:sz w:val="20"/>
              </w:rPr>
              <w:t xml:space="preserve">WHO·데이터 거버넌스</w:t>
            </w:r>
          </w:p>
        </w:tc>
        <w:tc>
          <w:tcPr/>
          <w:p>
            <w:pPr>
              <w:pStyle w:val="Compact"/>
              <w:spacing w:line="312" w:lineRule="auto"/>
            </w:pPr>
            <w:r>
              <w:rPr>
                <w:rFonts w:ascii="바탕" w:hAnsi="바탕" w:eastAsia="바탕" w:cs="바탕"/>
                <w:sz w:val="20"/>
              </w:rPr>
              <w:t xml:space="preserve">외상 민감정보 2차 피해</w:t>
            </w:r>
          </w:p>
        </w:tc>
      </w:tr>
      <w:tr>
        <w:tc>
          <w:tcPr/>
          <w:p>
            <w:pPr>
              <w:pStyle w:val="Compact"/>
              <w:spacing w:line="312" w:lineRule="auto"/>
            </w:pPr>
            <w:r>
              <w:rPr>
                <w:rFonts w:ascii="바탕" w:hAnsi="바탕" w:eastAsia="바탕" w:cs="바탕"/>
                <w:sz w:val="20"/>
              </w:rPr>
              <w:t xml:space="preserve">윤리</w:t>
            </w:r>
          </w:p>
        </w:tc>
        <w:tc>
          <w:tcPr/>
          <w:p>
            <w:pPr>
              <w:pStyle w:val="Compact"/>
              <w:spacing w:line="312" w:lineRule="auto"/>
            </w:pPr>
            <w:r>
              <w:rPr>
                <w:rFonts w:ascii="바탕" w:hAnsi="바탕" w:eastAsia="바탕" w:cs="바탕"/>
                <w:sz w:val="20"/>
              </w:rPr>
              <w:t xml:space="preserve">정의·편향</w:t>
            </w:r>
          </w:p>
        </w:tc>
        <w:tc>
          <w:tcPr/>
          <w:p>
            <w:pPr>
              <w:pStyle w:val="Compact"/>
              <w:spacing w:line="312" w:lineRule="auto"/>
            </w:pPr>
            <w:r>
              <w:rPr>
                <w:rFonts w:ascii="바탕" w:hAnsi="바탕" w:eastAsia="바탕" w:cs="바탕"/>
                <w:sz w:val="20"/>
              </w:rPr>
              <w:t xml:space="preserve">WHO 형평성·TIC 문화 인지</w:t>
            </w:r>
          </w:p>
        </w:tc>
        <w:tc>
          <w:tcPr/>
          <w:p>
            <w:pPr>
              <w:pStyle w:val="Compact"/>
              <w:spacing w:line="312" w:lineRule="auto"/>
            </w:pPr>
            <w:r>
              <w:rPr>
                <w:rFonts w:ascii="바탕" w:hAnsi="바탕" w:eastAsia="바탕" w:cs="바탕"/>
                <w:sz w:val="20"/>
              </w:rPr>
              <w:t xml:space="preserve">외상 표현의 왜곡·전형화</w:t>
            </w:r>
          </w:p>
        </w:tc>
      </w:tr>
      <w:tr>
        <w:tc>
          <w:tcPr/>
          <w:p>
            <w:pPr>
              <w:pStyle w:val="Compact"/>
              <w:spacing w:line="312" w:lineRule="auto"/>
            </w:pPr>
            <w:r>
              <w:rPr>
                <w:rFonts w:ascii="바탕" w:hAnsi="바탕" w:eastAsia="바탕" w:cs="바탕"/>
                <w:sz w:val="20"/>
              </w:rPr>
              <w:t xml:space="preserve">윤리</w:t>
            </w:r>
          </w:p>
        </w:tc>
        <w:tc>
          <w:tcPr/>
          <w:p>
            <w:pPr>
              <w:pStyle w:val="Compact"/>
              <w:spacing w:line="312" w:lineRule="auto"/>
            </w:pPr>
            <w:r>
              <w:rPr>
                <w:rFonts w:ascii="바탕" w:hAnsi="바탕" w:eastAsia="바탕" w:cs="바탕"/>
                <w:sz w:val="20"/>
              </w:rPr>
              <w:t xml:space="preserve">책임성·투명성</w:t>
            </w:r>
          </w:p>
        </w:tc>
        <w:tc>
          <w:tcPr/>
          <w:p>
            <w:pPr>
              <w:pStyle w:val="Compact"/>
              <w:spacing w:line="312" w:lineRule="auto"/>
            </w:pPr>
            <w:r>
              <w:rPr>
                <w:rFonts w:ascii="바탕" w:hAnsi="바탕" w:eastAsia="바탕" w:cs="바탕"/>
                <w:sz w:val="20"/>
              </w:rPr>
              <w:t xml:space="preserve">WHO 책임성 원칙</w:t>
            </w:r>
          </w:p>
        </w:tc>
        <w:tc>
          <w:tcPr/>
          <w:p>
            <w:pPr>
              <w:pStyle w:val="Compact"/>
              <w:spacing w:line="312" w:lineRule="auto"/>
            </w:pPr>
            <w:r>
              <w:rPr>
                <w:rFonts w:ascii="바탕" w:hAnsi="바탕" w:eastAsia="바탕" w:cs="바탕"/>
                <w:sz w:val="20"/>
              </w:rPr>
              <w:t xml:space="preserve">해 발생 시 책임 불분명</w:t>
            </w:r>
          </w:p>
        </w:tc>
      </w:tr>
    </w:tbl>
    <w:p>
      <w:pPr>
        <w:spacing w:lineRule="auto" w:line="384"/>
        <w:jc w:val="both"/>
      </w:pPr>
      <w:r>
        <w:rPr>
          <w:rFonts w:ascii="바탕" w:hAnsi="바탕" w:eastAsia="바탕" w:cs="바탕"/>
          <w:sz w:val="21"/>
        </w:rPr>
        <w:pict>
          <v:rect style="width:0;height:1.5pt" o:hralign="center" o:hrstd="t" o:hr="t"/>
        </w:pict>
      </w:r>
    </w:p>
    <w:bookmarkEnd w:id="40"/>
    <w:bookmarkEnd w:id="41"/>
    <w:bookmarkStart w:id="46" w:name="Xa7a22dcc7d90ba79586f47927c87f28f5c6f276"/>
    <w:p>
      <w:pPr>
        <w:pStyle w:val="Heading2"/>
        <w:spacing w:lineRule="auto" w:line="384" w:before="240" w:after="120"/>
        <w:jc w:val="left"/>
      </w:pPr>
      <w:r>
        <w:rPr>
          <w:rFonts w:ascii="돋움" w:hAnsi="돋움" w:eastAsia="돋움" w:cs="돋움"/>
          <w:b/>
        </w:rPr>
        <w:t xml:space="preserve">Ⅶ. 논의</w:t>
      </w:r>
    </w:p>
    <w:bookmarkStart w:id="42" w:name="Xaeb1c495e9f68da09f0b4f8d79f031f7f93092f"/>
    <w:p>
      <w:pPr>
        <w:pStyle w:val="Heading3"/>
        <w:spacing w:lineRule="auto" w:line="384" w:before="240" w:after="120"/>
        <w:jc w:val="left"/>
      </w:pPr>
      <w:r>
        <w:rPr>
          <w:rFonts w:ascii="돋움" w:hAnsi="돋움" w:eastAsia="돋움" w:cs="돋움"/>
          <w:b/>
        </w:rPr>
        <w:t xml:space="preserve">1. 통합 모델: 치료자 매개형 + 트라우마 정보 기반 설계</w:t>
      </w:r>
    </w:p>
    <w:p>
      <w:pPr>
        <w:pStyle w:val="FirstParagraph"/>
        <w:spacing w:lineRule="auto" w:line="384"/>
        <w:jc w:val="both"/>
      </w:pPr>
      <w:r>
        <w:rPr>
          <w:rFonts w:ascii="바탕" w:hAnsi="바탕" w:eastAsia="바탕" w:cs="바탕"/>
          <w:sz w:val="21"/>
        </w:rPr>
        <w:t xml:space="preserve">쟁점 분석의 결과는 트라우마 영역에서 AI 영상치유가 인간 임상가를</w:t>
      </w:r>
      <w:r>
        <w:rPr>
          <w:rFonts w:ascii="바탕" w:hAnsi="바탕" w:eastAsia="바탕" w:cs="바탕"/>
          <w:sz w:val="21"/>
        </w:rPr>
        <w:t xml:space="preserve"> </w:t>
      </w:r>
      <w:r>
        <w:rPr>
          <w:rFonts w:ascii="바탕" w:hAnsi="바탕" w:eastAsia="바탕" w:cs="바탕"/>
          <w:b/>
          <w:bCs/>
          <w:sz w:val="21"/>
        </w:rPr>
        <w:t xml:space="preserve">대체</w:t>
      </w:r>
      <w:r>
        <w:rPr>
          <w:rFonts w:ascii="바탕" w:hAnsi="바탕" w:eastAsia="바탕" w:cs="바탕"/>
          <w:sz w:val="21"/>
        </w:rPr>
        <w:t xml:space="preserve">하는 자율적 수단이 되어서는 안 되며, 엄격한 안전 구조 아래</w:t>
      </w:r>
      <w:r>
        <w:rPr>
          <w:rFonts w:ascii="바탕" w:hAnsi="바탕" w:eastAsia="바탕" w:cs="바탕"/>
          <w:sz w:val="21"/>
        </w:rPr>
        <w:t xml:space="preserve"> </w:t>
      </w:r>
      <w:r>
        <w:rPr>
          <w:rFonts w:ascii="바탕" w:hAnsi="바탕" w:eastAsia="바탕" w:cs="바탕"/>
          <w:b/>
          <w:bCs/>
          <w:sz w:val="21"/>
        </w:rPr>
        <w:t xml:space="preserve">보조 도구</w:t>
      </w:r>
      <w:r>
        <w:rPr>
          <w:rFonts w:ascii="바탕" w:hAnsi="바탕" w:eastAsia="바탕" w:cs="바탕"/>
          <w:sz w:val="21"/>
        </w:rPr>
        <w:t xml:space="preserve">로만 적용되어야 함을 시사한다. 본 연구는 다음 다섯 가지 원칙으로 구성된 통합 모델을 제안한다.</w:t>
      </w:r>
    </w:p>
    <w:p>
      <w:pPr>
        <w:pStyle w:val="Compact"/>
        <w:numPr>
          <w:ilvl w:val="0"/>
          <w:numId w:val="1002"/>
        </w:numPr>
        <w:spacing w:lineRule="auto" w:line="384"/>
        <w:jc w:val="both"/>
      </w:pPr>
      <w:r>
        <w:rPr>
          <w:rFonts w:ascii="바탕" w:hAnsi="바탕" w:eastAsia="바탕" w:cs="바탕"/>
          <w:b/>
          <w:bCs/>
          <w:sz w:val="21"/>
        </w:rPr>
        <w:t xml:space="preserve">트라우마 정보 기반 설계(trauma-informed by design)</w:t>
      </w:r>
      <w:r>
        <w:rPr>
          <w:rFonts w:ascii="바탕" w:hAnsi="바탕" w:eastAsia="바탕" w:cs="바탕"/>
          <w:sz w:val="21"/>
        </w:rPr>
        <w:t xml:space="preserve">: SAMHSA(2014)의 여섯 원칙을 시스템 설계에 내장하고, 안정화가 선행되지 않은 노출 콘텐츠 생성을 구조적으로 차단한다.</w:t>
      </w:r>
    </w:p>
    <w:p>
      <w:pPr>
        <w:pStyle w:val="Compact"/>
        <w:numPr>
          <w:ilvl w:val="0"/>
          <w:numId w:val="1002"/>
        </w:numPr>
        <w:spacing w:lineRule="auto" w:line="384"/>
        <w:jc w:val="both"/>
      </w:pPr>
      <w:r>
        <w:rPr>
          <w:rFonts w:ascii="바탕" w:hAnsi="바탕" w:eastAsia="바탕" w:cs="바탕"/>
          <w:b/>
          <w:bCs/>
          <w:sz w:val="21"/>
        </w:rPr>
        <w:t xml:space="preserve">치료자 매개(therapist-mediated) 통제</w:t>
      </w:r>
      <w:r>
        <w:rPr>
          <w:rFonts w:ascii="바탕" w:hAnsi="바탕" w:eastAsia="바탕" w:cs="바탕"/>
          <w:sz w:val="21"/>
        </w:rPr>
        <w:t xml:space="preserve">: 노출 강도·시점의 통제, 반응 관찰, 의미 처리, 단계 판단은 반드시 훈련된 임상가가 책임진다. AI는 안정화 심상이나 보조 자료의 생성에 한정하여, VRET가 임상가 통제 아래 수행되는 모델(Kothgassner et al., 2019)을 준용한다.</w:t>
      </w:r>
    </w:p>
    <w:p>
      <w:pPr>
        <w:pStyle w:val="Compact"/>
        <w:numPr>
          <w:ilvl w:val="0"/>
          <w:numId w:val="1002"/>
        </w:numPr>
        <w:spacing w:lineRule="auto" w:line="384"/>
        <w:jc w:val="both"/>
      </w:pPr>
      <w:r>
        <w:rPr>
          <w:rFonts w:ascii="바탕" w:hAnsi="바탕" w:eastAsia="바탕" w:cs="바탕"/>
          <w:b/>
          <w:bCs/>
          <w:sz w:val="21"/>
        </w:rPr>
        <w:t xml:space="preserve">위기 대응 안전장치 내장</w:t>
      </w:r>
      <w:r>
        <w:rPr>
          <w:rFonts w:ascii="바탕" w:hAnsi="바탕" w:eastAsia="바탕" w:cs="바탕"/>
          <w:sz w:val="21"/>
        </w:rPr>
        <w:t xml:space="preserve">: 자살·자해·해리 등 위기 신호 탐지 시 즉시 전문 인력·기관으로 연계하는 절차를 필수 요소로 둔다(Parks et al., 2025).</w:t>
      </w:r>
    </w:p>
    <w:p>
      <w:pPr>
        <w:pStyle w:val="Compact"/>
        <w:numPr>
          <w:ilvl w:val="0"/>
          <w:numId w:val="1002"/>
        </w:numPr>
        <w:spacing w:lineRule="auto" w:line="384"/>
        <w:jc w:val="both"/>
      </w:pPr>
      <w:r>
        <w:rPr>
          <w:rFonts w:ascii="바탕" w:hAnsi="바탕" w:eastAsia="바탕" w:cs="바탕"/>
          <w:b/>
          <w:bCs/>
          <w:sz w:val="21"/>
        </w:rPr>
        <w:t xml:space="preserve">데이터·동의·편향 거버넌스</w:t>
      </w:r>
      <w:r>
        <w:rPr>
          <w:rFonts w:ascii="바탕" w:hAnsi="바탕" w:eastAsia="바탕" w:cs="바탕"/>
          <w:sz w:val="21"/>
        </w:rPr>
        <w:t xml:space="preserve">: 외상 민감정보의 최소 수집·보호, 충분한 설명에 근거한 동의, 문화적 편향 점검을 표준화한다(World Health Organization, 2021; Obermeyer et al., 2019).</w:t>
      </w:r>
    </w:p>
    <w:p>
      <w:pPr>
        <w:pStyle w:val="Compact"/>
        <w:numPr>
          <w:ilvl w:val="0"/>
          <w:numId w:val="1002"/>
        </w:numPr>
        <w:spacing w:lineRule="auto" w:line="384"/>
        <w:jc w:val="both"/>
      </w:pPr>
      <w:r>
        <w:rPr>
          <w:rFonts w:ascii="바탕" w:hAnsi="바탕" w:eastAsia="바탕" w:cs="바탕"/>
          <w:b/>
          <w:bCs/>
          <w:sz w:val="21"/>
        </w:rPr>
        <w:t xml:space="preserve">근거 기반 검증 의무</w:t>
      </w:r>
      <w:r>
        <w:rPr>
          <w:rFonts w:ascii="바탕" w:hAnsi="바탕" w:eastAsia="바탕" w:cs="바탕"/>
          <w:sz w:val="21"/>
        </w:rPr>
        <w:t xml:space="preserve">: 트라우마 적용 전 통제된 설계의 효과성·안전성 검증을 선행하고, 검증되지 않은 자율적 치유 주장을 경계한다(Wang et al., 2025).</w:t>
      </w:r>
    </w:p>
    <w:bookmarkEnd w:id="42"/>
    <w:bookmarkStart w:id="43" w:name="X0e3dc26c8fdba744ca23d9f8716fcc1866f0b57"/>
    <w:p>
      <w:pPr>
        <w:pStyle w:val="Heading3"/>
        <w:spacing w:lineRule="auto" w:line="384" w:before="240" w:after="120"/>
        <w:jc w:val="left"/>
      </w:pPr>
      <w:r>
        <w:rPr>
          <w:rFonts w:ascii="돋움" w:hAnsi="돋움" w:eastAsia="돋움" w:cs="돋움"/>
          <w:b/>
        </w:rPr>
        <w:t xml:space="preserve">2. 이론적 함의</w:t>
      </w:r>
    </w:p>
    <w:p>
      <w:pPr>
        <w:pStyle w:val="FirstParagraph"/>
        <w:spacing w:lineRule="auto" w:line="384"/>
        <w:jc w:val="both"/>
      </w:pPr>
      <w:r>
        <w:rPr>
          <w:rFonts w:ascii="바탕" w:hAnsi="바탕" w:eastAsia="바탕" w:cs="바탕"/>
          <w:sz w:val="21"/>
        </w:rPr>
        <w:t xml:space="preserve">본 연구의 이론적 기여는 두 가지이다. 첫째, 산재한 외상 치료 이론을 신생 기술 평가를 위한 통합 분석틀로 재구성하였다. 이 틀은 AI 영상치유뿐 아니라 향후 등장할 다양한 디지털 외상 개입을 평가하는 데 확장 적용될 수 있다. 둘째, '기술이 무엇을 할 수 있는가'가 아니라 '치료 이론이 무엇을 요구하는가'에서 출발함으로써, 기술 결정론적 논의를 이론 기반 논의로 전환하는 관점을 제시하였다.</w:t>
      </w:r>
    </w:p>
    <w:bookmarkEnd w:id="43"/>
    <w:bookmarkStart w:id="44" w:name="X5a8d86c0728964711a4b088c1bc164ec5faa2ca"/>
    <w:p>
      <w:pPr>
        <w:pStyle w:val="Heading3"/>
        <w:spacing w:lineRule="auto" w:line="384" w:before="240" w:after="120"/>
        <w:jc w:val="left"/>
      </w:pPr>
      <w:r>
        <w:rPr>
          <w:rFonts w:ascii="돋움" w:hAnsi="돋움" w:eastAsia="돋움" w:cs="돋움"/>
          <w:b/>
        </w:rPr>
        <w:t xml:space="preserve">3. 임상적 함의</w:t>
      </w:r>
    </w:p>
    <w:p>
      <w:pPr>
        <w:pStyle w:val="FirstParagraph"/>
        <w:spacing w:lineRule="auto" w:line="384"/>
        <w:jc w:val="both"/>
      </w:pPr>
      <w:r>
        <w:rPr>
          <w:rFonts w:ascii="바탕" w:hAnsi="바탕" w:eastAsia="바탕" w:cs="바탕"/>
          <w:sz w:val="21"/>
        </w:rPr>
        <w:t xml:space="preserve">임상 현장에 대한 함의는 명확하다. AI 영상치유는 임상가를 대체하는 자율적 치료가 아니라, 임상가의 통제 아래 안정화·심리교육·자원 강화를 보조하는 도구로 위치 지어져야 한다. 임상가는 도구의 한계와 재외상화 위험을 숙지하고, 사용 여부·시점·강도에 대한 임상적 게이트키퍼로 기능해야 한다.</w:t>
      </w:r>
    </w:p>
    <w:bookmarkEnd w:id="44"/>
    <w:bookmarkStart w:id="45" w:name="Xc263fe5d114097992919d8ebe1e505a44603c40"/>
    <w:p>
      <w:pPr>
        <w:pStyle w:val="Heading3"/>
        <w:spacing w:lineRule="auto" w:line="384" w:before="240" w:after="120"/>
        <w:jc w:val="left"/>
      </w:pPr>
      <w:r>
        <w:rPr>
          <w:rFonts w:ascii="돋움" w:hAnsi="돋움" w:eastAsia="돋움" w:cs="돋움"/>
          <w:b/>
        </w:rPr>
        <w:t xml:space="preserve">4. 정책적 함의</w:t>
      </w:r>
    </w:p>
    <w:p>
      <w:pPr>
        <w:pStyle w:val="FirstParagraph"/>
        <w:spacing w:lineRule="auto" w:line="384"/>
        <w:jc w:val="both"/>
      </w:pPr>
      <w:r>
        <w:rPr>
          <w:rFonts w:ascii="바탕" w:hAnsi="바탕" w:eastAsia="바탕" w:cs="바탕"/>
          <w:sz w:val="21"/>
        </w:rPr>
        <w:t xml:space="preserve">정책적으로는, 트라우마처럼 위험이 큰 영역에 특화된 별도의 규제·인증 체계가 요구된다. WHO(2021)의 일반 원칙을 외상 영역에 구체화하여, 안전성 검증·위기 대응·데이터 보호·편향 점검을 의무화하는 가이드라인과, '치료'를 표방하는 검증되지 않은 서비스에 대한 규율이 필요하다.</w:t>
      </w:r>
    </w:p>
    <w:p>
      <w:pPr>
        <w:spacing w:lineRule="auto" w:line="384"/>
        <w:jc w:val="both"/>
      </w:pPr>
      <w:r>
        <w:rPr>
          <w:rFonts w:ascii="바탕" w:hAnsi="바탕" w:eastAsia="바탕" w:cs="바탕"/>
          <w:sz w:val="21"/>
        </w:rPr>
        <w:pict>
          <v:rect style="width:0;height:1.5pt" o:hralign="center" o:hrstd="t" o:hr="t"/>
        </w:pict>
      </w:r>
    </w:p>
    <w:bookmarkEnd w:id="45"/>
    <w:bookmarkEnd w:id="46"/>
    <w:bookmarkStart w:id="47" w:name="X897f18e3bbd92e5dd8ae4d32f7ff866805f0e62"/>
    <w:p>
      <w:pPr>
        <w:pStyle w:val="Heading2"/>
        <w:spacing w:lineRule="auto" w:line="384" w:before="240" w:after="120"/>
        <w:jc w:val="left"/>
      </w:pPr>
      <w:r>
        <w:rPr>
          <w:rFonts w:ascii="돋움" w:hAnsi="돋움" w:eastAsia="돋움" w:cs="돋움"/>
          <w:b/>
        </w:rPr>
        <w:t xml:space="preserve">Ⅷ. 결론 및 제언</w:t>
      </w:r>
    </w:p>
    <w:p>
      <w:pPr>
        <w:pStyle w:val="FirstParagraph"/>
        <w:spacing w:lineRule="auto" w:line="384"/>
        <w:jc w:val="both"/>
      </w:pPr>
      <w:r>
        <w:rPr>
          <w:rFonts w:ascii="바탕" w:hAnsi="바탕" w:eastAsia="바탕" w:cs="바탕"/>
          <w:sz w:val="21"/>
        </w:rPr>
        <w:t xml:space="preserve">본 연구는 외상 치료 이론에 정박한 통합 분석틀을 구성하고, 이를 적용하여 트라우마 완화를 위한 AI 영상치유의 임상적·윤리적 쟁점을 검토하였다. 임상적으로는 재외상화, 안정화 부재, 치료적 동맹의 부재, 통제권 이전과 위기 대응 취약성, 근거 부족이, 윤리적으로는 자율성·동의, 무해성, 프라이버시, 정의(편향), 책임성이 핵심 쟁점으로 도출되었다. 트라우마는 부적절한 개입이 회복이 아닌 해로 직결되는 고위험 영역이므로, AI 영상치유는 트라우마 정보 기반 원칙과 안전장치를 갖춘</w:t>
      </w:r>
      <w:r>
        <w:rPr>
          <w:rFonts w:ascii="바탕" w:hAnsi="바탕" w:eastAsia="바탕" w:cs="바탕"/>
          <w:sz w:val="21"/>
        </w:rPr>
        <w:t xml:space="preserve"> </w:t>
      </w:r>
      <w:r>
        <w:rPr>
          <w:rFonts w:ascii="바탕" w:hAnsi="바탕" w:eastAsia="바탕" w:cs="바탕"/>
          <w:b/>
          <w:bCs/>
          <w:sz w:val="21"/>
        </w:rPr>
        <w:t xml:space="preserve">치료자 매개형 보조 도구</w:t>
      </w:r>
      <w:r>
        <w:rPr>
          <w:rFonts w:ascii="바탕" w:hAnsi="바탕" w:eastAsia="바탕" w:cs="바탕"/>
          <w:sz w:val="21"/>
        </w:rPr>
        <w:t xml:space="preserve">로만 책임 있게 적용되어야 한다.</w:t>
      </w:r>
    </w:p>
    <w:p>
      <w:pPr>
        <w:pStyle w:val="BodyText"/>
        <w:spacing w:lineRule="auto" w:line="384"/>
        <w:jc w:val="both"/>
      </w:pPr>
      <w:r>
        <w:rPr>
          <w:rFonts w:ascii="바탕" w:hAnsi="바탕" w:eastAsia="바탕" w:cs="바탕"/>
          <w:sz w:val="21"/>
        </w:rPr>
        <w:t xml:space="preserve">본 연구는 이론적 고찰에 머문다는 점, 빠르게 변화하는 기술의 특정 시점을 다룬다는 점에서 한계를 지닌다. 후속 연구를 위한 제언은 다음과 같다. 첫째,</w:t>
      </w:r>
      <w:r>
        <w:rPr>
          <w:rFonts w:ascii="바탕" w:hAnsi="바탕" w:eastAsia="바탕" w:cs="바탕"/>
          <w:sz w:val="21"/>
        </w:rPr>
        <w:t xml:space="preserve"> </w:t>
      </w:r>
      <w:r>
        <w:rPr>
          <w:rFonts w:ascii="바탕" w:hAnsi="바탕" w:eastAsia="바탕" w:cs="바탕"/>
          <w:b/>
          <w:bCs/>
          <w:sz w:val="21"/>
        </w:rPr>
        <w:t xml:space="preserve">안전성 우선의 실증연구</w:t>
      </w:r>
      <w:r>
        <w:rPr>
          <w:rFonts w:ascii="바탕" w:hAnsi="바탕" w:eastAsia="바탕" w:cs="바탕"/>
          <w:sz w:val="21"/>
        </w:rPr>
        <w:t xml:space="preserve">로서, 재외상화 위험을 통제한 설계(예: 임상가 입회하의 소표본 사전-사후 연구, 위해 모니터링을 내장한 단계적 시험) 아래 효과성과 부작용을 검증할 것을 제안한다. 둘째,</w:t>
      </w:r>
      <w:r>
        <w:rPr>
          <w:rFonts w:ascii="바탕" w:hAnsi="바탕" w:eastAsia="바탕" w:cs="바탕"/>
          <w:sz w:val="21"/>
        </w:rPr>
        <w:t xml:space="preserve"> </w:t>
      </w:r>
      <w:r>
        <w:rPr>
          <w:rFonts w:ascii="바탕" w:hAnsi="바탕" w:eastAsia="바탕" w:cs="바탕"/>
          <w:b/>
          <w:bCs/>
          <w:sz w:val="21"/>
        </w:rPr>
        <w:t xml:space="preserve">트라우마 특화 윤리·임상 가이드라인</w:t>
      </w:r>
      <w:r>
        <w:rPr>
          <w:rFonts w:ascii="바탕" w:hAnsi="바탕" w:eastAsia="바탕" w:cs="바탕"/>
          <w:sz w:val="21"/>
        </w:rPr>
        <w:t xml:space="preserve">을 개발하여 동의·데이터 보호·위기 대응·편향 점검의 표준을 수립할 것을 제안한다. 셋째,</w:t>
      </w:r>
      <w:r>
        <w:rPr>
          <w:rFonts w:ascii="바탕" w:hAnsi="바탕" w:eastAsia="바탕" w:cs="바탕"/>
          <w:sz w:val="21"/>
        </w:rPr>
        <w:t xml:space="preserve"> </w:t>
      </w:r>
      <w:r>
        <w:rPr>
          <w:rFonts w:ascii="바탕" w:hAnsi="바탕" w:eastAsia="바탕" w:cs="바탕"/>
          <w:b/>
          <w:bCs/>
          <w:sz w:val="21"/>
        </w:rPr>
        <w:t xml:space="preserve">치료자-AI 협업 프로토콜</w:t>
      </w:r>
      <w:r>
        <w:rPr>
          <w:rFonts w:ascii="바탕" w:hAnsi="바탕" w:eastAsia="바탕" w:cs="바탕"/>
          <w:sz w:val="21"/>
        </w:rPr>
        <w:t xml:space="preserve">을 개발하고, 임상가 통제 아래 AI를 활용하는 구체적 절차의 안전성과 수용성을 검증할 것을 제안한다.</w:t>
      </w:r>
    </w:p>
    <w:p>
      <w:pPr>
        <w:pStyle w:val="BodyText"/>
        <w:spacing w:lineRule="auto" w:line="384"/>
        <w:jc w:val="both"/>
      </w:pPr>
      <w:r>
        <w:rPr>
          <w:rFonts w:ascii="바탕" w:hAnsi="바탕" w:eastAsia="바탕" w:cs="바탕"/>
          <w:sz w:val="21"/>
        </w:rPr>
        <w:t xml:space="preserve">본 연구는 트라우마라는 고위험 영역에서 빠르게 확산되는 디지털 치유 기술을, 검증된 치료 이론의 관점에서 비판적으로 성찰할 이론적 토대와 분석틀을 제공했다는 데 의의가 있다.</w:t>
      </w:r>
    </w:p>
    <w:p>
      <w:pPr>
        <w:spacing w:lineRule="auto" w:line="384"/>
        <w:jc w:val="both"/>
      </w:pPr>
      <w:r>
        <w:rPr>
          <w:rFonts w:ascii="바탕" w:hAnsi="바탕" w:eastAsia="바탕" w:cs="바탕"/>
          <w:sz w:val="21"/>
        </w:rPr>
        <w:pict>
          <v:rect style="width:0;height:1.5pt" o:hralign="center" o:hrstd="t" o:hr="t"/>
        </w:pict>
      </w:r>
    </w:p>
    <w:bookmarkEnd w:id="47"/>
    <w:bookmarkStart w:id="68" w:name="참고문헌-references"/>
    <w:p>
      <w:pPr>
        <w:pStyle w:val="Heading2"/>
        <w:spacing w:lineRule="auto" w:line="384" w:before="240" w:after="120"/>
        <w:jc w:val="left"/>
      </w:pPr>
      <w:r>
        <w:rPr>
          <w:rFonts w:ascii="돋움" w:hAnsi="돋움" w:eastAsia="돋움" w:cs="돋움"/>
          <w:b/>
        </w:rPr>
        <w:t xml:space="preserve">참고문헌 (References)</w:t>
      </w:r>
    </w:p>
    <w:p>
      <w:pPr>
        <w:pStyle w:val="BlockText"/>
        <w:spacing w:lineRule="auto" w:line="384"/>
        <w:jc w:val="both"/>
      </w:pPr>
      <w:r>
        <w:rPr>
          <w:rFonts w:ascii="바탕" w:hAnsi="바탕" w:eastAsia="바탕" w:cs="바탕"/>
          <w:i/>
          <w:iCs/>
          <w:sz w:val="21"/>
        </w:rPr>
        <w:t xml:space="preserve">APA 7판 형식. 국내 문헌은 가나다순, 국외 문헌은 알파벳순으로 정렬하였다. 실제 제출 시 둘째 줄 들여쓰기(hanging indent)를 적용할 것.</w:t>
      </w:r>
    </w:p>
    <w:bookmarkStart w:id="51" w:name="국내-문헌"/>
    <w:p>
      <w:pPr>
        <w:pStyle w:val="Heading3"/>
        <w:spacing w:lineRule="auto" w:line="384" w:before="240" w:after="120"/>
        <w:jc w:val="left"/>
      </w:pPr>
      <w:r>
        <w:rPr>
          <w:rFonts w:ascii="돋움" w:hAnsi="돋움" w:eastAsia="돋움" w:cs="돋움"/>
          <w:b/>
        </w:rPr>
        <w:t xml:space="preserve">국내 문헌</w:t>
      </w:r>
    </w:p>
    <w:p>
      <w:pPr>
        <w:pStyle w:val="FirstParagraph"/>
        <w:spacing w:lineRule="auto" w:line="384" w:after="120"/>
        <w:ind w:left="720" w:hanging="720"/>
        <w:jc w:val="left"/>
      </w:pPr>
      <w:r>
        <w:rPr>
          <w:rFonts w:ascii="바탕" w:hAnsi="바탕" w:eastAsia="바탕" w:cs="바탕"/>
          <w:sz w:val="21"/>
        </w:rPr>
        <w:t xml:space="preserve">여수진, 손승희 (2025). AI 기반 심리상담 연구의 국내 동향 분석: 주제범위 문헌고찰을 중심으로.</w:t>
      </w:r>
      <w:r>
        <w:rPr>
          <w:rFonts w:ascii="바탕" w:hAnsi="바탕" w:eastAsia="바탕" w:cs="바탕"/>
          <w:sz w:val="21"/>
        </w:rPr>
        <w:t xml:space="preserve"> </w:t>
      </w:r>
      <w:r>
        <w:rPr>
          <w:rFonts w:ascii="바탕" w:hAnsi="바탕" w:eastAsia="바탕" w:cs="바탕"/>
          <w:i/>
          <w:iCs/>
          <w:sz w:val="21"/>
        </w:rPr>
        <w:t xml:space="preserve">상담심리교육복지, 12</w:t>
      </w:r>
      <w:r>
        <w:rPr>
          <w:rFonts w:ascii="바탕" w:hAnsi="바탕" w:eastAsia="바탕" w:cs="바탕"/>
          <w:sz w:val="21"/>
        </w:rPr>
        <w:t xml:space="preserve">(5), 11–27.</w:t>
      </w:r>
      <w:r>
        <w:rPr>
          <w:rFonts w:ascii="바탕" w:hAnsi="바탕" w:eastAsia="바탕" w:cs="바탕"/>
          <w:sz w:val="21"/>
        </w:rPr>
        <w:t xml:space="preserve"> </w:t>
      </w:r>
      <w:hyperlink r:id="rId48">
        <w:r>
          <w:rPr>
            <w:rStyle w:val="Hyperlink"/>
          </w:rPr>
          <w:t xml:space="preserve">https://doi.org/10.20496/cpew.2025.12.5.11</w:t>
        </w:r>
      </w:hyperlink>
    </w:p>
    <w:p>
      <w:pPr>
        <w:pStyle w:val="BodyText"/>
        <w:spacing w:lineRule="auto" w:line="384" w:after="120"/>
        <w:ind w:left="720" w:hanging="720"/>
        <w:jc w:val="left"/>
      </w:pPr>
      <w:r>
        <w:rPr>
          <w:rFonts w:ascii="바탕" w:hAnsi="바탕" w:eastAsia="바탕" w:cs="바탕"/>
          <w:sz w:val="21"/>
        </w:rPr>
        <w:t xml:space="preserve">유정 (2015). 심리적 트라우마의 정보처리: 뇌생리학적 근거와 트라우마 내러티브.</w:t>
      </w:r>
      <w:r>
        <w:rPr>
          <w:rFonts w:ascii="바탕" w:hAnsi="바탕" w:eastAsia="바탕" w:cs="바탕"/>
          <w:sz w:val="21"/>
        </w:rPr>
        <w:t xml:space="preserve"> </w:t>
      </w:r>
      <w:r>
        <w:rPr>
          <w:rFonts w:ascii="바탕" w:hAnsi="바탕" w:eastAsia="바탕" w:cs="바탕"/>
          <w:i/>
          <w:iCs/>
          <w:sz w:val="21"/>
        </w:rPr>
        <w:t xml:space="preserve">인간·환경·미래, 14</w:t>
      </w:r>
      <w:r>
        <w:rPr>
          <w:rFonts w:ascii="바탕" w:hAnsi="바탕" w:eastAsia="바탕" w:cs="바탕"/>
          <w:sz w:val="21"/>
        </w:rPr>
        <w:t xml:space="preserve">, 29–65.</w:t>
      </w:r>
      <w:r>
        <w:rPr>
          <w:rFonts w:ascii="바탕" w:hAnsi="바탕" w:eastAsia="바탕" w:cs="바탕"/>
          <w:sz w:val="21"/>
        </w:rPr>
        <w:t xml:space="preserve"> </w:t>
      </w:r>
      <w:hyperlink r:id="rId49">
        <w:r>
          <w:rPr>
            <w:rStyle w:val="Hyperlink"/>
          </w:rPr>
          <w:t xml:space="preserve">https://doi.org/10.34162/hefins.2015..14.002</w:t>
        </w:r>
      </w:hyperlink>
    </w:p>
    <w:p>
      <w:pPr>
        <w:pStyle w:val="BodyText"/>
        <w:spacing w:lineRule="auto" w:line="384" w:after="120"/>
        <w:ind w:left="720" w:hanging="720"/>
        <w:jc w:val="left"/>
      </w:pPr>
      <w:r>
        <w:rPr>
          <w:rFonts w:ascii="바탕" w:hAnsi="바탕" w:eastAsia="바탕" w:cs="바탕"/>
          <w:sz w:val="21"/>
        </w:rPr>
        <w:t xml:space="preserve">장규현, 서영석 (2022). 심리상담 챗봇에 대한 상담사들의 인식.</w:t>
      </w:r>
      <w:r>
        <w:rPr>
          <w:rFonts w:ascii="바탕" w:hAnsi="바탕" w:eastAsia="바탕" w:cs="바탕"/>
          <w:sz w:val="21"/>
        </w:rPr>
        <w:t xml:space="preserve"> </w:t>
      </w:r>
      <w:r>
        <w:rPr>
          <w:rFonts w:ascii="바탕" w:hAnsi="바탕" w:eastAsia="바탕" w:cs="바탕"/>
          <w:i/>
          <w:iCs/>
          <w:sz w:val="21"/>
        </w:rPr>
        <w:t xml:space="preserve">상담학연구, 23</w:t>
      </w:r>
      <w:r>
        <w:rPr>
          <w:rFonts w:ascii="바탕" w:hAnsi="바탕" w:eastAsia="바탕" w:cs="바탕"/>
          <w:sz w:val="21"/>
        </w:rPr>
        <w:t xml:space="preserve">(6), 17–48.</w:t>
      </w:r>
      <w:r>
        <w:rPr>
          <w:rFonts w:ascii="바탕" w:hAnsi="바탕" w:eastAsia="바탕" w:cs="바탕"/>
          <w:sz w:val="21"/>
        </w:rPr>
        <w:t xml:space="preserve"> </w:t>
      </w:r>
      <w:hyperlink r:id="rId50">
        <w:r>
          <w:rPr>
            <w:rStyle w:val="Hyperlink"/>
          </w:rPr>
          <w:t xml:space="preserve">https://doi.org/10.15703/kjc.23.6.202212.17</w:t>
        </w:r>
      </w:hyperlink>
    </w:p>
    <w:p>
      <w:pPr>
        <w:pStyle w:val="BodyText"/>
        <w:spacing w:lineRule="auto" w:line="384" w:after="120"/>
        <w:ind w:left="720" w:hanging="720"/>
        <w:jc w:val="left"/>
      </w:pPr>
      <w:r>
        <w:rPr>
          <w:rFonts w:ascii="바탕" w:hAnsi="바탕" w:eastAsia="바탕" w:cs="바탕"/>
          <w:sz w:val="21"/>
        </w:rPr>
        <w:t xml:space="preserve">최수미 (2015). 외상 사건 후 PTSD 예방을 위한 치료적 개입 및 모델의 동향분석.</w:t>
      </w:r>
      <w:r>
        <w:rPr>
          <w:rFonts w:ascii="바탕" w:hAnsi="바탕" w:eastAsia="바탕" w:cs="바탕"/>
          <w:sz w:val="21"/>
        </w:rPr>
        <w:t xml:space="preserve"> </w:t>
      </w:r>
      <w:r>
        <w:rPr>
          <w:rFonts w:ascii="바탕" w:hAnsi="바탕" w:eastAsia="바탕" w:cs="바탕"/>
          <w:i/>
          <w:iCs/>
          <w:sz w:val="21"/>
        </w:rPr>
        <w:t xml:space="preserve">상담학연구, 16</w:t>
      </w:r>
      <w:r>
        <w:rPr>
          <w:rFonts w:ascii="바탕" w:hAnsi="바탕" w:eastAsia="바탕" w:cs="바탕"/>
          <w:sz w:val="21"/>
        </w:rPr>
        <w:t xml:space="preserve">(3), 537–556.</w:t>
      </w:r>
    </w:p>
    <w:bookmarkEnd w:id="51"/>
    <w:bookmarkStart w:id="67" w:name="국외-문헌"/>
    <w:p>
      <w:pPr>
        <w:pStyle w:val="Heading3"/>
        <w:spacing w:lineRule="auto" w:line="384" w:before="240" w:after="120"/>
        <w:jc w:val="left"/>
      </w:pPr>
      <w:r>
        <w:rPr>
          <w:rFonts w:ascii="돋움" w:hAnsi="돋움" w:eastAsia="돋움" w:cs="돋움"/>
          <w:b/>
        </w:rPr>
        <w:t xml:space="preserve">국외 문헌</w:t>
      </w:r>
    </w:p>
    <w:p>
      <w:pPr>
        <w:pStyle w:val="FirstParagraph"/>
        <w:spacing w:lineRule="auto" w:line="384" w:after="120"/>
        <w:ind w:left="720" w:hanging="720"/>
        <w:jc w:val="left"/>
      </w:pPr>
      <w:r>
        <w:rPr>
          <w:rFonts w:ascii="바탕" w:hAnsi="바탕" w:eastAsia="바탕" w:cs="바탕"/>
          <w:sz w:val="21"/>
        </w:rPr>
        <w:t xml:space="preserve">Adenauer, H., Catani, C., Gola, H., Keil, J., Ruf, M., Schauer, M., &amp; Neuner, F. (2011). Narrative exposure therapy for PTSD increases top-down processing of aversive stimuli: Evidence from a randomized controlled treatment trial.</w:t>
      </w:r>
      <w:r>
        <w:rPr>
          <w:rFonts w:ascii="바탕" w:hAnsi="바탕" w:eastAsia="바탕" w:cs="바탕"/>
          <w:sz w:val="21"/>
        </w:rPr>
        <w:t xml:space="preserve"> </w:t>
      </w:r>
      <w:r>
        <w:rPr>
          <w:rFonts w:ascii="바탕" w:hAnsi="바탕" w:eastAsia="바탕" w:cs="바탕"/>
          <w:i/>
          <w:iCs/>
          <w:sz w:val="21"/>
        </w:rPr>
        <w:t xml:space="preserve">BMC Neuroscience, 12</w:t>
      </w:r>
      <w:r>
        <w:rPr>
          <w:rFonts w:ascii="바탕" w:hAnsi="바탕" w:eastAsia="바탕" w:cs="바탕"/>
          <w:sz w:val="21"/>
        </w:rPr>
        <w:t xml:space="preserve">, Article 127.</w:t>
      </w:r>
      <w:r>
        <w:rPr>
          <w:rFonts w:ascii="바탕" w:hAnsi="바탕" w:eastAsia="바탕" w:cs="바탕"/>
          <w:sz w:val="21"/>
        </w:rPr>
        <w:t xml:space="preserve"> </w:t>
      </w:r>
      <w:hyperlink r:id="rId52">
        <w:r>
          <w:rPr>
            <w:rStyle w:val="Hyperlink"/>
          </w:rPr>
          <w:t xml:space="preserve">https://doi.org/10.1186/1471-2202-12-127</w:t>
        </w:r>
      </w:hyperlink>
    </w:p>
    <w:p>
      <w:pPr>
        <w:pStyle w:val="BodyText"/>
        <w:spacing w:lineRule="auto" w:line="384" w:after="120"/>
        <w:ind w:left="720" w:hanging="720"/>
        <w:jc w:val="left"/>
      </w:pPr>
      <w:r>
        <w:rPr>
          <w:rFonts w:ascii="바탕" w:hAnsi="바탕" w:eastAsia="바탕" w:cs="바탕"/>
          <w:sz w:val="21"/>
        </w:rPr>
        <w:t xml:space="preserve">American Psychological Association. (2025).</w:t>
      </w:r>
      <w:r>
        <w:rPr>
          <w:rFonts w:ascii="바탕" w:hAnsi="바탕" w:eastAsia="바탕" w:cs="바탕"/>
          <w:sz w:val="21"/>
        </w:rPr>
        <w:t xml:space="preserve"> </w:t>
      </w:r>
      <w:r>
        <w:rPr>
          <w:rFonts w:ascii="바탕" w:hAnsi="바탕" w:eastAsia="바탕" w:cs="바탕"/>
          <w:i/>
          <w:iCs/>
          <w:sz w:val="21"/>
        </w:rPr>
        <w:t xml:space="preserve">Balancing promise and risk: Ethical considerations for GenAI in mental health care.</w:t>
      </w:r>
      <w:r>
        <w:rPr>
          <w:rFonts w:ascii="바탕" w:hAnsi="바탕" w:eastAsia="바탕" w:cs="바탕"/>
          <w:sz w:val="21"/>
        </w:rPr>
        <w:t xml:space="preserve"> </w:t>
      </w:r>
      <w:r>
        <w:rPr>
          <w:rFonts w:ascii="바탕" w:hAnsi="바탕" w:eastAsia="바탕" w:cs="바탕"/>
          <w:sz w:val="21"/>
        </w:rPr>
        <w:t xml:space="preserve">APA Services.</w:t>
      </w:r>
      <w:r>
        <w:rPr>
          <w:rFonts w:ascii="바탕" w:hAnsi="바탕" w:eastAsia="바탕" w:cs="바탕"/>
          <w:sz w:val="21"/>
        </w:rPr>
        <w:t xml:space="preserve"> </w:t>
      </w:r>
      <w:hyperlink r:id="rId53">
        <w:r>
          <w:rPr>
            <w:rStyle w:val="Hyperlink"/>
          </w:rPr>
          <w:t xml:space="preserve">https://www.apaservices.org/practice/ce/expert/ethical-genai-mental-health-care</w:t>
        </w:r>
      </w:hyperlink>
    </w:p>
    <w:p>
      <w:pPr>
        <w:pStyle w:val="BodyText"/>
        <w:spacing w:lineRule="auto" w:line="384" w:after="120"/>
        <w:ind w:left="720" w:hanging="720"/>
        <w:jc w:val="left"/>
      </w:pPr>
      <w:r>
        <w:rPr>
          <w:rFonts w:ascii="바탕" w:hAnsi="바탕" w:eastAsia="바탕" w:cs="바탕"/>
          <w:sz w:val="21"/>
        </w:rPr>
        <w:t xml:space="preserve">Bordin, E. S. (1979). The generalizability of the psychoanalytic concept of the working alliance.</w:t>
      </w:r>
      <w:r>
        <w:rPr>
          <w:rFonts w:ascii="바탕" w:hAnsi="바탕" w:eastAsia="바탕" w:cs="바탕"/>
          <w:sz w:val="21"/>
        </w:rPr>
        <w:t xml:space="preserve"> </w:t>
      </w:r>
      <w:r>
        <w:rPr>
          <w:rFonts w:ascii="바탕" w:hAnsi="바탕" w:eastAsia="바탕" w:cs="바탕"/>
          <w:i/>
          <w:iCs/>
          <w:sz w:val="21"/>
        </w:rPr>
        <w:t xml:space="preserve">Psychotherapy: Theory, Research &amp; Practice, 16</w:t>
      </w:r>
      <w:r>
        <w:rPr>
          <w:rFonts w:ascii="바탕" w:hAnsi="바탕" w:eastAsia="바탕" w:cs="바탕"/>
          <w:sz w:val="21"/>
        </w:rPr>
        <w:t xml:space="preserve">(3), 252–260.</w:t>
      </w:r>
      <w:r>
        <w:rPr>
          <w:rFonts w:ascii="바탕" w:hAnsi="바탕" w:eastAsia="바탕" w:cs="바탕"/>
          <w:sz w:val="21"/>
        </w:rPr>
        <w:t xml:space="preserve"> </w:t>
      </w:r>
      <w:hyperlink r:id="rId54">
        <w:r>
          <w:rPr>
            <w:rStyle w:val="Hyperlink"/>
          </w:rPr>
          <w:t xml:space="preserve">https://doi.org/10.1037/h0085885</w:t>
        </w:r>
      </w:hyperlink>
    </w:p>
    <w:p>
      <w:pPr>
        <w:pStyle w:val="BodyText"/>
        <w:spacing w:lineRule="auto" w:line="384" w:after="120"/>
        <w:ind w:left="720" w:hanging="720"/>
        <w:jc w:val="left"/>
      </w:pPr>
      <w:r>
        <w:rPr>
          <w:rFonts w:ascii="바탕" w:hAnsi="바탕" w:eastAsia="바탕" w:cs="바탕"/>
          <w:sz w:val="21"/>
        </w:rPr>
        <w:t xml:space="preserve">Cuijpers, P., Reijnders, M., &amp; Huibers, M. J. H. (2019). The role of common factors in psychotherapy outcomes.</w:t>
      </w:r>
      <w:r>
        <w:rPr>
          <w:rFonts w:ascii="바탕" w:hAnsi="바탕" w:eastAsia="바탕" w:cs="바탕"/>
          <w:sz w:val="21"/>
        </w:rPr>
        <w:t xml:space="preserve"> </w:t>
      </w:r>
      <w:r>
        <w:rPr>
          <w:rFonts w:ascii="바탕" w:hAnsi="바탕" w:eastAsia="바탕" w:cs="바탕"/>
          <w:i/>
          <w:iCs/>
          <w:sz w:val="21"/>
        </w:rPr>
        <w:t xml:space="preserve">Annual Review of Clinical Psychology, 15</w:t>
      </w:r>
      <w:r>
        <w:rPr>
          <w:rFonts w:ascii="바탕" w:hAnsi="바탕" w:eastAsia="바탕" w:cs="바탕"/>
          <w:sz w:val="21"/>
        </w:rPr>
        <w:t xml:space="preserve">, 207–231.</w:t>
      </w:r>
      <w:r>
        <w:rPr>
          <w:rFonts w:ascii="바탕" w:hAnsi="바탕" w:eastAsia="바탕" w:cs="바탕"/>
          <w:sz w:val="21"/>
        </w:rPr>
        <w:t xml:space="preserve"> </w:t>
      </w:r>
      <w:hyperlink r:id="rId55">
        <w:r>
          <w:rPr>
            <w:rStyle w:val="Hyperlink"/>
          </w:rPr>
          <w:t xml:space="preserve">https://doi.org/10.1146/annurev-clinpsy-050718-095424</w:t>
        </w:r>
      </w:hyperlink>
    </w:p>
    <w:p>
      <w:pPr>
        <w:pStyle w:val="BodyText"/>
        <w:spacing w:lineRule="auto" w:line="384" w:after="120"/>
        <w:ind w:left="720" w:hanging="720"/>
        <w:jc w:val="left"/>
      </w:pPr>
      <w:r>
        <w:rPr>
          <w:rFonts w:ascii="바탕" w:hAnsi="바탕" w:eastAsia="바탕" w:cs="바탕"/>
          <w:sz w:val="21"/>
        </w:rPr>
        <w:t xml:space="preserve">Flückiger, C., Del Re, A. C., Wampold, B. E., &amp; Horvath, A. O. (2018). The alliance in adult psychotherapy: A meta-analytic synthesis.</w:t>
      </w:r>
      <w:r>
        <w:rPr>
          <w:rFonts w:ascii="바탕" w:hAnsi="바탕" w:eastAsia="바탕" w:cs="바탕"/>
          <w:sz w:val="21"/>
        </w:rPr>
        <w:t xml:space="preserve"> </w:t>
      </w:r>
      <w:r>
        <w:rPr>
          <w:rFonts w:ascii="바탕" w:hAnsi="바탕" w:eastAsia="바탕" w:cs="바탕"/>
          <w:i/>
          <w:iCs/>
          <w:sz w:val="21"/>
        </w:rPr>
        <w:t xml:space="preserve">Psychotherapy, 55</w:t>
      </w:r>
      <w:r>
        <w:rPr>
          <w:rFonts w:ascii="바탕" w:hAnsi="바탕" w:eastAsia="바탕" w:cs="바탕"/>
          <w:sz w:val="21"/>
        </w:rPr>
        <w:t xml:space="preserve">(4), 316–340.</w:t>
      </w:r>
      <w:r>
        <w:rPr>
          <w:rFonts w:ascii="바탕" w:hAnsi="바탕" w:eastAsia="바탕" w:cs="바탕"/>
          <w:sz w:val="21"/>
        </w:rPr>
        <w:t xml:space="preserve"> </w:t>
      </w:r>
      <w:hyperlink r:id="rId56">
        <w:r>
          <w:rPr>
            <w:rStyle w:val="Hyperlink"/>
          </w:rPr>
          <w:t xml:space="preserve">https://doi.org/10.1037/pst0000172</w:t>
        </w:r>
      </w:hyperlink>
    </w:p>
    <w:p>
      <w:pPr>
        <w:pStyle w:val="BodyText"/>
        <w:spacing w:lineRule="auto" w:line="384" w:after="120"/>
        <w:ind w:left="720" w:hanging="720"/>
        <w:jc w:val="left"/>
      </w:pPr>
      <w:r>
        <w:rPr>
          <w:rFonts w:ascii="바탕" w:hAnsi="바탕" w:eastAsia="바탕" w:cs="바탕"/>
          <w:sz w:val="21"/>
        </w:rPr>
        <w:t xml:space="preserve">Foa, E. B., &amp; Kozak, M. J. (1986). Emotional processing of fear: Exposure to corrective information.</w:t>
      </w:r>
      <w:r>
        <w:rPr>
          <w:rFonts w:ascii="바탕" w:hAnsi="바탕" w:eastAsia="바탕" w:cs="바탕"/>
          <w:sz w:val="21"/>
        </w:rPr>
        <w:t xml:space="preserve"> </w:t>
      </w:r>
      <w:r>
        <w:rPr>
          <w:rFonts w:ascii="바탕" w:hAnsi="바탕" w:eastAsia="바탕" w:cs="바탕"/>
          <w:i/>
          <w:iCs/>
          <w:sz w:val="21"/>
        </w:rPr>
        <w:t xml:space="preserve">Psychological Bulletin, 99</w:t>
      </w:r>
      <w:r>
        <w:rPr>
          <w:rFonts w:ascii="바탕" w:hAnsi="바탕" w:eastAsia="바탕" w:cs="바탕"/>
          <w:sz w:val="21"/>
        </w:rPr>
        <w:t xml:space="preserve">(1), 20–35.</w:t>
      </w:r>
      <w:r>
        <w:rPr>
          <w:rFonts w:ascii="바탕" w:hAnsi="바탕" w:eastAsia="바탕" w:cs="바탕"/>
          <w:sz w:val="21"/>
        </w:rPr>
        <w:t xml:space="preserve"> </w:t>
      </w:r>
      <w:hyperlink r:id="rId57">
        <w:r>
          <w:rPr>
            <w:rStyle w:val="Hyperlink"/>
          </w:rPr>
          <w:t xml:space="preserve">https://doi.org/10.1037/0033-2909.99.1.20</w:t>
        </w:r>
      </w:hyperlink>
    </w:p>
    <w:p>
      <w:pPr>
        <w:pStyle w:val="BodyText"/>
        <w:spacing w:lineRule="auto" w:line="384" w:after="120"/>
        <w:ind w:left="720" w:hanging="720"/>
        <w:jc w:val="left"/>
      </w:pPr>
      <w:r>
        <w:rPr>
          <w:rFonts w:ascii="바탕" w:hAnsi="바탕" w:eastAsia="바탕" w:cs="바탕"/>
          <w:sz w:val="21"/>
        </w:rPr>
        <w:t xml:space="preserve">Herman, J. L. (1992).</w:t>
      </w:r>
      <w:r>
        <w:rPr>
          <w:rFonts w:ascii="바탕" w:hAnsi="바탕" w:eastAsia="바탕" w:cs="바탕"/>
          <w:sz w:val="21"/>
        </w:rPr>
        <w:t xml:space="preserve"> </w:t>
      </w:r>
      <w:r>
        <w:rPr>
          <w:rFonts w:ascii="바탕" w:hAnsi="바탕" w:eastAsia="바탕" w:cs="바탕"/>
          <w:i/>
          <w:iCs/>
          <w:sz w:val="21"/>
        </w:rPr>
        <w:t xml:space="preserve">Trauma and recovery: The aftermath of violence—from domestic abuse to political terror.</w:t>
      </w:r>
      <w:r>
        <w:rPr>
          <w:rFonts w:ascii="바탕" w:hAnsi="바탕" w:eastAsia="바탕" w:cs="바탕"/>
          <w:sz w:val="21"/>
        </w:rPr>
        <w:t xml:space="preserve"> </w:t>
      </w:r>
      <w:r>
        <w:rPr>
          <w:rFonts w:ascii="바탕" w:hAnsi="바탕" w:eastAsia="바탕" w:cs="바탕"/>
          <w:sz w:val="21"/>
        </w:rPr>
        <w:t xml:space="preserve">Basic Books.</w:t>
      </w:r>
    </w:p>
    <w:p>
      <w:pPr>
        <w:pStyle w:val="BodyText"/>
        <w:spacing w:lineRule="auto" w:line="384" w:after="120"/>
        <w:ind w:left="720" w:hanging="720"/>
        <w:jc w:val="left"/>
      </w:pPr>
      <w:r>
        <w:rPr>
          <w:rFonts w:ascii="바탕" w:hAnsi="바탕" w:eastAsia="바탕" w:cs="바탕"/>
          <w:sz w:val="21"/>
        </w:rPr>
        <w:t xml:space="preserve">Kothgassner, O. D., Goreis, A., Kafka, J. X., Van Eickels, R. L., Plener, P. L., &amp; Felnhofer, A. (2019). Virtual reality exposure therapy for posttraumatic stress disorder (PTSD): A meta-analysis.</w:t>
      </w:r>
      <w:r>
        <w:rPr>
          <w:rFonts w:ascii="바탕" w:hAnsi="바탕" w:eastAsia="바탕" w:cs="바탕"/>
          <w:sz w:val="21"/>
        </w:rPr>
        <w:t xml:space="preserve"> </w:t>
      </w:r>
      <w:r>
        <w:rPr>
          <w:rFonts w:ascii="바탕" w:hAnsi="바탕" w:eastAsia="바탕" w:cs="바탕"/>
          <w:i/>
          <w:iCs/>
          <w:sz w:val="21"/>
        </w:rPr>
        <w:t xml:space="preserve">European Journal of Psychotraumatology, 10</w:t>
      </w:r>
      <w:r>
        <w:rPr>
          <w:rFonts w:ascii="바탕" w:hAnsi="바탕" w:eastAsia="바탕" w:cs="바탕"/>
          <w:sz w:val="21"/>
        </w:rPr>
        <w:t xml:space="preserve">(1), Article 1654782.</w:t>
      </w:r>
      <w:r>
        <w:rPr>
          <w:rFonts w:ascii="바탕" w:hAnsi="바탕" w:eastAsia="바탕" w:cs="바탕"/>
          <w:sz w:val="21"/>
        </w:rPr>
        <w:t xml:space="preserve"> </w:t>
      </w:r>
      <w:hyperlink r:id="rId58">
        <w:r>
          <w:rPr>
            <w:rStyle w:val="Hyperlink"/>
          </w:rPr>
          <w:t xml:space="preserve">https://doi.org/10.1080/20008198.2019.1654782</w:t>
        </w:r>
      </w:hyperlink>
    </w:p>
    <w:p>
      <w:pPr>
        <w:pStyle w:val="BodyText"/>
        <w:spacing w:lineRule="auto" w:line="384" w:after="120"/>
        <w:ind w:left="720" w:hanging="720"/>
        <w:jc w:val="left"/>
      </w:pPr>
      <w:r>
        <w:rPr>
          <w:rFonts w:ascii="바탕" w:hAnsi="바탕" w:eastAsia="바탕" w:cs="바탕"/>
          <w:sz w:val="21"/>
        </w:rPr>
        <w:t xml:space="preserve">Liu, Y., Zhang, K., Li, Y., Yan, Z., Gao, C., Chen, R., Yuan, Z., Huang, Y., Sun, H., Gao, J., He, L., &amp; Sun, L. (2024).</w:t>
      </w:r>
      <w:r>
        <w:rPr>
          <w:rFonts w:ascii="바탕" w:hAnsi="바탕" w:eastAsia="바탕" w:cs="바탕"/>
          <w:sz w:val="21"/>
        </w:rPr>
        <w:t xml:space="preserve"> </w:t>
      </w:r>
      <w:r>
        <w:rPr>
          <w:rFonts w:ascii="바탕" w:hAnsi="바탕" w:eastAsia="바탕" w:cs="바탕"/>
          <w:i/>
          <w:iCs/>
          <w:sz w:val="21"/>
        </w:rPr>
        <w:t xml:space="preserve">Sora: A review on background, technology, limitations, and opportunities of large vision models</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59">
        <w:r>
          <w:rPr>
            <w:rStyle w:val="Hyperlink"/>
          </w:rPr>
          <w:t xml:space="preserve">https://doi.org/10.48550/arXiv.2402.17177</w:t>
        </w:r>
      </w:hyperlink>
    </w:p>
    <w:p>
      <w:pPr>
        <w:pStyle w:val="BodyText"/>
        <w:spacing w:lineRule="auto" w:line="384" w:after="120"/>
        <w:ind w:left="720" w:hanging="720"/>
        <w:jc w:val="left"/>
      </w:pPr>
      <w:r>
        <w:rPr>
          <w:rFonts w:ascii="바탕" w:hAnsi="바탕" w:eastAsia="바탕" w:cs="바탕"/>
          <w:sz w:val="21"/>
        </w:rPr>
        <w:t xml:space="preserve">Obermeyer, Z., Powers, B., Vogeli, C., &amp; Mullainathan, S. (2019). Dissecting racial bias in an algorithm used to manage the health of populations.</w:t>
      </w:r>
      <w:r>
        <w:rPr>
          <w:rFonts w:ascii="바탕" w:hAnsi="바탕" w:eastAsia="바탕" w:cs="바탕"/>
          <w:sz w:val="21"/>
        </w:rPr>
        <w:t xml:space="preserve"> </w:t>
      </w:r>
      <w:r>
        <w:rPr>
          <w:rFonts w:ascii="바탕" w:hAnsi="바탕" w:eastAsia="바탕" w:cs="바탕"/>
          <w:i/>
          <w:iCs/>
          <w:sz w:val="21"/>
        </w:rPr>
        <w:t xml:space="preserve">Science, 366</w:t>
      </w:r>
      <w:r>
        <w:rPr>
          <w:rFonts w:ascii="바탕" w:hAnsi="바탕" w:eastAsia="바탕" w:cs="바탕"/>
          <w:sz w:val="21"/>
        </w:rPr>
        <w:t xml:space="preserve">(6464), 447–453.</w:t>
      </w:r>
      <w:r>
        <w:rPr>
          <w:rFonts w:ascii="바탕" w:hAnsi="바탕" w:eastAsia="바탕" w:cs="바탕"/>
          <w:sz w:val="21"/>
        </w:rPr>
        <w:t xml:space="preserve"> </w:t>
      </w:r>
      <w:hyperlink r:id="rId60">
        <w:r>
          <w:rPr>
            <w:rStyle w:val="Hyperlink"/>
          </w:rPr>
          <w:t xml:space="preserve">https://doi.org/10.1126/science.aax2342</w:t>
        </w:r>
      </w:hyperlink>
    </w:p>
    <w:p>
      <w:pPr>
        <w:pStyle w:val="BodyText"/>
        <w:spacing w:lineRule="auto" w:line="384" w:after="120"/>
        <w:ind w:left="720" w:hanging="720"/>
        <w:jc w:val="left"/>
      </w:pPr>
      <w:r>
        <w:rPr>
          <w:rFonts w:ascii="바탕" w:hAnsi="바탕" w:eastAsia="바탕" w:cs="바탕"/>
          <w:sz w:val="21"/>
        </w:rPr>
        <w:t xml:space="preserve">Parks, A., Travers, E., Perera-Delcourt, R., Major, M., Economides, M., &amp; Mullan, P. (2025). Is this chatbot safe and evidence-based? A call for the critical evaluation of generative AI mental health chatbots.</w:t>
      </w:r>
      <w:r>
        <w:rPr>
          <w:rFonts w:ascii="바탕" w:hAnsi="바탕" w:eastAsia="바탕" w:cs="바탕"/>
          <w:sz w:val="21"/>
        </w:rPr>
        <w:t xml:space="preserve"> </w:t>
      </w:r>
      <w:r>
        <w:rPr>
          <w:rFonts w:ascii="바탕" w:hAnsi="바탕" w:eastAsia="바탕" w:cs="바탕"/>
          <w:i/>
          <w:iCs/>
          <w:sz w:val="21"/>
        </w:rPr>
        <w:t xml:space="preserve">Journal of Participatory Medicine, 17</w:t>
      </w:r>
      <w:r>
        <w:rPr>
          <w:rFonts w:ascii="바탕" w:hAnsi="바탕" w:eastAsia="바탕" w:cs="바탕"/>
          <w:sz w:val="21"/>
        </w:rPr>
        <w:t xml:space="preserve">(1), e69534.</w:t>
      </w:r>
      <w:r>
        <w:rPr>
          <w:rFonts w:ascii="바탕" w:hAnsi="바탕" w:eastAsia="바탕" w:cs="바탕"/>
          <w:sz w:val="21"/>
        </w:rPr>
        <w:t xml:space="preserve"> </w:t>
      </w:r>
      <w:hyperlink r:id="rId61">
        <w:r>
          <w:rPr>
            <w:rStyle w:val="Hyperlink"/>
          </w:rPr>
          <w:t xml:space="preserve">https://doi.org/10.2196/69534</w:t>
        </w:r>
      </w:hyperlink>
    </w:p>
    <w:p>
      <w:pPr>
        <w:pStyle w:val="BodyText"/>
        <w:spacing w:lineRule="auto" w:line="384" w:after="120"/>
        <w:ind w:left="720" w:hanging="720"/>
        <w:jc w:val="left"/>
      </w:pPr>
      <w:r>
        <w:rPr>
          <w:rFonts w:ascii="바탕" w:hAnsi="바탕" w:eastAsia="바탕" w:cs="바탕"/>
          <w:sz w:val="21"/>
        </w:rPr>
        <w:t xml:space="preserve">Sacilotto, E., Salvato, G., Villa, F., Salvi, F., &amp; Bottini, G. (2022). Through the looking glass: A scoping review of cinema and video therapy.</w:t>
      </w:r>
      <w:r>
        <w:rPr>
          <w:rFonts w:ascii="바탕" w:hAnsi="바탕" w:eastAsia="바탕" w:cs="바탕"/>
          <w:sz w:val="21"/>
        </w:rPr>
        <w:t xml:space="preserve"> </w:t>
      </w:r>
      <w:r>
        <w:rPr>
          <w:rFonts w:ascii="바탕" w:hAnsi="바탕" w:eastAsia="바탕" w:cs="바탕"/>
          <w:i/>
          <w:iCs/>
          <w:sz w:val="21"/>
        </w:rPr>
        <w:t xml:space="preserve">Frontiers in Psychology, 12</w:t>
      </w:r>
      <w:r>
        <w:rPr>
          <w:rFonts w:ascii="바탕" w:hAnsi="바탕" w:eastAsia="바탕" w:cs="바탕"/>
          <w:sz w:val="21"/>
        </w:rPr>
        <w:t xml:space="preserve">, Article 732246.</w:t>
      </w:r>
      <w:r>
        <w:rPr>
          <w:rFonts w:ascii="바탕" w:hAnsi="바탕" w:eastAsia="바탕" w:cs="바탕"/>
          <w:sz w:val="21"/>
        </w:rPr>
        <w:t xml:space="preserve"> </w:t>
      </w:r>
      <w:hyperlink r:id="rId62">
        <w:r>
          <w:rPr>
            <w:rStyle w:val="Hyperlink"/>
          </w:rPr>
          <w:t xml:space="preserve">https://doi.org/10.3389/fpsyg.2021.732246</w:t>
        </w:r>
      </w:hyperlink>
    </w:p>
    <w:p>
      <w:pPr>
        <w:pStyle w:val="BodyText"/>
        <w:spacing w:lineRule="auto" w:line="384" w:after="120"/>
        <w:ind w:left="720" w:hanging="720"/>
        <w:jc w:val="left"/>
      </w:pPr>
      <w:r>
        <w:rPr>
          <w:rFonts w:ascii="바탕" w:hAnsi="바탕" w:eastAsia="바탕" w:cs="바탕"/>
          <w:sz w:val="21"/>
        </w:rPr>
        <w:t xml:space="preserve">Sun, R., Zhang, Y., Shah, T., Sun, J., Zhang, S., Li, W., Duan, H., Wei, B., &amp; Ranjan, R. (2024).</w:t>
      </w:r>
      <w:r>
        <w:rPr>
          <w:rFonts w:ascii="바탕" w:hAnsi="바탕" w:eastAsia="바탕" w:cs="바탕"/>
          <w:sz w:val="21"/>
        </w:rPr>
        <w:t xml:space="preserve"> </w:t>
      </w:r>
      <w:r>
        <w:rPr>
          <w:rFonts w:ascii="바탕" w:hAnsi="바탕" w:eastAsia="바탕" w:cs="바탕"/>
          <w:i/>
          <w:iCs/>
          <w:sz w:val="21"/>
        </w:rPr>
        <w:t xml:space="preserve">From Sora what we can see: A survey of text-to-video generation</w:t>
      </w:r>
      <w:r>
        <w:rPr>
          <w:rFonts w:ascii="바탕" w:hAnsi="바탕" w:eastAsia="바탕" w:cs="바탕"/>
          <w:sz w:val="21"/>
        </w:rPr>
        <w:t xml:space="preserve"> </w:t>
      </w:r>
      <w:r>
        <w:rPr>
          <w:rFonts w:ascii="바탕" w:hAnsi="바탕" w:eastAsia="바탕" w:cs="바탕"/>
          <w:sz w:val="21"/>
        </w:rPr>
        <w:t xml:space="preserve">[Preprint]. arXiv.</w:t>
      </w:r>
      <w:r>
        <w:rPr>
          <w:rFonts w:ascii="바탕" w:hAnsi="바탕" w:eastAsia="바탕" w:cs="바탕"/>
          <w:sz w:val="21"/>
        </w:rPr>
        <w:t xml:space="preserve"> </w:t>
      </w:r>
      <w:hyperlink r:id="rId63">
        <w:r>
          <w:rPr>
            <w:rStyle w:val="Hyperlink"/>
          </w:rPr>
          <w:t xml:space="preserve">https://doi.org/10.48550/arXiv.2405.10674</w:t>
        </w:r>
      </w:hyperlink>
    </w:p>
    <w:p>
      <w:pPr>
        <w:pStyle w:val="BodyText"/>
        <w:spacing w:lineRule="auto" w:line="384" w:after="120"/>
        <w:ind w:left="720" w:hanging="720"/>
        <w:jc w:val="left"/>
      </w:pPr>
      <w:r>
        <w:rPr>
          <w:rFonts w:ascii="바탕" w:hAnsi="바탕" w:eastAsia="바탕" w:cs="바탕"/>
          <w:sz w:val="21"/>
        </w:rPr>
        <w:t xml:space="preserve">Substance Abuse and Mental Health Services Administration. (2014).</w:t>
      </w:r>
      <w:r>
        <w:rPr>
          <w:rFonts w:ascii="바탕" w:hAnsi="바탕" w:eastAsia="바탕" w:cs="바탕"/>
          <w:sz w:val="21"/>
        </w:rPr>
        <w:t xml:space="preserve"> </w:t>
      </w:r>
      <w:r>
        <w:rPr>
          <w:rFonts w:ascii="바탕" w:hAnsi="바탕" w:eastAsia="바탕" w:cs="바탕"/>
          <w:i/>
          <w:iCs/>
          <w:sz w:val="21"/>
        </w:rPr>
        <w:t xml:space="preserve">SAMHSA's concept of trauma and guidance for a trauma-informed approach</w:t>
      </w:r>
      <w:r>
        <w:rPr>
          <w:rFonts w:ascii="바탕" w:hAnsi="바탕" w:eastAsia="바탕" w:cs="바탕"/>
          <w:sz w:val="21"/>
        </w:rPr>
        <w:t xml:space="preserve"> </w:t>
      </w:r>
      <w:r>
        <w:rPr>
          <w:rFonts w:ascii="바탕" w:hAnsi="바탕" w:eastAsia="바탕" w:cs="바탕"/>
          <w:sz w:val="21"/>
        </w:rPr>
        <w:t xml:space="preserve">(HHS Publication No. SMA 14-4884). SAMHSA.</w:t>
      </w:r>
    </w:p>
    <w:p>
      <w:pPr>
        <w:pStyle w:val="BodyText"/>
        <w:spacing w:lineRule="auto" w:line="384" w:after="120"/>
        <w:ind w:left="720" w:hanging="720"/>
        <w:jc w:val="left"/>
      </w:pPr>
      <w:r>
        <w:rPr>
          <w:rFonts w:ascii="바탕" w:hAnsi="바탕" w:eastAsia="바탕" w:cs="바탕"/>
          <w:sz w:val="21"/>
        </w:rPr>
        <w:t xml:space="preserve">van der Kolk, B. A. (2014).</w:t>
      </w:r>
      <w:r>
        <w:rPr>
          <w:rFonts w:ascii="바탕" w:hAnsi="바탕" w:eastAsia="바탕" w:cs="바탕"/>
          <w:sz w:val="21"/>
        </w:rPr>
        <w:t xml:space="preserve"> </w:t>
      </w:r>
      <w:r>
        <w:rPr>
          <w:rFonts w:ascii="바탕" w:hAnsi="바탕" w:eastAsia="바탕" w:cs="바탕"/>
          <w:i/>
          <w:iCs/>
          <w:sz w:val="21"/>
        </w:rPr>
        <w:t xml:space="preserve">The body keeps the score: Brain, mind, and body in the healing of trauma.</w:t>
      </w:r>
      <w:r>
        <w:rPr>
          <w:rFonts w:ascii="바탕" w:hAnsi="바탕" w:eastAsia="바탕" w:cs="바탕"/>
          <w:sz w:val="21"/>
        </w:rPr>
        <w:t xml:space="preserve"> </w:t>
      </w:r>
      <w:r>
        <w:rPr>
          <w:rFonts w:ascii="바탕" w:hAnsi="바탕" w:eastAsia="바탕" w:cs="바탕"/>
          <w:sz w:val="21"/>
        </w:rPr>
        <w:t xml:space="preserve">Viking.</w:t>
      </w:r>
    </w:p>
    <w:p>
      <w:pPr>
        <w:pStyle w:val="BodyText"/>
        <w:spacing w:lineRule="auto" w:line="384" w:after="120"/>
        <w:ind w:left="720" w:hanging="720"/>
        <w:jc w:val="left"/>
      </w:pPr>
      <w:r>
        <w:rPr>
          <w:rFonts w:ascii="바탕" w:hAnsi="바탕" w:eastAsia="바탕" w:cs="바탕"/>
          <w:sz w:val="21"/>
        </w:rPr>
        <w:t xml:space="preserve">Wang, X., Zhou, Y., &amp; Zhou, G. (2025). The application and ethical implication of generative AI in mental health: Systematic review.</w:t>
      </w:r>
      <w:r>
        <w:rPr>
          <w:rFonts w:ascii="바탕" w:hAnsi="바탕" w:eastAsia="바탕" w:cs="바탕"/>
          <w:sz w:val="21"/>
        </w:rPr>
        <w:t xml:space="preserve"> </w:t>
      </w:r>
      <w:r>
        <w:rPr>
          <w:rFonts w:ascii="바탕" w:hAnsi="바탕" w:eastAsia="바탕" w:cs="바탕"/>
          <w:i/>
          <w:iCs/>
          <w:sz w:val="21"/>
        </w:rPr>
        <w:t xml:space="preserve">JMIR Mental Health, 12</w:t>
      </w:r>
      <w:r>
        <w:rPr>
          <w:rFonts w:ascii="바탕" w:hAnsi="바탕" w:eastAsia="바탕" w:cs="바탕"/>
          <w:sz w:val="21"/>
        </w:rPr>
        <w:t xml:space="preserve">, e70610.</w:t>
      </w:r>
      <w:r>
        <w:rPr>
          <w:rFonts w:ascii="바탕" w:hAnsi="바탕" w:eastAsia="바탕" w:cs="바탕"/>
          <w:sz w:val="21"/>
        </w:rPr>
        <w:t xml:space="preserve"> </w:t>
      </w:r>
      <w:hyperlink r:id="rId64">
        <w:r>
          <w:rPr>
            <w:rStyle w:val="Hyperlink"/>
          </w:rPr>
          <w:t xml:space="preserve">https://doi.org/10.2196/70610</w:t>
        </w:r>
      </w:hyperlink>
    </w:p>
    <w:p>
      <w:pPr>
        <w:pStyle w:val="BodyText"/>
        <w:spacing w:lineRule="auto" w:line="384" w:after="120"/>
        <w:ind w:left="720" w:hanging="720"/>
        <w:jc w:val="left"/>
      </w:pPr>
      <w:r>
        <w:rPr>
          <w:rFonts w:ascii="바탕" w:hAnsi="바탕" w:eastAsia="바탕" w:cs="바탕"/>
          <w:sz w:val="21"/>
        </w:rPr>
        <w:t xml:space="preserve">World Health Organization. (2021).</w:t>
      </w:r>
      <w:r>
        <w:rPr>
          <w:rFonts w:ascii="바탕" w:hAnsi="바탕" w:eastAsia="바탕" w:cs="바탕"/>
          <w:sz w:val="21"/>
        </w:rPr>
        <w:t xml:space="preserve"> </w:t>
      </w:r>
      <w:r>
        <w:rPr>
          <w:rFonts w:ascii="바탕" w:hAnsi="바탕" w:eastAsia="바탕" w:cs="바탕"/>
          <w:i/>
          <w:iCs/>
          <w:sz w:val="21"/>
        </w:rPr>
        <w:t xml:space="preserve">Ethics and governance of artificial intelligence for health: WHO guidance.</w:t>
      </w:r>
      <w:r>
        <w:rPr>
          <w:rFonts w:ascii="바탕" w:hAnsi="바탕" w:eastAsia="바탕" w:cs="바탕"/>
          <w:sz w:val="21"/>
        </w:rPr>
        <w:t xml:space="preserve"> </w:t>
      </w:r>
      <w:r>
        <w:rPr>
          <w:rFonts w:ascii="바탕" w:hAnsi="바탕" w:eastAsia="바탕" w:cs="바탕"/>
          <w:sz w:val="21"/>
        </w:rPr>
        <w:t xml:space="preserve">World Health Organization.</w:t>
      </w:r>
      <w:r>
        <w:rPr>
          <w:rFonts w:ascii="바탕" w:hAnsi="바탕" w:eastAsia="바탕" w:cs="바탕"/>
          <w:sz w:val="21"/>
        </w:rPr>
        <w:t xml:space="preserve"> </w:t>
      </w:r>
      <w:hyperlink r:id="rId65">
        <w:r>
          <w:rPr>
            <w:rStyle w:val="Hyperlink"/>
          </w:rPr>
          <w:t xml:space="preserve">https://www.who.int/publications/i/item/9789240029200</w:t>
        </w:r>
      </w:hyperlink>
    </w:p>
    <w:p>
      <w:pPr>
        <w:pStyle w:val="BodyText"/>
        <w:spacing w:lineRule="auto" w:line="384" w:after="120"/>
        <w:ind w:left="720" w:hanging="720"/>
        <w:jc w:val="left"/>
      </w:pPr>
      <w:r>
        <w:rPr>
          <w:rFonts w:ascii="바탕" w:hAnsi="바탕" w:eastAsia="바탕" w:cs="바탕"/>
          <w:sz w:val="21"/>
        </w:rPr>
        <w:t xml:space="preserve">Zhang, Q., Zhang, R., Xiong, Y., Sui, Y., Tong, C., &amp; Lin, F.-H. (2025). Generative AI mental health chatbots as therapeutic tools: Systematic review and meta-analysis of their role in reducing mental health issues.</w:t>
      </w:r>
      <w:r>
        <w:rPr>
          <w:rFonts w:ascii="바탕" w:hAnsi="바탕" w:eastAsia="바탕" w:cs="바탕"/>
          <w:sz w:val="21"/>
        </w:rPr>
        <w:t xml:space="preserve"> </w:t>
      </w:r>
      <w:r>
        <w:rPr>
          <w:rFonts w:ascii="바탕" w:hAnsi="바탕" w:eastAsia="바탕" w:cs="바탕"/>
          <w:i/>
          <w:iCs/>
          <w:sz w:val="21"/>
        </w:rPr>
        <w:t xml:space="preserve">Journal of Medical Internet Research, 27</w:t>
      </w:r>
      <w:r>
        <w:rPr>
          <w:rFonts w:ascii="바탕" w:hAnsi="바탕" w:eastAsia="바탕" w:cs="바탕"/>
          <w:sz w:val="21"/>
        </w:rPr>
        <w:t xml:space="preserve">, e78238.</w:t>
      </w:r>
      <w:r>
        <w:rPr>
          <w:rFonts w:ascii="바탕" w:hAnsi="바탕" w:eastAsia="바탕" w:cs="바탕"/>
          <w:sz w:val="21"/>
        </w:rPr>
        <w:t xml:space="preserve"> </w:t>
      </w:r>
      <w:hyperlink r:id="rId66">
        <w:r>
          <w:rPr>
            <w:rStyle w:val="Hyperlink"/>
          </w:rPr>
          <w:t xml:space="preserve">https://doi.org/10.2196/78238</w:t>
        </w:r>
      </w:hyperlink>
    </w:p>
    <w:bookmarkEnd w:id="67"/>
    <w:bookmarkEnd w:id="68"/>
    <w:bookmarkEnd w:id="69"/>
    <w:sectPr>
      <w:footnotePr>
        <w:numRestart w:val="eachSect"/>
      </w:footnotePr>
      <w:pgSz w:w="11906" w:h="16838"/>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7" Type="http://schemas.openxmlformats.org/officeDocument/2006/relationships/hyperlink" Target="https://doi.org/10.1037/0033-2909.99.1.20" TargetMode="External"/><Relationship Id="rId54" Type="http://schemas.openxmlformats.org/officeDocument/2006/relationships/hyperlink" Target="https://doi.org/10.1037/h0085885" TargetMode="External"/><Relationship Id="rId56" Type="http://schemas.openxmlformats.org/officeDocument/2006/relationships/hyperlink" Target="https://doi.org/10.1037/pst0000172" TargetMode="External"/><Relationship Id="rId58" Type="http://schemas.openxmlformats.org/officeDocument/2006/relationships/hyperlink" Target="https://doi.org/10.1080/20008198.2019.1654782" TargetMode="External"/><Relationship Id="rId60" Type="http://schemas.openxmlformats.org/officeDocument/2006/relationships/hyperlink" Target="https://doi.org/10.1126/science.aax2342" TargetMode="External"/><Relationship Id="rId55" Type="http://schemas.openxmlformats.org/officeDocument/2006/relationships/hyperlink" Target="https://doi.org/10.1146/annurev-clinpsy-050718-095424" TargetMode="External"/><Relationship Id="rId52" Type="http://schemas.openxmlformats.org/officeDocument/2006/relationships/hyperlink" Target="https://doi.org/10.1186/1471-2202-12-127" TargetMode="External"/><Relationship Id="rId50" Type="http://schemas.openxmlformats.org/officeDocument/2006/relationships/hyperlink" Target="https://doi.org/10.15703/kjc.23.6.202212.17" TargetMode="External"/><Relationship Id="rId48" Type="http://schemas.openxmlformats.org/officeDocument/2006/relationships/hyperlink" Target="https://doi.org/10.20496/cpew.2025.12.5.11" TargetMode="External"/><Relationship Id="rId61" Type="http://schemas.openxmlformats.org/officeDocument/2006/relationships/hyperlink" Target="https://doi.org/10.2196/69534" TargetMode="External"/><Relationship Id="rId64" Type="http://schemas.openxmlformats.org/officeDocument/2006/relationships/hyperlink" Target="https://doi.org/10.2196/70610" TargetMode="External"/><Relationship Id="rId66" Type="http://schemas.openxmlformats.org/officeDocument/2006/relationships/hyperlink" Target="https://doi.org/10.2196/78238" TargetMode="External"/><Relationship Id="rId62" Type="http://schemas.openxmlformats.org/officeDocument/2006/relationships/hyperlink" Target="https://doi.org/10.3389/fpsyg.2021.732246" TargetMode="External"/><Relationship Id="rId49" Type="http://schemas.openxmlformats.org/officeDocument/2006/relationships/hyperlink" Target="https://doi.org/10.34162/hefins.2015..14.002" TargetMode="External"/><Relationship Id="rId59" Type="http://schemas.openxmlformats.org/officeDocument/2006/relationships/hyperlink" Target="https://doi.org/10.48550/arXiv.2402.17177" TargetMode="External"/><Relationship Id="rId63" Type="http://schemas.openxmlformats.org/officeDocument/2006/relationships/hyperlink" Target="https://doi.org/10.48550/arXiv.2405.10674" TargetMode="External"/><Relationship Id="rId53" Type="http://schemas.openxmlformats.org/officeDocument/2006/relationships/hyperlink" Target="https://www.apaservices.org/practice/ce/expert/ethical-genai-mental-health-care" TargetMode="External"/><Relationship Id="rId65" Type="http://schemas.openxmlformats.org/officeDocument/2006/relationships/hyperlink" Target="https://www.who.int/publications/i/item/9789240029200"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doi.org/10.1037/0033-2909.99.1.20" TargetMode="External"/><Relationship Id="rId54" Type="http://schemas.openxmlformats.org/officeDocument/2006/relationships/hyperlink" Target="https://doi.org/10.1037/h0085885" TargetMode="External"/><Relationship Id="rId56" Type="http://schemas.openxmlformats.org/officeDocument/2006/relationships/hyperlink" Target="https://doi.org/10.1037/pst0000172" TargetMode="External"/><Relationship Id="rId58" Type="http://schemas.openxmlformats.org/officeDocument/2006/relationships/hyperlink" Target="https://doi.org/10.1080/20008198.2019.1654782" TargetMode="External"/><Relationship Id="rId60" Type="http://schemas.openxmlformats.org/officeDocument/2006/relationships/hyperlink" Target="https://doi.org/10.1126/science.aax2342" TargetMode="External"/><Relationship Id="rId55" Type="http://schemas.openxmlformats.org/officeDocument/2006/relationships/hyperlink" Target="https://doi.org/10.1146/annurev-clinpsy-050718-095424" TargetMode="External"/><Relationship Id="rId52" Type="http://schemas.openxmlformats.org/officeDocument/2006/relationships/hyperlink" Target="https://doi.org/10.1186/1471-2202-12-127" TargetMode="External"/><Relationship Id="rId50" Type="http://schemas.openxmlformats.org/officeDocument/2006/relationships/hyperlink" Target="https://doi.org/10.15703/kjc.23.6.202212.17" TargetMode="External"/><Relationship Id="rId48" Type="http://schemas.openxmlformats.org/officeDocument/2006/relationships/hyperlink" Target="https://doi.org/10.20496/cpew.2025.12.5.11" TargetMode="External"/><Relationship Id="rId61" Type="http://schemas.openxmlformats.org/officeDocument/2006/relationships/hyperlink" Target="https://doi.org/10.2196/69534" TargetMode="External"/><Relationship Id="rId64" Type="http://schemas.openxmlformats.org/officeDocument/2006/relationships/hyperlink" Target="https://doi.org/10.2196/70610" TargetMode="External"/><Relationship Id="rId66" Type="http://schemas.openxmlformats.org/officeDocument/2006/relationships/hyperlink" Target="https://doi.org/10.2196/78238" TargetMode="External"/><Relationship Id="rId62" Type="http://schemas.openxmlformats.org/officeDocument/2006/relationships/hyperlink" Target="https://doi.org/10.3389/fpsyg.2021.732246" TargetMode="External"/><Relationship Id="rId49" Type="http://schemas.openxmlformats.org/officeDocument/2006/relationships/hyperlink" Target="https://doi.org/10.34162/hefins.2015..14.002" TargetMode="External"/><Relationship Id="rId59" Type="http://schemas.openxmlformats.org/officeDocument/2006/relationships/hyperlink" Target="https://doi.org/10.48550/arXiv.2402.17177" TargetMode="External"/><Relationship Id="rId63" Type="http://schemas.openxmlformats.org/officeDocument/2006/relationships/hyperlink" Target="https://doi.org/10.48550/arXiv.2405.10674" TargetMode="External"/><Relationship Id="rId53" Type="http://schemas.openxmlformats.org/officeDocument/2006/relationships/hyperlink" Target="https://www.apaservices.org/practice/ce/expert/ethical-genai-mental-health-care" TargetMode="External"/><Relationship Id="rId65" Type="http://schemas.openxmlformats.org/officeDocument/2006/relationships/hyperlink" Target="https://www.who.int/publications/i/item/9789240029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2026-05-22T16:16:51Z</dcterms:created>
  <dcterms:modified xsi:type="dcterms:W3CDTF">2026-05-22T16:16:51Z</dcterms:modified>
</cp:coreProperties>
</file>

<file path=docProps/custom.xml><?xml version="1.0" encoding="utf-8"?>
<Properties xmlns="http://schemas.openxmlformats.org/officeDocument/2006/custom-properties" xmlns:vt="http://schemas.openxmlformats.org/officeDocument/2006/docPropsVTypes"/>
</file>