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INSTANCE CONFIGURATION: Static Drone Resupply System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Reference: Archetti et al. (2018, 2020), Pina-Pardo et al. (2024)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Depot configuration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Depot_positions: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Center: (10, 10)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Border: (0, 10)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Comment: Depot positions represent two spatial scenarios — central and border locations in the 20×20 km service area.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Order release dates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Release_dates: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Generation_method: Archetti et al. (2018)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Formula: Uniform integer random values in [0, β × zTSP]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zTSP: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Definition: Optimal TSP length visiting all customers once (without release dates)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Distance_metric: Manhattan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Truck_speed: 30 km/h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Depot_location_for_zTSP: (10, 10)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Beta_values: [0.5, 1.0, 1.5]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Comment: β defines the width of the release-time window. Larger β → higher spread of order readiness.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Truck parameters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Truck: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Speed: 30 km/h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Service_time_per_customer: 3 min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Receive_time_at_depot (δt): 5 min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Drone parameters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Drone: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Model: Avidrone 210TL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Manufacturer: Avidrone Aerospace (2021)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Payload_capacity: 25 kg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Flight_endurance: 90 min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Working_speed: 60 km/h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Distance_metric: Euclidean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Handling_times: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δm (en-route meet): 5 min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δd (depot meet): 5 min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Load_capacity_Q: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Small_instances (≤ 20 customers): 2 orders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Large_instances: 10 orders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Order_weight: qi = 1, ∀i ∈ 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Comment: Each drone can carry up to Q orders (average parcel weight ≈ 2.3 kg (Poikonen &amp; Golden, 2020))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Lưu ý: </w:t>
        <w:br w:type="textWrapping"/>
        <w:t xml:space="preserve">- mỗi lần truck “phục vụ” tại depot (tức là ghé depot giữa chừng hoặc ở đầu/cuối) thì chỉ mất đúng δt thời gian</w:t>
        <w:br w:type="textWrapping"/>
        <w:t xml:space="preserve">- </w:t>
      </w:r>
      <w:r w:rsidDel="00000000" w:rsidR="00000000" w:rsidRPr="00000000">
        <w:rPr>
          <w:rtl w:val="0"/>
        </w:rPr>
        <w:t xml:space="preserve">Lần đầu tiên truck xuất phát khỏi depot thời gian dùng để khởi hành xe tải 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