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AI Act | Shaping Europe’s digital future Skip to main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Select your language</w:t>
      </w:r>
    </w:p>
    <w:p>
      <w:pPr/>
      <w:r>
        <w:rPr>
          <w:rFonts w:ascii="Helvetica Light" w:hAnsi="Helvetica Light" w:cs="Helvetica Light"/>
          <w:sz w:val="24"/>
          <w:sz-cs w:val="24"/>
        </w:rPr>
        <w:t xml:space="preserve">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bg български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 español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 čeština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 dansk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Deutsch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 eesti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ελληνικά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 English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 français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 Gaeilge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hr hrvatski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italiano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lv latviešu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 lietuvių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hu magyar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mt Malti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nl Nederlands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 polski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pt português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 română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 slovenčina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 slovenščina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 suomi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sv svenska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Search</w:t>
      </w:r>
    </w:p>
    <w:p>
      <w:pPr/>
      <w:r>
        <w:rPr>
          <w:rFonts w:ascii="Helvetica Light" w:hAnsi="Helvetica Light" w:cs="Helvetica Light"/>
          <w:sz w:val="24"/>
          <w:sz-cs w:val="24"/>
        </w:rPr>
        <w:t xml:space="preserv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Shaping Europe’s digital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Close</w:t>
      </w:r>
    </w:p>
    <w:p>
      <w:pPr/>
      <w:r>
        <w:rPr>
          <w:rFonts w:ascii="Helvetica Light" w:hAnsi="Helvetica Light" w:cs="Helvetica Light"/>
          <w:sz w:val="24"/>
          <w:sz-cs w:val="24"/>
        </w:rPr>
        <w:t xml:space="preserve">Menu</w:t>
      </w:r>
    </w:p>
    <w:p>
      <w:pPr/>
      <w:r>
        <w:rPr>
          <w:rFonts w:ascii="Helvetica Light" w:hAnsi="Helvetica Light" w:cs="Helvetica Light"/>
          <w:sz w:val="24"/>
          <w:sz-cs w:val="24"/>
        </w:rPr>
        <w:t xml:space="preserve">Back</w:t>
      </w:r>
    </w:p>
    <w:p>
      <w:pPr/>
      <w:r>
        <w:rPr>
          <w:rFonts w:ascii="Helvetica Light" w:hAnsi="Helvetica Light" w:cs="Helvetica Light"/>
          <w:sz w:val="24"/>
          <w:sz-cs w:val="24"/>
        </w:rPr>
        <w:t xml:space="preserve">Previous items Next items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Library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Calendar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European approach to 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is the first-ever legal framework on AI, which addresses the risks of AI and positions Europe to play a leading role globally.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(Regulation (EU) 2024/1689 laying down harmonised rules on artificial intelligence) is the first-ever comprehensive legal framework on AI worldwide. The aim of the rules is to foster trustworthy AI in Europe. For any questions on the AI Act , check out the AI Act Single Information platform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sets out a risk-based rules for AI developers and deployers regarding specific uses of AI. The AI Act is part of a wider package of policy measures to support the development of trustworthy AI, which also includes the AI Continent Action Plan , the  AI Innovation Package and the launch of AI Factories . Together, these measures guarantee safety, fundamental rights and human-centric AI, and strengthen uptake, investment and innovation in AI across the 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facilitate the transition to the new regulatory framework, the Commission has launched the  AI Pact , a voluntary initiative that seeks to support the future implementation, engage with stakeholders and invite AI providers and deployers from Europe and beyond to comply with the key obligations of the AI Act ahead of time. In parallel, the AI Act Service Desk is also providing information and support for a smooth and effective implementation of the AI Act across the 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do we need rules on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ensures that Europeans can trust what AI has to offer. While most AI systems pose limited to no risk and can contribute to solving many societal challenges, certain AI systems create risks that we must address to avoid undesirable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it is often not possible to find out why an AI system has made a decision or prediction and taken a particular action. So, it may become difficult to assess whether someone has been unfairly disadvantaged, such as in a hiring decision or in an application for a public benefit scheme.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existing legislation provides some protection, it is insufficient to address the specific challenges AI systems may bring.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Risk-based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Compliance and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Simplification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Risk-based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defines 4 levels of risk for AI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Unacceptable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AI systems considered a clear threat to the safety, livelihoods and rights of people are banned. The AI Act prohibits eight practices , namely: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harmful AI-based manipulation and deception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harmful AI-based exploitation of vulnerabilities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social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Individual criminal offence risk assessment or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untargeted scraping of the internet or CCTV material to create or expand facial recognition databases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emotion recognition in workplaces and education institutions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biometric categorisation to deduce certain protected characteristics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real-time remote biometric identification for law enforcement purposes in publicly accessible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prohibitions became effective in February 2025. The Commission published 2 key documents to support the practical application of the prohibited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guidelines on prohibited AI practices under the AI Act , which offer legal explanations and practical examples to help stakeholders understand and comply with the prohibitions.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guidelines on the AI system definition of the AI Act , to assist stakeholders in determining the scope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High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use cases that can pose serious risks to health, safety or fundamental rights are classified as high-risk. These high-risk use-cases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safety components in critical infrastructures (e.g. transport), the failure of which could put the life and health of citizens at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solutions used in education institutions, that may determine the access to education and course of someone’s professional life (e.g. scoring of exams)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AI-based safety components of products (e.g. AI application in robot-assisted surgery)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tools for employment, management of workers and access to self-employment (e.g. CV-sorting software for recruitment)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Certain AI use-cases utilised to give access to essential private and public services (e.g. credit scoring denying citizens opportunity to obtain a loan)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systems used for remote biometric identification, emotion recognition and biometric categorisation (e.g. AI system to retroactively identify a shoplifter)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use-cases in law enforcement that may interfere with people’s fundamental rights (e.g. evaluation of the reliability of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use-cases in migration, asylum and border control management (e.g. automated examination of visa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solutions used in the administration of justice and democratic processes (e.g. AI solutions to prepare court rulings)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High-risk AI systems are subject to strict obligations before they can be put on the 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adequate risk assessment and mitigation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high-quality of the datasets feeding the system to minimise risks of discriminatory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logging of activity to ensure traceability of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documentation providing all information necessary on the system and its purpose for authorities to assess its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clear and adequate information to the deployer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appropriate human oversight measures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high level of robustness, cybersecurity and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Transparency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refers to the risks associated with a need for transparency around the use of AI. The AI Act introduces specific disclosure obligations to ensure that humans are informed when necessary to preserve trust. For instance, when using AI systems such as chatbots, humans should be made aware that they are interacting with a machine so they can take an informed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Moreover, providers of generative AI have to ensure that AI-generated content is identifiable. On top of that, certain AI-generated content should be clearly and visibly labelled, namely deep fakes and text published with the purpose to inform the public on matters of public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transparency rules of the AI Act will come into effect in August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Minimal or no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does not introduce rules for AI that is deemed minimal or no risk. The vast majority of AI systems currently used in the EU fall into this category. This includes applications such as AI-enabled video games or spam filters.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does it all work in practice for providers of high-risk AI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an AI system is on the market, authorities are in charge of market surveillance, deployers ensure human oversight and monitoring, and providers have a post-market monitoring system in place. Providers and deployers will also report serious incidents and malfunctioning.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are the rules for General-Purpose AI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(GPAI) models can perform a wide range of tasks and are becoming the basis for many AI systems in the EU. Some of these models could carry systemic risks if they are very capable or widely used. To ensure safe and trustworthy AI, the AI Act puts in place rules for providers of such models. This includes transparency and copyright-related rules. For models that may carry systemic risks, providers should assess and mitigate these risks. The AI Act rules on GPAI became effective in August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Supporting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July 2025, the Commission published 3 key instruments to support the responsible development and deployment of GPAI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Guidelines on the scope of the obligations for providers of GPAI models clarify the scope of the GPAI obligations under the AI Act, helping actors along the AI value chain understand who must comply with these obligations.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GPAI Code of Practice is a voluntary compliance tool submitted to the Commission by independent experts, which offers practical guidance to help providers comply with their obligations under the AI Act related to transparency, copyright, and safety &amp;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Template for the public summary of training content of GPAI models requires providers to give an overview of the data used to train their models. This includes the sources from which the data was obtained (comprising large datasets and top domain names).The template also requests information about data processing aspects to enable parties with legitimate interests to exercise their rights under EU law.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tools are designed to work hand-in-hand. Together, they provide a clear and actionable framework for providers of GPAI models to comply with the AI Act, reducing administrative burden, and fostering innovation while safeguarding fundamental rights and public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Commission is also developing support other tools that offer guidance on how to comply with the AI Act’s transparency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Code of Practice on marking and labelling of AI-generated content selected by the AI Office. The code will be a voluntary tool to guide providers and deployers of generative AI systems to comply with transparency obligations. These include marking AI generated content and disclosing the artificial nature of images, and audio (including deepfakes) as well as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Guidelines on transparent AI systems to clarify the scope of application, relevant legal definitions, the transparency obligations, the exceptions and related horizontal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support instruments are under preparation and will be published in the second quarter of 2026. Find out more about how the AI Office is supporting the implementation of the AI Act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Governance and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European AI Office and authorities of the Member States are responsible for implementing, supervising and enforcing the AI Act. The AI Board, the Scientific Panel and the Advisory Forum steer and advise the AI Act’s governance. Find out more details about the Governance and enforcement of the AI Act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Application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entered into force on 1 August 2024, and will be fully applicable 2 years later on 2 August 2026, with some exceptions: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prohibited AI practices and AI literacy obligations entered into application from 2 February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governance rules and the obligations for GPAI models became applicable on 2 August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rules for high-risk AI systems - embedded into regulated products - have an extended transition period until 2 August 2028 (as a result of the political agreement on the proposal to simplify the AI Act – ' AI omnibus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the Commission is simplifying the AI Act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Digital Package on Simplification proposed amendments to simplify the AI Act implementation and ensure the rules remain clear, simple, and innovation-friendly. This legislative proposal (dubbed as the ' AI omnibus ') has been adopted on 19 November 2025 and a political agreement was reached on 7 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Following the political agreement, a clear implementation timeline is set for the rules governing high-risk AI systems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Rules for systems used in certain high-risk areas — including biometrics, critical infrastructure, education, employment, migration, asylum and border control — will apply from 2 December 2027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systems integrated into products such as lifts or toys, the rules will apply from 2 August 2028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ensures the rules apply when companies have the right support tools to facilitate implementation, such as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the following amendments to the AI Act have been agreed: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Prohibition of AI systems that generate non-consensual sexually explicit and intimate content or child sexual abuse material, such as AI ‘nudification' apps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Reinforce the AI Office’s powers and centralise oversight of AI systems built on general-purpose AI models, reducing governance fragmentation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Extend certain simplified requirements granted to small and medium-sized enterprises are extended to small mid-cap companies (SMEs and SMCs), including simplified technical documentation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innovators will gain access to regulatory sandboxes , including an EU-level sandbox, to test their AI solutions in real-world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interplay between the AI Act and EU product safety laws , in particular the Machinery Regulation, is clarified, avoiding duplication between sectoral and AI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this complements AI Office actions already in place to provide clarity for businesses and national authorities. For instance, through guidelines, codes of practice, and the AI Act Service Desk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Any question on the AI Act? Visit our Single Information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 of the AI Act in all EU official languages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(GPAI) code of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Impact assessment of the regulation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Study supporting the impact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Questions &amp; Answers on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European AI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Governance and enforcement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Upcoming guidelines on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Standardisation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Latest 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PRESS RELEASE</w:t>
      </w:r>
    </w:p>
    <w:p>
      <w:pPr/>
      <w:r>
        <w:rPr>
          <w:rFonts w:ascii="Helvetica Light" w:hAnsi="Helvetica Light" w:cs="Helvetica Light"/>
          <w:sz w:val="24"/>
          <w:sz-cs w:val="24"/>
        </w:rPr>
        <w:t xml:space="preserve">| 19 May 2026</w:t>
      </w:r>
    </w:p>
    <w:p>
      <w:pPr/>
      <w:r>
        <w:rPr>
          <w:rFonts w:ascii="Helvetica Light" w:hAnsi="Helvetica Light" w:cs="Helvetica Light"/>
          <w:sz w:val="24"/>
          <w:sz-cs w:val="24"/>
        </w:rPr>
        <w:t xml:space="preserve">Commission seeks feedback on the draft guidelines for the classification of high-risk artificial intelligence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DIGIBYTE</w:t>
      </w:r>
    </w:p>
    <w:p>
      <w:pPr/>
      <w:r>
        <w:rPr>
          <w:rFonts w:ascii="Helvetica Light" w:hAnsi="Helvetica Light" w:cs="Helvetica Light"/>
          <w:sz w:val="24"/>
          <w:sz-cs w:val="24"/>
        </w:rPr>
        <w:t xml:space="preserve">| 12 May 2026</w:t>
      </w:r>
    </w:p>
    <w:p>
      <w:pPr/>
      <w:r>
        <w:rPr>
          <w:rFonts w:ascii="Helvetica Light" w:hAnsi="Helvetica Light" w:cs="Helvetica Light"/>
          <w:sz w:val="24"/>
          <w:sz-cs w:val="24"/>
        </w:rPr>
        <w:t xml:space="preserve">Children’s protection online is high priority for 92% of Europeans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PRESS RELEASE</w:t>
      </w:r>
    </w:p>
    <w:p>
      <w:pPr/>
      <w:r>
        <w:rPr>
          <w:rFonts w:ascii="Helvetica Light" w:hAnsi="Helvetica Light" w:cs="Helvetica Light"/>
          <w:sz w:val="24"/>
          <w:sz-cs w:val="24"/>
        </w:rPr>
        <w:t xml:space="preserve">| 08 May 2026</w:t>
      </w:r>
    </w:p>
    <w:p>
      <w:pPr/>
      <w:r>
        <w:rPr>
          <w:rFonts w:ascii="Helvetica Light" w:hAnsi="Helvetica Light" w:cs="Helvetica Light"/>
          <w:sz w:val="24"/>
          <w:sz-cs w:val="24"/>
        </w:rPr>
        <w:t xml:space="preserve">Commission opens consultation on draft guidelines for AI transparency obligations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PRESS RELEASE</w:t>
      </w:r>
    </w:p>
    <w:p>
      <w:pPr/>
      <w:r>
        <w:rPr>
          <w:rFonts w:ascii="Helvetica Light" w:hAnsi="Helvetica Light" w:cs="Helvetica Light"/>
          <w:sz w:val="24"/>
          <w:sz-cs w:val="24"/>
        </w:rPr>
        <w:t xml:space="preserve">| 07 May 2026</w:t>
      </w:r>
    </w:p>
    <w:p>
      <w:pPr/>
      <w:r>
        <w:rPr>
          <w:rFonts w:ascii="Helvetica Light" w:hAnsi="Helvetica Light" w:cs="Helvetica Light"/>
          <w:sz w:val="24"/>
          <w:sz-cs w:val="24"/>
        </w:rPr>
        <w:t xml:space="preserve">EU agrees to simplify AI rules to boost innovation and ban ‘nudification' apps to protect citizens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PRESS RELEASE</w:t>
      </w:r>
    </w:p>
    <w:p>
      <w:pPr/>
      <w:r>
        <w:rPr>
          <w:rFonts w:ascii="Helvetica Light" w:hAnsi="Helvetica Light" w:cs="Helvetica Light"/>
          <w:sz w:val="24"/>
          <w:sz-cs w:val="24"/>
        </w:rPr>
        <w:t xml:space="preserve">| 21 April 2026</w:t>
      </w:r>
    </w:p>
    <w:p>
      <w:pPr/>
      <w:r>
        <w:rPr>
          <w:rFonts w:ascii="Helvetica Light" w:hAnsi="Helvetica Light" w:cs="Helvetica Light"/>
          <w:sz w:val="24"/>
          <w:sz-cs w:val="24"/>
        </w:rPr>
        <w:t xml:space="preserve">Commission makes €63.2 million available to support AI innovation in health and online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PRESS RELEASE</w:t>
      </w:r>
    </w:p>
    <w:p>
      <w:pPr/>
      <w:r>
        <w:rPr>
          <w:rFonts w:ascii="Helvetica Light" w:hAnsi="Helvetica Light" w:cs="Helvetica Light"/>
          <w:sz w:val="24"/>
          <w:sz-cs w:val="24"/>
        </w:rPr>
        <w:t xml:space="preserve">| 09 April 2026</w:t>
      </w:r>
    </w:p>
    <w:p>
      <w:pPr/>
      <w:r>
        <w:rPr>
          <w:rFonts w:ascii="Helvetica Light" w:hAnsi="Helvetica Light" w:cs="Helvetica Light"/>
          <w:sz w:val="24"/>
          <w:sz-cs w:val="24"/>
        </w:rPr>
        <w:t xml:space="preserve">AI Continent Action Plan delivers major milestones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Browse 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Policy and legislation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19-05-2026</w:t>
      </w:r>
    </w:p>
    <w:p>
      <w:pPr/>
      <w:r>
        <w:rPr>
          <w:rFonts w:ascii="Helvetica Light" w:hAnsi="Helvetica Light" w:cs="Helvetica Light"/>
          <w:sz w:val="24"/>
          <w:sz-cs w:val="24"/>
        </w:rPr>
        <w:t xml:space="preserve">Draft Commission guidelines on the classification of high-risk AI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07-05-2026</w:t>
      </w:r>
    </w:p>
    <w:p>
      <w:pPr/>
      <w:r>
        <w:rPr>
          <w:rFonts w:ascii="Helvetica Light" w:hAnsi="Helvetica Light" w:cs="Helvetica Light"/>
          <w:sz w:val="24"/>
          <w:sz-cs w:val="24"/>
        </w:rPr>
        <w:t xml:space="preserve">Draft of the guidelines on the implementation of the transparency obligations for certain AI systems under Article 50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05-03-2026</w:t>
      </w:r>
    </w:p>
    <w:p>
      <w:pPr/>
      <w:r>
        <w:rPr>
          <w:rFonts w:ascii="Helvetica Light" w:hAnsi="Helvetica Light" w:cs="Helvetica Light"/>
          <w:sz w:val="24"/>
          <w:sz-cs w:val="24"/>
        </w:rPr>
        <w:t xml:space="preserve">Commission publishes second draft of Code of Practice on Marking and Labelling of AI-generated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Report /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19-05-2026</w:t>
      </w:r>
    </w:p>
    <w:p>
      <w:pPr/>
      <w:r>
        <w:rPr>
          <w:rFonts w:ascii="Helvetica Light" w:hAnsi="Helvetica Light" w:cs="Helvetica Light"/>
          <w:sz w:val="24"/>
          <w:sz-cs w:val="24"/>
        </w:rPr>
        <w:t xml:space="preserve">European Commission and OECD collaborate on monitoring national AI strategies and AI investments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08-05-2026</w:t>
      </w:r>
    </w:p>
    <w:p>
      <w:pPr/>
      <w:r>
        <w:rPr>
          <w:rFonts w:ascii="Helvetica Light" w:hAnsi="Helvetica Light" w:cs="Helvetica Light"/>
          <w:sz w:val="24"/>
          <w:sz-cs w:val="24"/>
        </w:rPr>
        <w:t xml:space="preserve">Three studies on various aspects of article 5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08-05-2026</w:t>
      </w:r>
    </w:p>
    <w:p>
      <w:pPr/>
      <w:r>
        <w:rPr>
          <w:rFonts w:ascii="Helvetica Light" w:hAnsi="Helvetica Light" w:cs="Helvetica Light"/>
          <w:sz w:val="24"/>
          <w:sz-cs w:val="24"/>
        </w:rPr>
        <w:t xml:space="preserve">Three studies on technical solutions to mark and detect AI-generated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Factsheet / infographic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08-10-2025</w:t>
      </w:r>
    </w:p>
    <w:p>
      <w:pPr/>
      <w:r>
        <w:rPr>
          <w:rFonts w:ascii="Helvetica Light" w:hAnsi="Helvetica Light" w:cs="Helvetica Light"/>
          <w:sz w:val="24"/>
          <w:sz-cs w:val="24"/>
        </w:rPr>
        <w:t xml:space="preserve">The Commission internal use of 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05-06-2025</w:t>
      </w:r>
    </w:p>
    <w:p>
      <w:pPr/>
      <w:r>
        <w:rPr>
          <w:rFonts w:ascii="Helvetica Light" w:hAnsi="Helvetica Light" w:cs="Helvetica Light"/>
          <w:sz w:val="24"/>
          <w:sz-cs w:val="24"/>
        </w:rPr>
        <w:t xml:space="preserve">Factsheet on the International Digital Strategy for the European Union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05-04-2024</w:t>
      </w:r>
    </w:p>
    <w:p>
      <w:pPr/>
      <w:r>
        <w:rPr>
          <w:rFonts w:ascii="Helvetica Light" w:hAnsi="Helvetica Light" w:cs="Helvetica Light"/>
          <w:sz w:val="24"/>
          <w:sz-cs w:val="24"/>
        </w:rPr>
        <w:t xml:space="preserve">Factsheet: EU-US Trade and Technology Council (2021-2024)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Brochure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22-12-2025</w:t>
      </w:r>
    </w:p>
    <w:p>
      <w:pPr/>
      <w:r>
        <w:rPr>
          <w:rFonts w:ascii="Helvetica Light" w:hAnsi="Helvetica Light" w:cs="Helvetica Light"/>
          <w:sz w:val="24"/>
          <w:sz-cs w:val="24"/>
        </w:rPr>
        <w:t xml:space="preserve">The rise of the intelligent edge – Insights into MetaOS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04-02-2025</w:t>
      </w:r>
    </w:p>
    <w:p>
      <w:pPr/>
      <w:r>
        <w:rPr>
          <w:rFonts w:ascii="Helvetica Light" w:hAnsi="Helvetica Light" w:cs="Helvetica Light"/>
          <w:sz w:val="24"/>
          <w:sz-cs w:val="24"/>
        </w:rPr>
        <w:t xml:space="preserve">Living repository to foster learning and exchange on AI literacy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04-03-2024</w:t>
      </w:r>
    </w:p>
    <w:p>
      <w:pPr/>
      <w:r>
        <w:rPr>
          <w:rFonts w:ascii="Helvetica Light" w:hAnsi="Helvetica Light" w:cs="Helvetica Light"/>
          <w:sz w:val="24"/>
          <w:sz-cs w:val="24"/>
        </w:rPr>
        <w:t xml:space="preserve">Horizon Europe: new projects in AI, Data and Robotics - 2024 Edition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Big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European approach to 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EU’s approach to artificial intelligence promotes excellence and trust, by boosting research and industrial capacity while ensuring safety and fundamental rights.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 deeper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Governance and enforcement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European AI Office and the national market surveillance authorities are responsible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talent, skills and literacy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Commission aims to increase the number of AI experts by training and attracting more researchers...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Standardisation of the AI 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Harmonised standards will offer legal certainty under the AI Act, support innovation, and 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Act Whistleblower Tool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Act Whistleblower Tool, empowers individuals to securely submit a report and contribute...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Last update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Print as 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Shaping Europe’s digital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site is managed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Directorate-General for Communications Networks, Content and Technology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EU on LinkedIn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EU on Facebook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EU on Youtube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EU on Instagram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EU on 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DG CONNECT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 Directorate-General CONNECT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Accessibility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Copyright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Language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Privacy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 the European Commission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Facebook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Report an IT vulnerability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Languages on our websites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Cookies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Legal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Accessibility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