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13069B">
      <w:pPr>
        <w:pStyle w:val="2"/>
      </w:pPr>
      <w:r>
        <w:t>DEEP-OBSERVER</w:t>
      </w:r>
      <w:r>
        <w:br w:type="textWrapping"/>
      </w:r>
      <w:r>
        <w:t>SYSTEM REQUIREMENTS DOCUMENT (SRD)</w:t>
      </w:r>
    </w:p>
    <w:p w14:paraId="17141BB0">
      <w:pPr>
        <w:pStyle w:val="3"/>
      </w:pPr>
      <w:r>
        <w:t>1. Introduction</w:t>
      </w:r>
    </w:p>
    <w:p w14:paraId="23A16136">
      <w:r>
        <w:t xml:space="preserve">Deep-Observer is a reusable, production-oriented observability Deep‑Observer platform designed to provide deep visibility into modern distributed systems. </w:t>
      </w:r>
      <w:r>
        <w:rPr>
          <w:rFonts w:hint="default"/>
          <w:lang w:val="en-US"/>
        </w:rPr>
        <w:t>T</w:t>
      </w:r>
      <w:r>
        <w:t>he Deep‑Observer platform focuses on collecting, processing, storing, and visualizing telemetry signals including logs, metrics, traces, and operational events.</w:t>
      </w:r>
      <w:r>
        <w:br w:type="textWrapping"/>
      </w:r>
      <w:r>
        <w:br w:type="textWrapping"/>
      </w:r>
      <w:r>
        <w:t>This SRD defines the complete functional and non-functional requirements, architectural decisions, design constraints, and acceptance criteria for building Deep-Observer as a reusable observability Deep‑Observer platform that can be integrated into multiple projects with minimal application-level changes.</w:t>
      </w:r>
      <w:r>
        <w:br w:type="textWrapping"/>
      </w:r>
      <w:r>
        <w:br w:type="textWrapping"/>
      </w:r>
      <w:r>
        <w:t>The document serves as a single source of truth for design, development, validation, and future evolution of the Deep‑Observer platform.</w:t>
      </w:r>
    </w:p>
    <w:p w14:paraId="58B4074C">
      <w:pPr>
        <w:pStyle w:val="3"/>
      </w:pPr>
      <w:r>
        <w:t>2. Problem Statement</w:t>
      </w:r>
    </w:p>
    <w:p w14:paraId="45850F2B">
      <w:r>
        <w:t xml:space="preserve">Modern microservice-based systems are inherently complex, distributed, and failure-prone. Traditional monitoring systems provide surface-level metrics </w:t>
      </w:r>
      <w:r>
        <w:br w:type="textWrapping"/>
      </w:r>
      <w:r>
        <w:t>but fail to answer deeper diagnostic questions such as:</w:t>
      </w:r>
      <w:r>
        <w:br w:type="textWrapping"/>
      </w:r>
      <w:r>
        <w:t>- Why did latency spike for a subset of users?</w:t>
      </w:r>
      <w:r>
        <w:br w:type="textWrapping"/>
      </w:r>
      <w:r>
        <w:t>- Which downstream dependency caused a failure?</w:t>
      </w:r>
      <w:r>
        <w:br w:type="textWrapping"/>
      </w:r>
      <w:r>
        <w:t>- Did a deployment introduce a regression?</w:t>
      </w:r>
      <w:r>
        <w:br w:type="textWrapping"/>
      </w:r>
      <w:r>
        <w:t>- How does system behavior change under load?</w:t>
      </w:r>
      <w:r>
        <w:br w:type="textWrapping"/>
      </w:r>
      <w:r>
        <w:br w:type="textWrapping"/>
      </w:r>
      <w:r>
        <w:t xml:space="preserve">Most teams either rely on fragmented tooling or expensive commercial APM solutions that introduce vendor lock-in. </w:t>
      </w:r>
      <w:r>
        <w:br w:type="textWrapping"/>
      </w:r>
      <w:r>
        <w:t>Deep-Observer aims to solve this by providing a vendor-neutral, OpenTelemetry-based observability platform that balances depth, cost, and portability.</w:t>
      </w:r>
    </w:p>
    <w:p w14:paraId="2C6F0644">
      <w:pPr>
        <w:pStyle w:val="3"/>
      </w:pPr>
      <w:r>
        <w:t>3. Goals</w:t>
      </w:r>
    </w:p>
    <w:p w14:paraId="4CCD8606">
      <w:r>
        <w:t>Primary goals:</w:t>
      </w:r>
      <w:r>
        <w:br w:type="textWrapping"/>
      </w:r>
      <w:r>
        <w:t>- Build a reusable observability Deep‑Observer platform that can be attached to any system.</w:t>
      </w:r>
      <w:r>
        <w:br w:type="textWrapping"/>
      </w:r>
      <w:r>
        <w:t>- Enable distributed tracing, metrics, and log correlation.</w:t>
      </w:r>
      <w:r>
        <w:br w:type="textWrapping"/>
      </w:r>
      <w:r>
        <w:t>- Support polyglot environments (Go, TypeScript, Python).</w:t>
      </w:r>
      <w:r>
        <w:br w:type="textWrapping"/>
      </w:r>
      <w:r>
        <w:t>- Minimize application code changes via thin instrumentation layers.</w:t>
      </w:r>
      <w:r>
        <w:br w:type="textWrapping"/>
      </w:r>
      <w:r>
        <w:t>- Provide production-grade debugging and RCA workflows.</w:t>
      </w:r>
      <w:r>
        <w:br w:type="textWrapping"/>
      </w:r>
      <w:r>
        <w:t>- Serve as a learning and portfolio-grade SRE/Deep‑Observer platform project.</w:t>
      </w:r>
    </w:p>
    <w:p w14:paraId="3FEC9DD4">
      <w:pPr>
        <w:pStyle w:val="3"/>
      </w:pPr>
      <w:r>
        <w:t>4. Non-Goals</w:t>
      </w:r>
    </w:p>
    <w:p w14:paraId="3AE3CB84">
      <w:r>
        <w:t>The following are explicitly out of scope for the MVP:</w:t>
      </w:r>
      <w:r>
        <w:br w:type="textWrapping"/>
      </w:r>
      <w:r>
        <w:t>- Enterprise multi-tenant SaaS features.</w:t>
      </w:r>
      <w:r>
        <w:br w:type="textWrapping"/>
      </w:r>
      <w:r>
        <w:t>- Machine learning–based anomaly detection.</w:t>
      </w:r>
      <w:r>
        <w:br w:type="textWrapping"/>
      </w:r>
      <w:r>
        <w:t>- eBPF kernel-level observability.</w:t>
      </w:r>
      <w:r>
        <w:br w:type="textWrapping"/>
      </w:r>
      <w:r>
        <w:t>- Full SIEM / security analytics.</w:t>
      </w:r>
      <w:r>
        <w:br w:type="textWrapping"/>
      </w:r>
      <w:r>
        <w:t>- Commercial APM feature parity.</w:t>
      </w:r>
    </w:p>
    <w:p w14:paraId="11798807">
      <w:pPr>
        <w:pStyle w:val="3"/>
      </w:pPr>
      <w:r>
        <w:t>5. Stakeholders and Users</w:t>
      </w:r>
    </w:p>
    <w:p w14:paraId="38B5F796">
      <w:r>
        <w:t>Target users:</w:t>
      </w:r>
      <w:r>
        <w:br w:type="textWrapping"/>
      </w:r>
      <w:r>
        <w:t>- Developers: Investigate functional bugs, latency, and failures.</w:t>
      </w:r>
      <w:r>
        <w:br w:type="textWrapping"/>
      </w:r>
      <w:r>
        <w:t>- SRE / Ops: Monitor reliability, SLIs/SLOs, alerts, and deploy impact.</w:t>
      </w:r>
      <w:r>
        <w:br w:type="textWrapping"/>
      </w:r>
      <w:r>
        <w:t>- Solo engineers and small teams running distributed systems.</w:t>
      </w:r>
      <w:r>
        <w:br w:type="textWrapping"/>
      </w:r>
      <w:r>
        <w:br w:type="textWrapping"/>
      </w:r>
      <w:r>
        <w:rPr>
          <w:rFonts w:hint="default"/>
          <w:lang w:val="en-US"/>
        </w:rPr>
        <w:t>T</w:t>
      </w:r>
      <w:r>
        <w:t>he Deep‑Observer platform assumes users have basic familiarity with containers and distributed systems concepts.</w:t>
      </w:r>
    </w:p>
    <w:p w14:paraId="45FACEFD">
      <w:pPr>
        <w:pStyle w:val="3"/>
      </w:pPr>
      <w:r>
        <w:t>6. System Overview</w:t>
      </w:r>
    </w:p>
    <w:p w14:paraId="4E9A7F75">
      <w:r>
        <w:t>Deep-Observer is deployed as an independent platform, decoupled from application business logic.</w:t>
      </w:r>
      <w:r>
        <w:br w:type="textWrapping"/>
      </w:r>
      <w:r>
        <w:t>Applications emit telemetry using OpenTelemetry SDKs and export it via OTLP to the Deep‑Observer platform.</w:t>
      </w:r>
      <w:r>
        <w:br w:type="textWrapping"/>
      </w:r>
      <w:r>
        <w:br w:type="textWrapping"/>
      </w:r>
      <w:r>
        <w:rPr>
          <w:rFonts w:hint="default"/>
          <w:lang w:val="en-US"/>
        </w:rPr>
        <w:t>T</w:t>
      </w:r>
      <w:r>
        <w:t>he Deep‑Observer platform ingests telemetry, processes it via pipelines, stores it in specialized backends, and exposes unified visualization and alerting through Grafana.</w:t>
      </w:r>
    </w:p>
    <w:p w14:paraId="5CF49271">
      <w:pPr>
        <w:pStyle w:val="3"/>
      </w:pPr>
      <w:r>
        <w:t>7. High-Level Architecture</w:t>
      </w:r>
    </w:p>
    <w:p w14:paraId="52AC4D43">
      <w:r>
        <w:t>Telemetry Flow:</w:t>
      </w:r>
      <w:r>
        <w:br w:type="textWrapping"/>
      </w:r>
      <w:r>
        <w:t>1. Application services generate telemetry via OpenTelemetry SDKs.</w:t>
      </w:r>
      <w:r>
        <w:br w:type="textWrapping"/>
      </w:r>
      <w:r>
        <w:t>2. Telemetry is exported via OTLP (gRPC/HTTP).</w:t>
      </w:r>
      <w:r>
        <w:br w:type="textWrapping"/>
      </w:r>
      <w:r>
        <w:t>3. OpenTelemetry Collector receives telemetry.</w:t>
      </w:r>
      <w:r>
        <w:br w:type="textWrapping"/>
      </w:r>
      <w:r>
        <w:t>4. Collector processors batch, sample, enrich, and route data.</w:t>
      </w:r>
      <w:r>
        <w:br w:type="textWrapping"/>
      </w:r>
      <w:r>
        <w:t>5. Metrics are stored in Prometheus.</w:t>
      </w:r>
      <w:r>
        <w:br w:type="textWrapping"/>
      </w:r>
      <w:r>
        <w:t>6. Logs are stored in Loki.</w:t>
      </w:r>
      <w:r>
        <w:br w:type="textWrapping"/>
      </w:r>
      <w:r>
        <w:t>7. Traces are stored in Tempo.</w:t>
      </w:r>
      <w:r>
        <w:br w:type="textWrapping"/>
      </w:r>
      <w:r>
        <w:t>8. Grafana queries all backends and provides correlation views.</w:t>
      </w:r>
    </w:p>
    <w:p w14:paraId="2CE55599">
      <w:pPr>
        <w:pStyle w:val="3"/>
      </w:pPr>
      <w:r>
        <w:t>8. Deployment Model</w:t>
      </w:r>
    </w:p>
    <w:p w14:paraId="02BA097C">
      <w:r>
        <w:t>Development:</w:t>
      </w:r>
      <w:r>
        <w:br w:type="textWrapping"/>
      </w:r>
      <w:r>
        <w:t>- Docker Compose on a local workstation.</w:t>
      </w:r>
      <w:r>
        <w:br w:type="textWrapping"/>
      </w:r>
      <w:r>
        <w:br w:type="textWrapping"/>
      </w:r>
      <w:r>
        <w:t>Production-like:</w:t>
      </w:r>
      <w:r>
        <w:br w:type="textWrapping"/>
      </w:r>
      <w:r>
        <w:t>- Kubernetes-based deployment (future).</w:t>
      </w:r>
      <w:r>
        <w:br w:type="textWrapping"/>
      </w:r>
      <w:r>
        <w:t>- VM-based single-node deployment (optional).</w:t>
      </w:r>
      <w:r>
        <w:br w:type="textWrapping"/>
      </w:r>
      <w:r>
        <w:br w:type="textWrapping"/>
      </w:r>
      <w:r>
        <w:rPr>
          <w:rFonts w:hint="default"/>
          <w:lang w:val="en-US"/>
        </w:rPr>
        <w:t xml:space="preserve">The </w:t>
      </w:r>
      <w:r>
        <w:t>Deep‑Observer platform supports environment separation via configuration profiles.</w:t>
      </w:r>
    </w:p>
    <w:p w14:paraId="2DC6355D">
      <w:pPr>
        <w:pStyle w:val="3"/>
      </w:pPr>
      <w:r>
        <w:t>9. Telemetry Signals</w:t>
      </w:r>
    </w:p>
    <w:p w14:paraId="78265230">
      <w:r>
        <w:t>9.1 Traces</w:t>
      </w:r>
      <w:r>
        <w:br w:type="textWrapping"/>
      </w:r>
      <w:r>
        <w:t>- Distributed tracing across HTTP services.</w:t>
      </w:r>
      <w:r>
        <w:br w:type="textWrapping"/>
      </w:r>
      <w:r>
        <w:t>- W3C Trace Context propagation.</w:t>
      </w:r>
      <w:r>
        <w:br w:type="textWrapping"/>
      </w:r>
      <w:r>
        <w:t>- Support for Fiber (HTTP) and future gRPC services.</w:t>
      </w:r>
      <w:r>
        <w:br w:type="textWrapping"/>
      </w:r>
      <w:r>
        <w:t>- Default head-based sampling at 10%.</w:t>
      </w:r>
      <w:r>
        <w:br w:type="textWrapping"/>
      </w:r>
      <w:r>
        <w:t>- Error traces prioritized for retention.</w:t>
      </w:r>
    </w:p>
    <w:p w14:paraId="54F6BC07">
      <w:r>
        <w:t>9.2 Metrics</w:t>
      </w:r>
      <w:r>
        <w:br w:type="textWrapping"/>
      </w:r>
      <w:r>
        <w:t>- RED metrics: Rate, Errors, Duration.</w:t>
      </w:r>
      <w:r>
        <w:br w:type="textWrapping"/>
      </w:r>
      <w:r>
        <w:t>- USE metrics: Utilization, Saturation, Errors.</w:t>
      </w:r>
      <w:r>
        <w:br w:type="textWrapping"/>
      </w:r>
      <w:r>
        <w:t>- Infrastructure and application-level metrics.</w:t>
      </w:r>
      <w:r>
        <w:br w:type="textWrapping"/>
      </w:r>
      <w:r>
        <w:t>- Prometheus pull-based scraping.</w:t>
      </w:r>
    </w:p>
    <w:p w14:paraId="56E05147">
      <w:r>
        <w:t>9.3 Logs</w:t>
      </w:r>
      <w:r>
        <w:br w:type="textWrapping"/>
      </w:r>
      <w:r>
        <w:t>- JSON structured logging is mandatory for services under Deep‑Observer platform control.</w:t>
      </w:r>
      <w:r>
        <w:br w:type="textWrapping"/>
      </w:r>
      <w:r>
        <w:t>- Logs must include trace_id for correlation.</w:t>
      </w:r>
      <w:r>
        <w:br w:type="textWrapping"/>
      </w:r>
      <w:r>
        <w:t>- Non-JSON logs are supported but offer reduced querying capability.</w:t>
      </w:r>
    </w:p>
    <w:p w14:paraId="7FE60C5D">
      <w:r>
        <w:t>9.4 Events</w:t>
      </w:r>
      <w:r>
        <w:br w:type="textWrapping"/>
      </w:r>
      <w:r>
        <w:t>- Deployment events.</w:t>
      </w:r>
      <w:r>
        <w:br w:type="textWrapping"/>
      </w:r>
      <w:r>
        <w:t>- Configuration changes.</w:t>
      </w:r>
      <w:r>
        <w:br w:type="textWrapping"/>
      </w:r>
      <w:r>
        <w:t>- Incident markers.</w:t>
      </w:r>
      <w:r>
        <w:br w:type="textWrapping"/>
      </w:r>
      <w:r>
        <w:t>- Events are visualized as Grafana annotations.</w:t>
      </w:r>
    </w:p>
    <w:p w14:paraId="6BD67B9D">
      <w:pPr>
        <w:pStyle w:val="3"/>
      </w:pPr>
      <w:r>
        <w:t>10. Tooling and Technology Choices</w:t>
      </w:r>
    </w:p>
    <w:p w14:paraId="74BAE656">
      <w:r>
        <w:t>Core stack:</w:t>
      </w:r>
      <w:r>
        <w:br w:type="textWrapping"/>
      </w:r>
      <w:r>
        <w:t>- OpenTelemetry Collector (contrib)</w:t>
      </w:r>
      <w:r>
        <w:br w:type="textWrapping"/>
      </w:r>
      <w:r>
        <w:t>- Prometheus (metrics)</w:t>
      </w:r>
      <w:r>
        <w:br w:type="textWrapping"/>
      </w:r>
      <w:r>
        <w:t>- Loki (logs)</w:t>
      </w:r>
      <w:r>
        <w:br w:type="textWrapping"/>
      </w:r>
      <w:r>
        <w:t>- Tempo (traces)</w:t>
      </w:r>
      <w:r>
        <w:br w:type="textWrapping"/>
      </w:r>
      <w:r>
        <w:t>- Grafana (visualization)</w:t>
      </w:r>
      <w:r>
        <w:br w:type="textWrapping"/>
      </w:r>
      <w:r>
        <w:br w:type="textWrapping"/>
      </w:r>
      <w:r>
        <w:t>Rationale:</w:t>
      </w:r>
      <w:r>
        <w:br w:type="textWrapping"/>
      </w:r>
      <w:r>
        <w:t>This LGTM stack provides strong integration, cost efficiency, and portability.</w:t>
      </w:r>
    </w:p>
    <w:p w14:paraId="40C72D0C">
      <w:pPr>
        <w:pStyle w:val="3"/>
      </w:pPr>
      <w:r>
        <w:t>11. Data Retention Policies</w:t>
      </w:r>
    </w:p>
    <w:p w14:paraId="78DFA4B7">
      <w:r>
        <w:t>Default retention:</w:t>
      </w:r>
      <w:r>
        <w:br w:type="textWrapping"/>
      </w:r>
      <w:r>
        <w:t>- Metrics: 30 days.</w:t>
      </w:r>
      <w:r>
        <w:br w:type="textWrapping"/>
      </w:r>
      <w:r>
        <w:t>- Logs: 14 days.</w:t>
      </w:r>
      <w:r>
        <w:br w:type="textWrapping"/>
      </w:r>
      <w:r>
        <w:t>- Traces: 7 days.</w:t>
      </w:r>
      <w:r>
        <w:br w:type="textWrapping"/>
      </w:r>
      <w:r>
        <w:br w:type="textWrapping"/>
      </w:r>
      <w:r>
        <w:t>Retention policies are configurable per environment.</w:t>
      </w:r>
    </w:p>
    <w:p w14:paraId="71F57657">
      <w:pPr>
        <w:pStyle w:val="3"/>
      </w:pPr>
      <w:r>
        <w:t>12. Sampling Strategy</w:t>
      </w:r>
    </w:p>
    <w:p w14:paraId="5624F744">
      <w:r>
        <w:t>- Head-based sampling at SDK level.</w:t>
      </w:r>
      <w:r>
        <w:br w:type="textWrapping"/>
      </w:r>
      <w:r>
        <w:t>- Sampling rate configurable via environment.</w:t>
      </w:r>
      <w:r>
        <w:br w:type="textWrapping"/>
      </w:r>
      <w:r>
        <w:t>- Tail-based sampling planned for future versions.</w:t>
      </w:r>
      <w:r>
        <w:br w:type="textWrapping"/>
      </w:r>
      <w:r>
        <w:t>- Error and high-latency traces prioritized.</w:t>
      </w:r>
    </w:p>
    <w:p w14:paraId="3F8C120F">
      <w:pPr>
        <w:pStyle w:val="3"/>
      </w:pPr>
      <w:r>
        <w:t>13. Security Requirements</w:t>
      </w:r>
    </w:p>
    <w:p w14:paraId="3FFAAA04">
      <w:r>
        <w:t>- Grafana protected via basic authentication (dev).</w:t>
      </w:r>
      <w:r>
        <w:br w:type="textWrapping"/>
      </w:r>
      <w:r>
        <w:t>- TLS required in production deployments.</w:t>
      </w:r>
      <w:r>
        <w:br w:type="textWrapping"/>
      </w:r>
      <w:r>
        <w:t>- No PII or sensitive payment data may be logged.</w:t>
      </w:r>
      <w:r>
        <w:br w:type="textWrapping"/>
      </w:r>
      <w:r>
        <w:t>- RBAC and OAuth planned for future versions.</w:t>
      </w:r>
    </w:p>
    <w:p w14:paraId="33FB1ECB">
      <w:pPr>
        <w:pStyle w:val="3"/>
      </w:pPr>
      <w:r>
        <w:t>14. Compliance Considerations</w:t>
      </w:r>
    </w:p>
    <w:p w14:paraId="12D1E43A">
      <w:r>
        <w:t>- Deep‑Observer platform avoids storage of personal data.</w:t>
      </w:r>
      <w:r>
        <w:br w:type="textWrapping"/>
      </w:r>
      <w:r>
        <w:t>- Logging guidelines enforce redaction.</w:t>
      </w:r>
      <w:r>
        <w:br w:type="textWrapping"/>
      </w:r>
      <w:r>
        <w:t>- Audit logging is out of scope for MVP.</w:t>
      </w:r>
    </w:p>
    <w:p w14:paraId="64C98C06">
      <w:pPr>
        <w:pStyle w:val="3"/>
      </w:pPr>
      <w:r>
        <w:t>15. Operability</w:t>
      </w:r>
    </w:p>
    <w:p w14:paraId="685C6654">
      <w:r>
        <w:t>- Health checks for all services.</w:t>
      </w:r>
      <w:r>
        <w:br w:type="textWrapping"/>
      </w:r>
      <w:r>
        <w:t>- Docker healthcheck integration.</w:t>
      </w:r>
      <w:r>
        <w:br w:type="textWrapping"/>
      </w:r>
      <w:r>
        <w:t>- Downtime acceptable for MVP upgrades.</w:t>
      </w:r>
      <w:r>
        <w:br w:type="textWrapping"/>
      </w:r>
      <w:r>
        <w:t>- Backup and restore out of scope for MVP.</w:t>
      </w:r>
    </w:p>
    <w:p w14:paraId="19BE7FC9">
      <w:pPr>
        <w:pStyle w:val="3"/>
      </w:pPr>
      <w:r>
        <w:t>16. Scalability</w:t>
      </w:r>
    </w:p>
    <w:p w14:paraId="56AAA9EE">
      <w:r>
        <w:t>- Horizontal scaling of OpenTelemetry Collector.</w:t>
      </w:r>
      <w:r>
        <w:br w:type="textWrapping"/>
      </w:r>
      <w:r>
        <w:t>- Storage backends scale independently.</w:t>
      </w:r>
      <w:r>
        <w:br w:type="textWrapping"/>
      </w:r>
      <w:r>
        <w:t>- Documented capacity planning guidelines.</w:t>
      </w:r>
    </w:p>
    <w:p w14:paraId="42F906C8">
      <w:pPr>
        <w:pStyle w:val="3"/>
      </w:pPr>
      <w:r>
        <w:t>17. Performance Requireme</w:t>
      </w:r>
      <w:bookmarkStart w:id="0" w:name="_GoBack"/>
      <w:bookmarkEnd w:id="0"/>
      <w:r>
        <w:t>nts</w:t>
      </w:r>
    </w:p>
    <w:p w14:paraId="3843D05A">
      <w:r>
        <w:t>- Deep‑Observer platform ingestion latency must not exceed 1 second under normal load.</w:t>
      </w:r>
      <w:r>
        <w:br w:type="textWrapping"/>
      </w:r>
      <w:r>
        <w:t>- Dashboard queries should return within 3 seconds.</w:t>
      </w:r>
      <w:r>
        <w:br w:type="textWrapping"/>
      </w:r>
      <w:r>
        <w:t>- Sampling ensures system stability under load.</w:t>
      </w:r>
    </w:p>
    <w:p w14:paraId="7F73D049">
      <w:pPr>
        <w:pStyle w:val="3"/>
      </w:pPr>
      <w:r>
        <w:t>18. Reliability Requirements</w:t>
      </w:r>
    </w:p>
    <w:p w14:paraId="037662A2">
      <w:r>
        <w:t>- Deep‑Observer platform targets 99.5% availability in production-like environments.</w:t>
      </w:r>
      <w:r>
        <w:br w:type="textWrapping"/>
      </w:r>
      <w:r>
        <w:t>- Graceful degradation under partial backend failures.</w:t>
      </w:r>
    </w:p>
    <w:p w14:paraId="7082F43F">
      <w:pPr>
        <w:pStyle w:val="3"/>
      </w:pPr>
      <w:r>
        <w:t>19. Developer Experience</w:t>
      </w:r>
    </w:p>
    <w:p w14:paraId="19AF4141">
      <w:r>
        <w:t>- Single-command startup via Makefile.</w:t>
      </w:r>
      <w:r>
        <w:br w:type="textWrapping"/>
      </w:r>
      <w:r>
        <w:t>- Minimal instrumentation code.</w:t>
      </w:r>
      <w:r>
        <w:br w:type="textWrapping"/>
      </w:r>
      <w:r>
        <w:t>- Clear onboarding documentation.</w:t>
      </w:r>
      <w:r>
        <w:br w:type="textWrapping"/>
      </w:r>
      <w:r>
        <w:t>- Example workloads for validation.</w:t>
      </w:r>
    </w:p>
    <w:p w14:paraId="2834F464">
      <w:pPr>
        <w:pStyle w:val="3"/>
      </w:pPr>
      <w:r>
        <w:t>20. Configuration Management</w:t>
      </w:r>
    </w:p>
    <w:p w14:paraId="0E6E9B14">
      <w:r>
        <w:t>- Environment variables for runtime config.</w:t>
      </w:r>
      <w:r>
        <w:br w:type="textWrapping"/>
      </w:r>
      <w:r>
        <w:t>- YAML-based configuration for Collector.</w:t>
      </w:r>
      <w:r>
        <w:br w:type="textWrapping"/>
      </w:r>
      <w:r>
        <w:t>- Secrets managed externally.</w:t>
      </w:r>
    </w:p>
    <w:p w14:paraId="616925E2">
      <w:pPr>
        <w:pStyle w:val="3"/>
      </w:pPr>
      <w:r>
        <w:t>21. Alerting</w:t>
      </w:r>
    </w:p>
    <w:p w14:paraId="1FB67D95">
      <w:r>
        <w:t>- Alerting based on Prometheus metrics.</w:t>
      </w:r>
      <w:r>
        <w:br w:type="textWrapping"/>
      </w:r>
      <w:r>
        <w:t>- Error rate and latency alerts.</w:t>
      </w:r>
      <w:r>
        <w:br w:type="textWrapping"/>
      </w:r>
      <w:r>
        <w:t>- Alerts tested via induced failures.</w:t>
      </w:r>
    </w:p>
    <w:p w14:paraId="64AFBDDB">
      <w:pPr>
        <w:pStyle w:val="3"/>
      </w:pPr>
      <w:r>
        <w:t>22. Dashboards</w:t>
      </w:r>
    </w:p>
    <w:p w14:paraId="439EB563">
      <w:r>
        <w:t>- Service overview dashboards.</w:t>
      </w:r>
      <w:r>
        <w:br w:type="textWrapping"/>
      </w:r>
      <w:r>
        <w:t>- RED and USE dashboards.</w:t>
      </w:r>
      <w:r>
        <w:br w:type="textWrapping"/>
      </w:r>
      <w:r>
        <w:t>- Deployment impact dashboards.</w:t>
      </w:r>
      <w:r>
        <w:br w:type="textWrapping"/>
      </w:r>
      <w:r>
        <w:t>- Infrastructure overview dashboards.</w:t>
      </w:r>
    </w:p>
    <w:p w14:paraId="024AB489">
      <w:pPr>
        <w:pStyle w:val="3"/>
      </w:pPr>
      <w:r>
        <w:t>23. Root Cause Analysis Workflows</w:t>
      </w:r>
    </w:p>
    <w:p w14:paraId="4D1BB71C">
      <w:r>
        <w:t>- Trace → log → metric correlation.</w:t>
      </w:r>
      <w:r>
        <w:br w:type="textWrapping"/>
      </w:r>
      <w:r>
        <w:t>- Dependency analysis via traces.</w:t>
      </w:r>
      <w:r>
        <w:br w:type="textWrapping"/>
      </w:r>
      <w:r>
        <w:t>- Deployment correlation via events.</w:t>
      </w:r>
    </w:p>
    <w:p w14:paraId="1B16B051">
      <w:pPr>
        <w:pStyle w:val="3"/>
      </w:pPr>
      <w:r>
        <w:t>24. Cost Optimization</w:t>
      </w:r>
    </w:p>
    <w:p w14:paraId="555B1BC2">
      <w:r>
        <w:t>- Sampling reduces storage cost.</w:t>
      </w:r>
      <w:r>
        <w:br w:type="textWrapping"/>
      </w:r>
      <w:r>
        <w:t>- Loki label-based indexing minimizes disk usage.</w:t>
      </w:r>
      <w:r>
        <w:br w:type="textWrapping"/>
      </w:r>
      <w:r>
        <w:t>- Local-first storage strategy for MVP.</w:t>
      </w:r>
    </w:p>
    <w:p w14:paraId="31E28A94">
      <w:pPr>
        <w:pStyle w:val="3"/>
      </w:pPr>
      <w:r>
        <w:t>25. Polyglot Support</w:t>
      </w:r>
    </w:p>
    <w:p w14:paraId="3A55E5F6">
      <w:r>
        <w:t>- Go services via deep-observer-go.</w:t>
      </w:r>
      <w:r>
        <w:br w:type="textWrapping"/>
      </w:r>
      <w:r>
        <w:t>- TypeScript and Python via OpenTelemetry SDKs.</w:t>
      </w:r>
      <w:r>
        <w:br w:type="textWrapping"/>
      </w:r>
      <w:r>
        <w:t>- Consistent OTLP export pipeline.</w:t>
      </w:r>
    </w:p>
    <w:p w14:paraId="7C4F7346">
      <w:pPr>
        <w:pStyle w:val="3"/>
      </w:pPr>
      <w:r>
        <w:t>26. Integration Model</w:t>
      </w:r>
    </w:p>
    <w:p w14:paraId="20577C1E">
      <w:r>
        <w:t>Applications integrate by:</w:t>
      </w:r>
      <w:r>
        <w:br w:type="textWrapping"/>
      </w:r>
      <w:r>
        <w:t>1. Adding OpenTelemetry SDK.</w:t>
      </w:r>
      <w:r>
        <w:br w:type="textWrapping"/>
      </w:r>
      <w:r>
        <w:t>2. Setting OTEL_* environment variables.</w:t>
      </w:r>
      <w:r>
        <w:br w:type="textWrapping"/>
      </w:r>
      <w:r>
        <w:t>3. Using provided middleware/interceptors.</w:t>
      </w:r>
    </w:p>
    <w:p w14:paraId="03E3945D">
      <w:pPr>
        <w:pStyle w:val="3"/>
      </w:pPr>
      <w:r>
        <w:t>27. Development Environment Workflow</w:t>
      </w:r>
    </w:p>
    <w:p w14:paraId="3BACEB71">
      <w:r>
        <w:t>- Deep‑Observer platform and application run in shared Docker network.</w:t>
      </w:r>
      <w:r>
        <w:br w:type="textWrapping"/>
      </w:r>
      <w:r>
        <w:t>- dev-env Compose file orchestrates full system.</w:t>
      </w:r>
      <w:r>
        <w:br w:type="textWrapping"/>
      </w:r>
      <w:r>
        <w:t>- Load testing scripts validate telemetry.</w:t>
      </w:r>
    </w:p>
    <w:p w14:paraId="0E33EDBD">
      <w:pPr>
        <w:pStyle w:val="3"/>
      </w:pPr>
      <w:r>
        <w:t>28. Testing Strategy</w:t>
      </w:r>
    </w:p>
    <w:p w14:paraId="2A9107AB">
      <w:r>
        <w:t>- Functional tests via example workloads.</w:t>
      </w:r>
      <w:r>
        <w:br w:type="textWrapping"/>
      </w:r>
      <w:r>
        <w:t>- Load tests (20–50 RPS).</w:t>
      </w:r>
      <w:r>
        <w:br w:type="textWrapping"/>
      </w:r>
      <w:r>
        <w:t>- Failure injection via latency/error toggles.</w:t>
      </w:r>
    </w:p>
    <w:p w14:paraId="6A534529">
      <w:pPr>
        <w:pStyle w:val="3"/>
      </w:pPr>
      <w:r>
        <w:t>29. Acceptance Criteria</w:t>
      </w:r>
    </w:p>
    <w:p w14:paraId="1EECB4A0">
      <w:r>
        <w:t>the Deep‑Observer Deep‑Observer platform is accepted when:</w:t>
      </w:r>
      <w:r>
        <w:br w:type="textWrapping"/>
      </w:r>
      <w:r>
        <w:t>- Distributed traces are visible end-to-end.</w:t>
      </w:r>
      <w:r>
        <w:br w:type="textWrapping"/>
      </w:r>
      <w:r>
        <w:t>- Logs correlate via trace_id.</w:t>
      </w:r>
      <w:r>
        <w:br w:type="textWrapping"/>
      </w:r>
      <w:r>
        <w:t>- Dashboards populate correctly.</w:t>
      </w:r>
      <w:r>
        <w:br w:type="textWrapping"/>
      </w:r>
      <w:r>
        <w:t>- Alerts fire on induced failures.</w:t>
      </w:r>
      <w:r>
        <w:br w:type="textWrapping"/>
      </w:r>
      <w:r>
        <w:t>- Deploy events annotate dashboards.</w:t>
      </w:r>
    </w:p>
    <w:p w14:paraId="681606AF">
      <w:pPr>
        <w:pStyle w:val="3"/>
      </w:pPr>
      <w:r>
        <w:t>30. Deliverables</w:t>
      </w:r>
    </w:p>
    <w:p w14:paraId="4D833B11">
      <w:r>
        <w:t>- Docker Compose deployment.</w:t>
      </w:r>
      <w:r>
        <w:br w:type="textWrapping"/>
      </w:r>
      <w:r>
        <w:t>- OpenTelemetry Collector configuration.</w:t>
      </w:r>
      <w:r>
        <w:br w:type="textWrapping"/>
      </w:r>
      <w:r>
        <w:t>- Grafana dashboards.</w:t>
      </w:r>
      <w:r>
        <w:br w:type="textWrapping"/>
      </w:r>
      <w:r>
        <w:t>- Example workloads.</w:t>
      </w:r>
      <w:r>
        <w:br w:type="textWrapping"/>
      </w:r>
      <w:r>
        <w:t>- Runbook and troubleshooting docs.</w:t>
      </w:r>
    </w:p>
    <w:p w14:paraId="1869F12D">
      <w:pPr>
        <w:pStyle w:val="3"/>
      </w:pPr>
      <w:r>
        <w:t>31. Roadmap</w:t>
      </w:r>
    </w:p>
    <w:p w14:paraId="51424E24">
      <w:r>
        <w:t>MVP:</w:t>
      </w:r>
      <w:r>
        <w:br w:type="textWrapping"/>
      </w:r>
      <w:r>
        <w:t>- Compose deployment.</w:t>
      </w:r>
      <w:r>
        <w:br w:type="textWrapping"/>
      </w:r>
      <w:r>
        <w:t>- HTTP tracing.</w:t>
      </w:r>
      <w:r>
        <w:br w:type="textWrapping"/>
      </w:r>
      <w:r>
        <w:t>- LGTM stack.</w:t>
      </w:r>
      <w:r>
        <w:br w:type="textWrapping"/>
      </w:r>
      <w:r>
        <w:br w:type="textWrapping"/>
      </w:r>
      <w:r>
        <w:t>v1.1:</w:t>
      </w:r>
      <w:r>
        <w:br w:type="textWrapping"/>
      </w:r>
      <w:r>
        <w:t>- gRPC support.</w:t>
      </w:r>
      <w:r>
        <w:br w:type="textWrapping"/>
      </w:r>
      <w:r>
        <w:t>- Tail sampling.</w:t>
      </w:r>
      <w:r>
        <w:br w:type="textWrapping"/>
      </w:r>
      <w:r>
        <w:t>- OAuth.</w:t>
      </w:r>
      <w:r>
        <w:br w:type="textWrapping"/>
      </w:r>
      <w:r>
        <w:br w:type="textWrapping"/>
      </w:r>
      <w:r>
        <w:t>v1.2:</w:t>
      </w:r>
      <w:r>
        <w:br w:type="textWrapping"/>
      </w:r>
      <w:r>
        <w:t>- Kubernetes deployment.</w:t>
      </w:r>
      <w:r>
        <w:br w:type="textWrapping"/>
      </w:r>
      <w:r>
        <w:t>- Remote storage options.</w:t>
      </w:r>
    </w:p>
    <w:p w14:paraId="6DF551FE">
      <w:r>
        <w:br w:type="page"/>
      </w:r>
    </w:p>
    <w:p w14:paraId="393CB562">
      <w:pPr>
        <w:pStyle w:val="2"/>
      </w:pPr>
      <w:r>
        <w:t>32. Telemetry &amp; Event Payload Specifications</w:t>
      </w:r>
    </w:p>
    <w:p w14:paraId="2B511804">
      <w:r>
        <w:t xml:space="preserve">Status: </w:t>
      </w:r>
      <w:r>
        <w:rPr>
          <w:b/>
        </w:rPr>
        <w:t>Normative (SRD)</w:t>
      </w:r>
    </w:p>
    <w:p w14:paraId="483D0841">
      <w:r>
        <w:t>Intent: Define the payload formats Deep‑Observer expects and enforces at its boundaries. This section distinguishes payloads governed by OpenTelemetry (OTel/OTLP) from payloads defined by Deep‑Observer. It is descriptive and contract‑oriented, not implementation‑heavy.</w:t>
      </w:r>
    </w:p>
    <w:p w14:paraId="0F6D3835">
      <w:pPr>
        <w:pStyle w:val="3"/>
      </w:pPr>
      <w:r>
        <w:t>32.1 Scope &amp; Boundaries</w:t>
      </w:r>
    </w:p>
    <w:p w14:paraId="1B2FF7EC">
      <w:r>
        <w:t>In‑scope contracts</w:t>
      </w:r>
    </w:p>
    <w:p w14:paraId="664E88D1">
      <w:r>
        <w:t>• Structured Log Payload (JSON): Canonical shape emitted by applications (stdout/appenders) → ingested by OTel Collector → stored in Loki. Enables trace↔log correlation.</w:t>
      </w:r>
    </w:p>
    <w:p w14:paraId="031D7898">
      <w:r>
        <w:t>• Operational Event Payload (JSON): Explicit events (deployments, incidents, config changes) submitted by CI/CD or tools → stored as metadata and visualized as Grafana annotations.</w:t>
      </w:r>
    </w:p>
    <w:p w14:paraId="3F69994E">
      <w:r>
        <w:t>Out of scope for this section</w:t>
      </w:r>
    </w:p>
    <w:p w14:paraId="10655B88">
      <w:r>
        <w:t>• OTLP wire format and semantic conventions (governed by OpenTelemetry; referenced, not redefined).</w:t>
      </w:r>
    </w:p>
    <w:p w14:paraId="75697C94">
      <w:r>
        <w:t>• Storage schemas of Prometheus/Loki/Tempo (owned by their backends).</w:t>
      </w:r>
    </w:p>
    <w:p w14:paraId="59AD76AF">
      <w:r>
        <w:t>Data ownership constraint</w:t>
      </w:r>
    </w:p>
    <w:p w14:paraId="53C61C20">
      <w:r>
        <w:t>• Metrics/logs/traces live in Prometheus/Loki/Tempo respectively.</w:t>
      </w:r>
    </w:p>
    <w:p w14:paraId="518D035C">
      <w:r>
        <w:t>• The relational DB stores only metadata/control‑plane (e.g., operational events, service registry).</w:t>
      </w:r>
    </w:p>
    <w:p w14:paraId="5F3F35AA">
      <w:pPr>
        <w:pStyle w:val="3"/>
      </w:pPr>
      <w:r>
        <w:t>32.2 Standards Referenced (Non‑Redefining)</w:t>
      </w:r>
    </w:p>
    <w:p w14:paraId="71D0D867">
      <w:r>
        <w:t>• OTLP (OpenTelemetry Protocol) for metrics/logs/traces over gRPC/HTTP.</w:t>
      </w:r>
    </w:p>
    <w:p w14:paraId="08617CD2">
      <w:r>
        <w:t>• W3C Trace Context for traceparent propagation across services.</w:t>
      </w:r>
    </w:p>
    <w:p w14:paraId="64FF40B4">
      <w:r>
        <w:t>• OTel Semantic Conventions for common attributes (service, deployment, cloud, HTTP, DB, etc.).</w:t>
      </w:r>
    </w:p>
    <w:p w14:paraId="5BCE0A3F">
      <w:r>
        <w:t>Deep‑Observer does not alter OTLP payloads. Where this section mentions fields that also exist in OTLP, it is to ensure compatibility and correlation, not to restate the OTLP spec.</w:t>
      </w:r>
    </w:p>
    <w:p w14:paraId="76C7C131">
      <w:pPr>
        <w:pStyle w:val="3"/>
      </w:pPr>
      <w:r>
        <w:t>32.3 Structured Log Payload (JSON)</w:t>
      </w:r>
    </w:p>
    <w:p w14:paraId="5B919F87">
      <w:r>
        <w:t>Purpose: Define a portable, vendor‑neutral JSON shape for application logs that maximizes usability in Loki and correlation with Tempo traces and Prometheus metrics.</w:t>
      </w:r>
    </w:p>
    <w:p w14:paraId="76A1712F">
      <w:pPr>
        <w:pStyle w:val="4"/>
      </w:pPr>
      <w:r>
        <w:t>32.3.1 Contract Requirements</w:t>
      </w:r>
    </w:p>
    <w:p w14:paraId="04CCCDA1">
      <w:r>
        <w:t>• R1 (Format): Logs MUST be JSON lines (one object per line).</w:t>
      </w:r>
    </w:p>
    <w:p w14:paraId="7CABF9E7">
      <w:r>
        <w:t>• R2 (Correlation): Logs MUST include trace_id (W3C TraceId) and SHOULD include span_id.</w:t>
      </w:r>
    </w:p>
    <w:p w14:paraId="6EB3D753">
      <w:r>
        <w:t>• R3 (Context): Logs MUST include service and environment context (service.name, environment).</w:t>
      </w:r>
    </w:p>
    <w:p w14:paraId="3EF55CFE">
      <w:r>
        <w:t>• R4 (Severity): Provide both severity_text (e.g., INFO) and SHOULD provide numeric severity_number (per OTel scale).</w:t>
      </w:r>
    </w:p>
    <w:p w14:paraId="753B62DA">
      <w:r>
        <w:t>• R5 (Cardinality): Fields intended for Loki labels MUST remain low‑cardinality. Avoid user IDs, request IDs, etc., as labels—keep them in the JSON body.</w:t>
      </w:r>
    </w:p>
    <w:p w14:paraId="27966FC2">
      <w:r>
        <w:t>• R6 (Timestamps): timestamp MUST be RFC 3339/ISO‑8601 with timezone (e.g., 2026-01-22T09:15:37.123Z).</w:t>
      </w:r>
    </w:p>
    <w:p w14:paraId="2B3DCC24">
      <w:r>
        <w:t>• R7 (PII): Sensitive data MUST NOT be logged. Redact at source.</w:t>
      </w:r>
    </w:p>
    <w:p w14:paraId="0689E0BA">
      <w:r>
        <w:t>Why avoid high‑cardinality labels? In Loki, labels form the index. High‑cardinality labels (e.g., per‑user IDs) explode index size, degrade query performance, and increase cost. Keep such values in the body; filter them via LogQL.</w:t>
      </w:r>
    </w:p>
    <w:p w14:paraId="645E863A">
      <w:pPr>
        <w:pStyle w:val="4"/>
      </w:pPr>
      <w:r>
        <w:t>32.3.2 Canonical Fields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14"/>
        <w:gridCol w:w="1112"/>
        <w:gridCol w:w="906"/>
        <w:gridCol w:w="1103"/>
        <w:gridCol w:w="3921"/>
      </w:tblGrid>
      <w:tr w14:paraId="4E5FDF6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01C6B4DC">
            <w:pPr>
              <w:spacing w:after="0" w:line="240" w:lineRule="auto"/>
            </w:pPr>
            <w:r>
              <w:t>Field</w:t>
            </w:r>
          </w:p>
        </w:tc>
        <w:tc>
          <w:tcPr>
            <w:tcW w:w="1728" w:type="dxa"/>
          </w:tcPr>
          <w:p w14:paraId="5162AF23">
            <w:pPr>
              <w:spacing w:after="0" w:line="240" w:lineRule="auto"/>
            </w:pPr>
            <w:r>
              <w:t>Type</w:t>
            </w:r>
          </w:p>
        </w:tc>
        <w:tc>
          <w:tcPr>
            <w:tcW w:w="1728" w:type="dxa"/>
          </w:tcPr>
          <w:p w14:paraId="4C40D375">
            <w:pPr>
              <w:spacing w:after="0" w:line="240" w:lineRule="auto"/>
            </w:pPr>
            <w:r>
              <w:t>Req.</w:t>
            </w:r>
          </w:p>
        </w:tc>
        <w:tc>
          <w:tcPr>
            <w:tcW w:w="1728" w:type="dxa"/>
          </w:tcPr>
          <w:p w14:paraId="2C0E2418">
            <w:pPr>
              <w:spacing w:after="0" w:line="240" w:lineRule="auto"/>
            </w:pPr>
            <w:r>
              <w:t>Cardinality guidance</w:t>
            </w:r>
          </w:p>
        </w:tc>
        <w:tc>
          <w:tcPr>
            <w:tcW w:w="1728" w:type="dxa"/>
          </w:tcPr>
          <w:p w14:paraId="232E1351">
            <w:pPr>
              <w:spacing w:after="0" w:line="240" w:lineRule="auto"/>
            </w:pPr>
            <w:r>
              <w:t>Description</w:t>
            </w:r>
          </w:p>
        </w:tc>
      </w:tr>
      <w:tr w14:paraId="494136B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0766C9EE">
            <w:pPr>
              <w:spacing w:after="0" w:line="240" w:lineRule="auto"/>
            </w:pPr>
            <w:r>
              <w:t>timestamp</w:t>
            </w:r>
          </w:p>
        </w:tc>
        <w:tc>
          <w:tcPr>
            <w:tcW w:w="1728" w:type="dxa"/>
          </w:tcPr>
          <w:p w14:paraId="5EEA1B21">
            <w:pPr>
              <w:spacing w:after="0" w:line="240" w:lineRule="auto"/>
            </w:pPr>
            <w:r>
              <w:t>string (ISO‑8601)</w:t>
            </w:r>
          </w:p>
        </w:tc>
        <w:tc>
          <w:tcPr>
            <w:tcW w:w="1728" w:type="dxa"/>
          </w:tcPr>
          <w:p w14:paraId="621D0318">
            <w:pPr>
              <w:spacing w:after="0" w:line="240" w:lineRule="auto"/>
            </w:pPr>
            <w:r>
              <w:t>MUST</w:t>
            </w:r>
          </w:p>
        </w:tc>
        <w:tc>
          <w:tcPr>
            <w:tcW w:w="1728" w:type="dxa"/>
          </w:tcPr>
          <w:p w14:paraId="1325534B">
            <w:pPr>
              <w:spacing w:after="0" w:line="240" w:lineRule="auto"/>
            </w:pPr>
            <w:r>
              <w:t>n/a</w:t>
            </w:r>
          </w:p>
        </w:tc>
        <w:tc>
          <w:tcPr>
            <w:tcW w:w="1728" w:type="dxa"/>
          </w:tcPr>
          <w:p w14:paraId="22D32ED0">
            <w:pPr>
              <w:spacing w:after="0" w:line="240" w:lineRule="auto"/>
            </w:pPr>
            <w:r>
              <w:t>Event creation time at source.</w:t>
            </w:r>
          </w:p>
        </w:tc>
      </w:tr>
      <w:tr w14:paraId="5A41AC1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5CBE0F7">
            <w:pPr>
              <w:spacing w:after="0" w:line="240" w:lineRule="auto"/>
            </w:pPr>
            <w:r>
              <w:t>message</w:t>
            </w:r>
          </w:p>
        </w:tc>
        <w:tc>
          <w:tcPr>
            <w:tcW w:w="1728" w:type="dxa"/>
          </w:tcPr>
          <w:p w14:paraId="79E20371">
            <w:pPr>
              <w:spacing w:after="0" w:line="240" w:lineRule="auto"/>
            </w:pPr>
            <w:r>
              <w:t>string</w:t>
            </w:r>
          </w:p>
        </w:tc>
        <w:tc>
          <w:tcPr>
            <w:tcW w:w="1728" w:type="dxa"/>
          </w:tcPr>
          <w:p w14:paraId="641DDD91">
            <w:pPr>
              <w:spacing w:after="0" w:line="240" w:lineRule="auto"/>
            </w:pPr>
            <w:r>
              <w:t>MUST</w:t>
            </w:r>
          </w:p>
        </w:tc>
        <w:tc>
          <w:tcPr>
            <w:tcW w:w="1728" w:type="dxa"/>
          </w:tcPr>
          <w:p w14:paraId="4A91DA90">
            <w:pPr>
              <w:spacing w:after="0" w:line="240" w:lineRule="auto"/>
            </w:pPr>
            <w:r>
              <w:t>n/a</w:t>
            </w:r>
          </w:p>
        </w:tc>
        <w:tc>
          <w:tcPr>
            <w:tcW w:w="1728" w:type="dxa"/>
          </w:tcPr>
          <w:p w14:paraId="07535E6A">
            <w:pPr>
              <w:spacing w:after="0" w:line="240" w:lineRule="auto"/>
            </w:pPr>
            <w:r>
              <w:t>Human‑readable log message.</w:t>
            </w:r>
          </w:p>
        </w:tc>
      </w:tr>
      <w:tr w14:paraId="3AEB952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080C6D92">
            <w:pPr>
              <w:spacing w:after="0" w:line="240" w:lineRule="auto"/>
            </w:pPr>
            <w:r>
              <w:t>severity_text</w:t>
            </w:r>
          </w:p>
        </w:tc>
        <w:tc>
          <w:tcPr>
            <w:tcW w:w="1728" w:type="dxa"/>
          </w:tcPr>
          <w:p w14:paraId="0F3916F4">
            <w:pPr>
              <w:spacing w:after="0" w:line="240" w:lineRule="auto"/>
            </w:pPr>
            <w:r>
              <w:t>string</w:t>
            </w:r>
          </w:p>
        </w:tc>
        <w:tc>
          <w:tcPr>
            <w:tcW w:w="1728" w:type="dxa"/>
          </w:tcPr>
          <w:p w14:paraId="6F822D7F">
            <w:pPr>
              <w:spacing w:after="0" w:line="240" w:lineRule="auto"/>
            </w:pPr>
            <w:r>
              <w:t>MUST</w:t>
            </w:r>
          </w:p>
        </w:tc>
        <w:tc>
          <w:tcPr>
            <w:tcW w:w="1728" w:type="dxa"/>
          </w:tcPr>
          <w:p w14:paraId="0ACBE56C">
            <w:pPr>
              <w:spacing w:after="0" w:line="240" w:lineRule="auto"/>
            </w:pPr>
            <w:r>
              <w:t>Low</w:t>
            </w:r>
          </w:p>
        </w:tc>
        <w:tc>
          <w:tcPr>
            <w:tcW w:w="1728" w:type="dxa"/>
          </w:tcPr>
          <w:p w14:paraId="3418467A">
            <w:pPr>
              <w:spacing w:after="0" w:line="240" w:lineRule="auto"/>
            </w:pPr>
            <w:r>
              <w:t>TRACE/DEBUG/INFO/WARN/ERROR/FATAL.</w:t>
            </w:r>
          </w:p>
        </w:tc>
      </w:tr>
      <w:tr w14:paraId="04960B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2988B53">
            <w:pPr>
              <w:spacing w:after="0" w:line="240" w:lineRule="auto"/>
            </w:pPr>
            <w:r>
              <w:t>severity_number</w:t>
            </w:r>
          </w:p>
        </w:tc>
        <w:tc>
          <w:tcPr>
            <w:tcW w:w="1728" w:type="dxa"/>
          </w:tcPr>
          <w:p w14:paraId="6E799E49">
            <w:pPr>
              <w:spacing w:after="0" w:line="240" w:lineRule="auto"/>
            </w:pPr>
            <w:r>
              <w:t>number</w:t>
            </w:r>
          </w:p>
        </w:tc>
        <w:tc>
          <w:tcPr>
            <w:tcW w:w="1728" w:type="dxa"/>
          </w:tcPr>
          <w:p w14:paraId="76A3AEA6">
            <w:pPr>
              <w:spacing w:after="0" w:line="240" w:lineRule="auto"/>
            </w:pPr>
            <w:r>
              <w:t>SHOULD</w:t>
            </w:r>
          </w:p>
        </w:tc>
        <w:tc>
          <w:tcPr>
            <w:tcW w:w="1728" w:type="dxa"/>
          </w:tcPr>
          <w:p w14:paraId="72A9AF34">
            <w:pPr>
              <w:spacing w:after="0" w:line="240" w:lineRule="auto"/>
            </w:pPr>
            <w:r>
              <w:t>Low</w:t>
            </w:r>
          </w:p>
        </w:tc>
        <w:tc>
          <w:tcPr>
            <w:tcW w:w="1728" w:type="dxa"/>
          </w:tcPr>
          <w:p w14:paraId="09A95D98">
            <w:pPr>
              <w:spacing w:after="0" w:line="240" w:lineRule="auto"/>
            </w:pPr>
            <w:r>
              <w:t>Numeric level aligned with OTel scale (1–24).</w:t>
            </w:r>
          </w:p>
        </w:tc>
      </w:tr>
      <w:tr w14:paraId="22AAB0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825DEB5">
            <w:pPr>
              <w:spacing w:after="0" w:line="240" w:lineRule="auto"/>
            </w:pPr>
            <w:r>
              <w:t>trace_id</w:t>
            </w:r>
          </w:p>
        </w:tc>
        <w:tc>
          <w:tcPr>
            <w:tcW w:w="1728" w:type="dxa"/>
          </w:tcPr>
          <w:p w14:paraId="6A60E0C2">
            <w:pPr>
              <w:spacing w:after="0" w:line="240" w:lineRule="auto"/>
            </w:pPr>
            <w:r>
              <w:t>string (hex, 16 bytes/32 chars)</w:t>
            </w:r>
          </w:p>
        </w:tc>
        <w:tc>
          <w:tcPr>
            <w:tcW w:w="1728" w:type="dxa"/>
          </w:tcPr>
          <w:p w14:paraId="620CB05D">
            <w:pPr>
              <w:spacing w:after="0" w:line="240" w:lineRule="auto"/>
            </w:pPr>
            <w:r>
              <w:t>MUST</w:t>
            </w:r>
          </w:p>
        </w:tc>
        <w:tc>
          <w:tcPr>
            <w:tcW w:w="1728" w:type="dxa"/>
          </w:tcPr>
          <w:p w14:paraId="02168D21">
            <w:pPr>
              <w:spacing w:after="0" w:line="240" w:lineRule="auto"/>
            </w:pPr>
            <w:r>
              <w:t>Do not label</w:t>
            </w:r>
          </w:p>
        </w:tc>
        <w:tc>
          <w:tcPr>
            <w:tcW w:w="1728" w:type="dxa"/>
          </w:tcPr>
          <w:p w14:paraId="6BFF2F0F">
            <w:pPr>
              <w:spacing w:after="0" w:line="240" w:lineRule="auto"/>
            </w:pPr>
            <w:r>
              <w:t>Correlates to Tempo traces.</w:t>
            </w:r>
          </w:p>
        </w:tc>
      </w:tr>
      <w:tr w14:paraId="03E60F3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036CC181">
            <w:pPr>
              <w:spacing w:after="0" w:line="240" w:lineRule="auto"/>
            </w:pPr>
            <w:r>
              <w:t>span_id</w:t>
            </w:r>
          </w:p>
        </w:tc>
        <w:tc>
          <w:tcPr>
            <w:tcW w:w="1728" w:type="dxa"/>
          </w:tcPr>
          <w:p w14:paraId="792E0569">
            <w:pPr>
              <w:spacing w:after="0" w:line="240" w:lineRule="auto"/>
            </w:pPr>
            <w:r>
              <w:t>string (hex, 8 bytes/16 chars)</w:t>
            </w:r>
          </w:p>
        </w:tc>
        <w:tc>
          <w:tcPr>
            <w:tcW w:w="1728" w:type="dxa"/>
          </w:tcPr>
          <w:p w14:paraId="3FEA3A56">
            <w:pPr>
              <w:spacing w:after="0" w:line="240" w:lineRule="auto"/>
            </w:pPr>
            <w:r>
              <w:t>SHOULD</w:t>
            </w:r>
          </w:p>
        </w:tc>
        <w:tc>
          <w:tcPr>
            <w:tcW w:w="1728" w:type="dxa"/>
          </w:tcPr>
          <w:p w14:paraId="7826A754">
            <w:pPr>
              <w:spacing w:after="0" w:line="240" w:lineRule="auto"/>
            </w:pPr>
            <w:r>
              <w:t>Do not label</w:t>
            </w:r>
          </w:p>
        </w:tc>
        <w:tc>
          <w:tcPr>
            <w:tcW w:w="1728" w:type="dxa"/>
          </w:tcPr>
          <w:p w14:paraId="5314F449">
            <w:pPr>
              <w:spacing w:after="0" w:line="240" w:lineRule="auto"/>
            </w:pPr>
            <w:r>
              <w:t>Correlates to specific span.</w:t>
            </w:r>
          </w:p>
        </w:tc>
      </w:tr>
      <w:tr w14:paraId="5F1DA6B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7C75D71B">
            <w:pPr>
              <w:spacing w:after="0" w:line="240" w:lineRule="auto"/>
            </w:pPr>
            <w:r>
              <w:t>service.name</w:t>
            </w:r>
          </w:p>
        </w:tc>
        <w:tc>
          <w:tcPr>
            <w:tcW w:w="1728" w:type="dxa"/>
          </w:tcPr>
          <w:p w14:paraId="0AAB8940">
            <w:pPr>
              <w:spacing w:after="0" w:line="240" w:lineRule="auto"/>
            </w:pPr>
            <w:r>
              <w:t>string</w:t>
            </w:r>
          </w:p>
        </w:tc>
        <w:tc>
          <w:tcPr>
            <w:tcW w:w="1728" w:type="dxa"/>
          </w:tcPr>
          <w:p w14:paraId="46BA50FA">
            <w:pPr>
              <w:spacing w:after="0" w:line="240" w:lineRule="auto"/>
            </w:pPr>
            <w:r>
              <w:t>MUST</w:t>
            </w:r>
          </w:p>
        </w:tc>
        <w:tc>
          <w:tcPr>
            <w:tcW w:w="1728" w:type="dxa"/>
          </w:tcPr>
          <w:p w14:paraId="3FD97C4E">
            <w:pPr>
              <w:spacing w:after="0" w:line="240" w:lineRule="auto"/>
            </w:pPr>
            <w:r>
              <w:t>Label</w:t>
            </w:r>
          </w:p>
        </w:tc>
        <w:tc>
          <w:tcPr>
            <w:tcW w:w="1728" w:type="dxa"/>
          </w:tcPr>
          <w:p w14:paraId="07315EF4">
            <w:pPr>
              <w:spacing w:after="0" w:line="240" w:lineRule="auto"/>
            </w:pPr>
            <w:r>
              <w:t>Logical service name (OTel resource attr).</w:t>
            </w:r>
          </w:p>
        </w:tc>
      </w:tr>
      <w:tr w14:paraId="11B4D4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3F4CC750">
            <w:pPr>
              <w:spacing w:after="0" w:line="240" w:lineRule="auto"/>
            </w:pPr>
            <w:r>
              <w:t>service.namespace</w:t>
            </w:r>
          </w:p>
        </w:tc>
        <w:tc>
          <w:tcPr>
            <w:tcW w:w="1728" w:type="dxa"/>
          </w:tcPr>
          <w:p w14:paraId="43DDAD95">
            <w:pPr>
              <w:spacing w:after="0" w:line="240" w:lineRule="auto"/>
            </w:pPr>
            <w:r>
              <w:t>string</w:t>
            </w:r>
          </w:p>
        </w:tc>
        <w:tc>
          <w:tcPr>
            <w:tcW w:w="1728" w:type="dxa"/>
          </w:tcPr>
          <w:p w14:paraId="08871CDC">
            <w:pPr>
              <w:spacing w:after="0" w:line="240" w:lineRule="auto"/>
            </w:pPr>
            <w:r>
              <w:t>SHOULD</w:t>
            </w:r>
          </w:p>
        </w:tc>
        <w:tc>
          <w:tcPr>
            <w:tcW w:w="1728" w:type="dxa"/>
          </w:tcPr>
          <w:p w14:paraId="44DC4F1F">
            <w:pPr>
              <w:spacing w:after="0" w:line="240" w:lineRule="auto"/>
            </w:pPr>
            <w:r>
              <w:t>Label</w:t>
            </w:r>
          </w:p>
        </w:tc>
        <w:tc>
          <w:tcPr>
            <w:tcW w:w="1728" w:type="dxa"/>
          </w:tcPr>
          <w:p w14:paraId="44027779">
            <w:pPr>
              <w:spacing w:after="0" w:line="240" w:lineRule="auto"/>
            </w:pPr>
            <w:r>
              <w:t>Optional namespace/domain of service.</w:t>
            </w:r>
          </w:p>
        </w:tc>
      </w:tr>
      <w:tr w14:paraId="76F537B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0EB5829E">
            <w:pPr>
              <w:spacing w:after="0" w:line="240" w:lineRule="auto"/>
            </w:pPr>
            <w:r>
              <w:t>environment</w:t>
            </w:r>
          </w:p>
        </w:tc>
        <w:tc>
          <w:tcPr>
            <w:tcW w:w="1728" w:type="dxa"/>
          </w:tcPr>
          <w:p w14:paraId="60273D52">
            <w:pPr>
              <w:spacing w:after="0" w:line="240" w:lineRule="auto"/>
            </w:pPr>
            <w:r>
              <w:t>string</w:t>
            </w:r>
          </w:p>
        </w:tc>
        <w:tc>
          <w:tcPr>
            <w:tcW w:w="1728" w:type="dxa"/>
          </w:tcPr>
          <w:p w14:paraId="326F95FE">
            <w:pPr>
              <w:spacing w:after="0" w:line="240" w:lineRule="auto"/>
            </w:pPr>
            <w:r>
              <w:t>MUST</w:t>
            </w:r>
          </w:p>
        </w:tc>
        <w:tc>
          <w:tcPr>
            <w:tcW w:w="1728" w:type="dxa"/>
          </w:tcPr>
          <w:p w14:paraId="7D533239">
            <w:pPr>
              <w:spacing w:after="0" w:line="240" w:lineRule="auto"/>
            </w:pPr>
            <w:r>
              <w:t>Label</w:t>
            </w:r>
          </w:p>
        </w:tc>
        <w:tc>
          <w:tcPr>
            <w:tcW w:w="1728" w:type="dxa"/>
          </w:tcPr>
          <w:p w14:paraId="473ED6C3">
            <w:pPr>
              <w:spacing w:after="0" w:line="240" w:lineRule="auto"/>
            </w:pPr>
            <w:r>
              <w:t>Deployment environment (e.g., dev, prod).</w:t>
            </w:r>
          </w:p>
        </w:tc>
      </w:tr>
      <w:tr w14:paraId="737F049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0EA4E57B">
            <w:pPr>
              <w:spacing w:after="0" w:line="240" w:lineRule="auto"/>
            </w:pPr>
            <w:r>
              <w:t>deployment.version</w:t>
            </w:r>
          </w:p>
        </w:tc>
        <w:tc>
          <w:tcPr>
            <w:tcW w:w="1728" w:type="dxa"/>
          </w:tcPr>
          <w:p w14:paraId="64E79302">
            <w:pPr>
              <w:spacing w:after="0" w:line="240" w:lineRule="auto"/>
            </w:pPr>
            <w:r>
              <w:t>string</w:t>
            </w:r>
          </w:p>
        </w:tc>
        <w:tc>
          <w:tcPr>
            <w:tcW w:w="1728" w:type="dxa"/>
          </w:tcPr>
          <w:p w14:paraId="3D9DA8CE">
            <w:pPr>
              <w:spacing w:after="0" w:line="240" w:lineRule="auto"/>
            </w:pPr>
            <w:r>
              <w:t>SHOULD</w:t>
            </w:r>
          </w:p>
        </w:tc>
        <w:tc>
          <w:tcPr>
            <w:tcW w:w="1728" w:type="dxa"/>
          </w:tcPr>
          <w:p w14:paraId="52F44215">
            <w:pPr>
              <w:spacing w:after="0" w:line="240" w:lineRule="auto"/>
            </w:pPr>
            <w:r>
              <w:t>Label</w:t>
            </w:r>
          </w:p>
        </w:tc>
        <w:tc>
          <w:tcPr>
            <w:tcW w:w="1728" w:type="dxa"/>
          </w:tcPr>
          <w:p w14:paraId="5DFCC6CA">
            <w:pPr>
              <w:spacing w:after="0" w:line="240" w:lineRule="auto"/>
            </w:pPr>
            <w:r>
              <w:t>App version/commit/tag for deploy correlation.</w:t>
            </w:r>
          </w:p>
        </w:tc>
      </w:tr>
      <w:tr w14:paraId="18A662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32C07353">
            <w:pPr>
              <w:spacing w:after="0" w:line="240" w:lineRule="auto"/>
            </w:pPr>
            <w:r>
              <w:t>logger.name</w:t>
            </w:r>
          </w:p>
        </w:tc>
        <w:tc>
          <w:tcPr>
            <w:tcW w:w="1728" w:type="dxa"/>
          </w:tcPr>
          <w:p w14:paraId="1944DBD4">
            <w:pPr>
              <w:spacing w:after="0" w:line="240" w:lineRule="auto"/>
            </w:pPr>
            <w:r>
              <w:t>string</w:t>
            </w:r>
          </w:p>
        </w:tc>
        <w:tc>
          <w:tcPr>
            <w:tcW w:w="1728" w:type="dxa"/>
          </w:tcPr>
          <w:p w14:paraId="59351F9A">
            <w:pPr>
              <w:spacing w:after="0" w:line="240" w:lineRule="auto"/>
            </w:pPr>
            <w:r>
              <w:t>MAY</w:t>
            </w:r>
          </w:p>
        </w:tc>
        <w:tc>
          <w:tcPr>
            <w:tcW w:w="1728" w:type="dxa"/>
          </w:tcPr>
          <w:p w14:paraId="0CC8466A">
            <w:pPr>
              <w:spacing w:after="0" w:line="240" w:lineRule="auto"/>
            </w:pPr>
            <w:r>
              <w:t>No</w:t>
            </w:r>
          </w:p>
        </w:tc>
        <w:tc>
          <w:tcPr>
            <w:tcW w:w="1728" w:type="dxa"/>
          </w:tcPr>
          <w:p w14:paraId="080C6BAD">
            <w:pPr>
              <w:spacing w:after="0" w:line="240" w:lineRule="auto"/>
            </w:pPr>
            <w:r>
              <w:t>Logger or component name.</w:t>
            </w:r>
          </w:p>
        </w:tc>
      </w:tr>
      <w:tr w14:paraId="31552C7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ED98F3B">
            <w:pPr>
              <w:spacing w:after="0" w:line="240" w:lineRule="auto"/>
            </w:pPr>
            <w:r>
              <w:t>attributes</w:t>
            </w:r>
          </w:p>
        </w:tc>
        <w:tc>
          <w:tcPr>
            <w:tcW w:w="1728" w:type="dxa"/>
          </w:tcPr>
          <w:p w14:paraId="03B13A87">
            <w:pPr>
              <w:spacing w:after="0" w:line="240" w:lineRule="auto"/>
            </w:pPr>
            <w:r>
              <w:t>object</w:t>
            </w:r>
          </w:p>
        </w:tc>
        <w:tc>
          <w:tcPr>
            <w:tcW w:w="1728" w:type="dxa"/>
          </w:tcPr>
          <w:p w14:paraId="26E585B7">
            <w:pPr>
              <w:spacing w:after="0" w:line="240" w:lineRule="auto"/>
            </w:pPr>
            <w:r>
              <w:t>MAY</w:t>
            </w:r>
          </w:p>
        </w:tc>
        <w:tc>
          <w:tcPr>
            <w:tcW w:w="1728" w:type="dxa"/>
          </w:tcPr>
          <w:p w14:paraId="74AA9FBA">
            <w:pPr>
              <w:spacing w:after="0" w:line="240" w:lineRule="auto"/>
            </w:pPr>
            <w:r>
              <w:t>No</w:t>
            </w:r>
          </w:p>
        </w:tc>
        <w:tc>
          <w:tcPr>
            <w:tcW w:w="1728" w:type="dxa"/>
          </w:tcPr>
          <w:p w14:paraId="040AD35A">
            <w:pPr>
              <w:spacing w:after="0" w:line="240" w:lineRule="auto"/>
            </w:pPr>
            <w:r>
              <w:t>Arbitrary structured key/values (HTTP, DB, cloud…).</w:t>
            </w:r>
          </w:p>
        </w:tc>
      </w:tr>
      <w:tr w14:paraId="1BA4BD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4B2789EB">
            <w:pPr>
              <w:spacing w:after="0" w:line="240" w:lineRule="auto"/>
            </w:pPr>
            <w:r>
              <w:t>error.kind</w:t>
            </w:r>
          </w:p>
        </w:tc>
        <w:tc>
          <w:tcPr>
            <w:tcW w:w="1728" w:type="dxa"/>
          </w:tcPr>
          <w:p w14:paraId="4343E9EA">
            <w:pPr>
              <w:spacing w:after="0" w:line="240" w:lineRule="auto"/>
            </w:pPr>
            <w:r>
              <w:t>string</w:t>
            </w:r>
          </w:p>
        </w:tc>
        <w:tc>
          <w:tcPr>
            <w:tcW w:w="1728" w:type="dxa"/>
          </w:tcPr>
          <w:p w14:paraId="111F0CFA">
            <w:pPr>
              <w:spacing w:after="0" w:line="240" w:lineRule="auto"/>
            </w:pPr>
            <w:r>
              <w:t>MAY</w:t>
            </w:r>
          </w:p>
        </w:tc>
        <w:tc>
          <w:tcPr>
            <w:tcW w:w="1728" w:type="dxa"/>
          </w:tcPr>
          <w:p w14:paraId="7454EA88">
            <w:pPr>
              <w:spacing w:after="0" w:line="240" w:lineRule="auto"/>
            </w:pPr>
            <w:r>
              <w:t>No</w:t>
            </w:r>
          </w:p>
        </w:tc>
        <w:tc>
          <w:tcPr>
            <w:tcW w:w="1728" w:type="dxa"/>
          </w:tcPr>
          <w:p w14:paraId="7C411F0A">
            <w:pPr>
              <w:spacing w:after="0" w:line="240" w:lineRule="auto"/>
            </w:pPr>
            <w:r>
              <w:t>Error category/class.</w:t>
            </w:r>
          </w:p>
        </w:tc>
      </w:tr>
      <w:tr w14:paraId="32BD91A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84A8F88">
            <w:pPr>
              <w:spacing w:after="0" w:line="240" w:lineRule="auto"/>
            </w:pPr>
            <w:r>
              <w:t>error.stack</w:t>
            </w:r>
          </w:p>
        </w:tc>
        <w:tc>
          <w:tcPr>
            <w:tcW w:w="1728" w:type="dxa"/>
          </w:tcPr>
          <w:p w14:paraId="10C6E591">
            <w:pPr>
              <w:spacing w:after="0" w:line="240" w:lineRule="auto"/>
            </w:pPr>
            <w:r>
              <w:t>string</w:t>
            </w:r>
          </w:p>
        </w:tc>
        <w:tc>
          <w:tcPr>
            <w:tcW w:w="1728" w:type="dxa"/>
          </w:tcPr>
          <w:p w14:paraId="44A96682">
            <w:pPr>
              <w:spacing w:after="0" w:line="240" w:lineRule="auto"/>
            </w:pPr>
            <w:r>
              <w:t>MAY</w:t>
            </w:r>
          </w:p>
        </w:tc>
        <w:tc>
          <w:tcPr>
            <w:tcW w:w="1728" w:type="dxa"/>
          </w:tcPr>
          <w:p w14:paraId="2B949906">
            <w:pPr>
              <w:spacing w:after="0" w:line="240" w:lineRule="auto"/>
            </w:pPr>
            <w:r>
              <w:t>No</w:t>
            </w:r>
          </w:p>
        </w:tc>
        <w:tc>
          <w:tcPr>
            <w:tcW w:w="1728" w:type="dxa"/>
          </w:tcPr>
          <w:p w14:paraId="3175BFA9">
            <w:pPr>
              <w:spacing w:after="0" w:line="240" w:lineRule="auto"/>
            </w:pPr>
            <w:r>
              <w:t>Redacted stack trace.</w:t>
            </w:r>
          </w:p>
        </w:tc>
      </w:tr>
      <w:tr w14:paraId="1C5FA4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E8583EA">
            <w:pPr>
              <w:spacing w:after="0" w:line="240" w:lineRule="auto"/>
            </w:pPr>
            <w:r>
              <w:t>http.method</w:t>
            </w:r>
          </w:p>
        </w:tc>
        <w:tc>
          <w:tcPr>
            <w:tcW w:w="1728" w:type="dxa"/>
          </w:tcPr>
          <w:p w14:paraId="5AF26245">
            <w:pPr>
              <w:spacing w:after="0" w:line="240" w:lineRule="auto"/>
            </w:pPr>
            <w:r>
              <w:t>string</w:t>
            </w:r>
          </w:p>
        </w:tc>
        <w:tc>
          <w:tcPr>
            <w:tcW w:w="1728" w:type="dxa"/>
          </w:tcPr>
          <w:p w14:paraId="0809BA12">
            <w:pPr>
              <w:spacing w:after="0" w:line="240" w:lineRule="auto"/>
            </w:pPr>
            <w:r>
              <w:t>MAY</w:t>
            </w:r>
          </w:p>
        </w:tc>
        <w:tc>
          <w:tcPr>
            <w:tcW w:w="1728" w:type="dxa"/>
          </w:tcPr>
          <w:p w14:paraId="44F1E75A">
            <w:pPr>
              <w:spacing w:after="0" w:line="240" w:lineRule="auto"/>
            </w:pPr>
            <w:r>
              <w:t>No</w:t>
            </w:r>
          </w:p>
        </w:tc>
        <w:tc>
          <w:tcPr>
            <w:tcW w:w="1728" w:type="dxa"/>
          </w:tcPr>
          <w:p w14:paraId="4F1BDB30">
            <w:pPr>
              <w:spacing w:after="0" w:line="240" w:lineRule="auto"/>
            </w:pPr>
            <w:r>
              <w:t>Domain attribute example.</w:t>
            </w:r>
          </w:p>
        </w:tc>
      </w:tr>
      <w:tr w14:paraId="0D508C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291F6422">
            <w:pPr>
              <w:spacing w:after="0" w:line="240" w:lineRule="auto"/>
            </w:pPr>
            <w:r>
              <w:t>http.route</w:t>
            </w:r>
          </w:p>
        </w:tc>
        <w:tc>
          <w:tcPr>
            <w:tcW w:w="1728" w:type="dxa"/>
          </w:tcPr>
          <w:p w14:paraId="6EBB81C0">
            <w:pPr>
              <w:spacing w:after="0" w:line="240" w:lineRule="auto"/>
            </w:pPr>
            <w:r>
              <w:t>string</w:t>
            </w:r>
          </w:p>
        </w:tc>
        <w:tc>
          <w:tcPr>
            <w:tcW w:w="1728" w:type="dxa"/>
          </w:tcPr>
          <w:p w14:paraId="753FBE21">
            <w:pPr>
              <w:spacing w:after="0" w:line="240" w:lineRule="auto"/>
            </w:pPr>
            <w:r>
              <w:t>MAY</w:t>
            </w:r>
          </w:p>
        </w:tc>
        <w:tc>
          <w:tcPr>
            <w:tcW w:w="1728" w:type="dxa"/>
          </w:tcPr>
          <w:p w14:paraId="334EACDE">
            <w:pPr>
              <w:spacing w:after="0" w:line="240" w:lineRule="auto"/>
            </w:pPr>
            <w:r>
              <w:t>No</w:t>
            </w:r>
          </w:p>
        </w:tc>
        <w:tc>
          <w:tcPr>
            <w:tcW w:w="1728" w:type="dxa"/>
          </w:tcPr>
          <w:p w14:paraId="1EEB4E39">
            <w:pPr>
              <w:spacing w:after="0" w:line="240" w:lineRule="auto"/>
            </w:pPr>
            <w:r>
              <w:t>Avoid labeling; can be high‑cardinality.</w:t>
            </w:r>
          </w:p>
        </w:tc>
      </w:tr>
    </w:tbl>
    <w:p w14:paraId="4199C60B">
      <w:r>
        <w:t>Labeling recommendation for Loki: service.name, service.namespace, environment, severity_text, and optionally deployment.version. All other fields remain in the JSON body to prevent cardinality blow‑ups.</w:t>
      </w:r>
    </w:p>
    <w:p w14:paraId="3ACE1440">
      <w:pPr>
        <w:pStyle w:val="4"/>
      </w:pPr>
      <w:r>
        <w:t>32.3.3 Example (JSON line)</w:t>
      </w:r>
    </w:p>
    <w:p w14:paraId="59E4C5D3">
      <w:r>
        <w:rPr>
          <w:rFonts w:ascii="Courier New" w:hAnsi="Courier New" w:eastAsia="Courier New"/>
          <w:sz w:val="18"/>
        </w:rPr>
        <w:t>{</w:t>
      </w:r>
      <w:r>
        <w:rPr>
          <w:rFonts w:ascii="Courier New" w:hAnsi="Courier New" w:eastAsia="Courier New"/>
          <w:sz w:val="18"/>
        </w:rPr>
        <w:br w:type="textWrapping"/>
      </w:r>
      <w:r>
        <w:rPr>
          <w:rFonts w:ascii="Courier New" w:hAnsi="Courier New" w:eastAsia="Courier New"/>
          <w:sz w:val="18"/>
        </w:rPr>
        <w:t xml:space="preserve">  "timestamp": "2026-01-22T09:15:37.123Z",</w:t>
      </w:r>
      <w:r>
        <w:rPr>
          <w:rFonts w:ascii="Courier New" w:hAnsi="Courier New" w:eastAsia="Courier New"/>
          <w:sz w:val="18"/>
        </w:rPr>
        <w:br w:type="textWrapping"/>
      </w:r>
      <w:r>
        <w:rPr>
          <w:rFonts w:ascii="Courier New" w:hAnsi="Courier New" w:eastAsia="Courier New"/>
          <w:sz w:val="18"/>
        </w:rPr>
        <w:t xml:space="preserve">  "message": "checkout completed",</w:t>
      </w:r>
      <w:r>
        <w:rPr>
          <w:rFonts w:ascii="Courier New" w:hAnsi="Courier New" w:eastAsia="Courier New"/>
          <w:sz w:val="18"/>
        </w:rPr>
        <w:br w:type="textWrapping"/>
      </w:r>
      <w:r>
        <w:rPr>
          <w:rFonts w:ascii="Courier New" w:hAnsi="Courier New" w:eastAsia="Courier New"/>
          <w:sz w:val="18"/>
        </w:rPr>
        <w:t xml:space="preserve">  "severity_text": "INFO",</w:t>
      </w:r>
      <w:r>
        <w:rPr>
          <w:rFonts w:ascii="Courier New" w:hAnsi="Courier New" w:eastAsia="Courier New"/>
          <w:sz w:val="18"/>
        </w:rPr>
        <w:br w:type="textWrapping"/>
      </w:r>
      <w:r>
        <w:rPr>
          <w:rFonts w:ascii="Courier New" w:hAnsi="Courier New" w:eastAsia="Courier New"/>
          <w:sz w:val="18"/>
        </w:rPr>
        <w:t xml:space="preserve">  "severity_number": 9,</w:t>
      </w:r>
      <w:r>
        <w:rPr>
          <w:rFonts w:ascii="Courier New" w:hAnsi="Courier New" w:eastAsia="Courier New"/>
          <w:sz w:val="18"/>
        </w:rPr>
        <w:br w:type="textWrapping"/>
      </w:r>
      <w:r>
        <w:rPr>
          <w:rFonts w:ascii="Courier New" w:hAnsi="Courier New" w:eastAsia="Courier New"/>
          <w:sz w:val="18"/>
        </w:rPr>
        <w:t xml:space="preserve">  "trace_id": "4fd0c9d0b7a64a5a8b0fa77b9d1c0a12",</w:t>
      </w:r>
      <w:r>
        <w:rPr>
          <w:rFonts w:ascii="Courier New" w:hAnsi="Courier New" w:eastAsia="Courier New"/>
          <w:sz w:val="18"/>
        </w:rPr>
        <w:br w:type="textWrapping"/>
      </w:r>
      <w:r>
        <w:rPr>
          <w:rFonts w:ascii="Courier New" w:hAnsi="Courier New" w:eastAsia="Courier New"/>
          <w:sz w:val="18"/>
        </w:rPr>
        <w:t xml:space="preserve">  "span_id": "a3c1b2d4e5f60789",</w:t>
      </w:r>
      <w:r>
        <w:rPr>
          <w:rFonts w:ascii="Courier New" w:hAnsi="Courier New" w:eastAsia="Courier New"/>
          <w:sz w:val="18"/>
        </w:rPr>
        <w:br w:type="textWrapping"/>
      </w:r>
      <w:r>
        <w:rPr>
          <w:rFonts w:ascii="Courier New" w:hAnsi="Courier New" w:eastAsia="Courier New"/>
          <w:sz w:val="18"/>
        </w:rPr>
        <w:t xml:space="preserve">  "service.name": "checkout-service",</w:t>
      </w:r>
      <w:r>
        <w:rPr>
          <w:rFonts w:ascii="Courier New" w:hAnsi="Courier New" w:eastAsia="Courier New"/>
          <w:sz w:val="18"/>
        </w:rPr>
        <w:br w:type="textWrapping"/>
      </w:r>
      <w:r>
        <w:rPr>
          <w:rFonts w:ascii="Courier New" w:hAnsi="Courier New" w:eastAsia="Courier New"/>
          <w:sz w:val="18"/>
        </w:rPr>
        <w:t xml:space="preserve">  "service.namespace": "shop",</w:t>
      </w:r>
      <w:r>
        <w:rPr>
          <w:rFonts w:ascii="Courier New" w:hAnsi="Courier New" w:eastAsia="Courier New"/>
          <w:sz w:val="18"/>
        </w:rPr>
        <w:br w:type="textWrapping"/>
      </w:r>
      <w:r>
        <w:rPr>
          <w:rFonts w:ascii="Courier New" w:hAnsi="Courier New" w:eastAsia="Courier New"/>
          <w:sz w:val="18"/>
        </w:rPr>
        <w:t xml:space="preserve">  "environment": "prod",</w:t>
      </w:r>
      <w:r>
        <w:rPr>
          <w:rFonts w:ascii="Courier New" w:hAnsi="Courier New" w:eastAsia="Courier New"/>
          <w:sz w:val="18"/>
        </w:rPr>
        <w:br w:type="textWrapping"/>
      </w:r>
      <w:r>
        <w:rPr>
          <w:rFonts w:ascii="Courier New" w:hAnsi="Courier New" w:eastAsia="Courier New"/>
          <w:sz w:val="18"/>
        </w:rPr>
        <w:t xml:space="preserve">  "deployment.version": "v1.12.3+build.457",</w:t>
      </w:r>
      <w:r>
        <w:rPr>
          <w:rFonts w:ascii="Courier New" w:hAnsi="Courier New" w:eastAsia="Courier New"/>
          <w:sz w:val="18"/>
        </w:rPr>
        <w:br w:type="textWrapping"/>
      </w:r>
      <w:r>
        <w:rPr>
          <w:rFonts w:ascii="Courier New" w:hAnsi="Courier New" w:eastAsia="Courier New"/>
          <w:sz w:val="18"/>
        </w:rPr>
        <w:t xml:space="preserve">  "attributes": {</w:t>
      </w:r>
      <w:r>
        <w:rPr>
          <w:rFonts w:ascii="Courier New" w:hAnsi="Courier New" w:eastAsia="Courier New"/>
          <w:sz w:val="18"/>
        </w:rPr>
        <w:br w:type="textWrapping"/>
      </w:r>
      <w:r>
        <w:rPr>
          <w:rFonts w:ascii="Courier New" w:hAnsi="Courier New" w:eastAsia="Courier New"/>
          <w:sz w:val="18"/>
        </w:rPr>
        <w:t xml:space="preserve">    "http.method": "POST",</w:t>
      </w:r>
      <w:r>
        <w:rPr>
          <w:rFonts w:ascii="Courier New" w:hAnsi="Courier New" w:eastAsia="Courier New"/>
          <w:sz w:val="18"/>
        </w:rPr>
        <w:br w:type="textWrapping"/>
      </w:r>
      <w:r>
        <w:rPr>
          <w:rFonts w:ascii="Courier New" w:hAnsi="Courier New" w:eastAsia="Courier New"/>
          <w:sz w:val="18"/>
        </w:rPr>
        <w:t xml:space="preserve">    "http.route": "/api/checkout",</w:t>
      </w:r>
      <w:r>
        <w:rPr>
          <w:rFonts w:ascii="Courier New" w:hAnsi="Courier New" w:eastAsia="Courier New"/>
          <w:sz w:val="18"/>
        </w:rPr>
        <w:br w:type="textWrapping"/>
      </w:r>
      <w:r>
        <w:rPr>
          <w:rFonts w:ascii="Courier New" w:hAnsi="Courier New" w:eastAsia="Courier New"/>
          <w:sz w:val="18"/>
        </w:rPr>
        <w:t xml:space="preserve">    "order.total_usd": 129.99,</w:t>
      </w:r>
      <w:r>
        <w:rPr>
          <w:rFonts w:ascii="Courier New" w:hAnsi="Courier New" w:eastAsia="Courier New"/>
          <w:sz w:val="18"/>
        </w:rPr>
        <w:br w:type="textWrapping"/>
      </w:r>
      <w:r>
        <w:rPr>
          <w:rFonts w:ascii="Courier New" w:hAnsi="Courier New" w:eastAsia="Courier New"/>
          <w:sz w:val="18"/>
        </w:rPr>
        <w:t xml:space="preserve">    "region": "us-east-1"</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w:t>
      </w:r>
    </w:p>
    <w:p w14:paraId="10E4CD37">
      <w:pPr>
        <w:pStyle w:val="4"/>
      </w:pPr>
      <w:r>
        <w:t>32.3.4 Rationale</w:t>
      </w:r>
    </w:p>
    <w:p w14:paraId="16DEE044">
      <w:r>
        <w:t>• Ensures first‑class correlation: trace_id/span_id tie logs to Tempo spans and Grafana trace views.</w:t>
      </w:r>
    </w:p>
    <w:p w14:paraId="777AC1D2">
      <w:r>
        <w:t>• Balanced index vs. cost in Loki: only stable dimensions become labels.</w:t>
      </w:r>
    </w:p>
    <w:p w14:paraId="05642EB8">
      <w:r>
        <w:t>• Aligns with OTel resource/attribute conventions without redefining OTLP.</w:t>
      </w:r>
    </w:p>
    <w:p w14:paraId="20819DEE">
      <w:pPr>
        <w:pStyle w:val="3"/>
      </w:pPr>
      <w:r>
        <w:t>32.4 Operational Event Payload (JSON)</w:t>
      </w:r>
    </w:p>
    <w:p w14:paraId="0F0C95A7">
      <w:r>
        <w:t>Purpose: Provide a minimal yet expressive contract for non‑telemetry operational events (deployments, incidents, config changes). Events are emitted explicitly by CI/CD, runbooks, or automation and used for Grafana annotations, audit, and deployment↔incident correlation.</w:t>
      </w:r>
    </w:p>
    <w:p w14:paraId="02A99A11">
      <w:pPr>
        <w:pStyle w:val="4"/>
      </w:pPr>
      <w:r>
        <w:t>32.4.1 Contract Requirements</w:t>
      </w:r>
    </w:p>
    <w:p w14:paraId="71E20CB3">
      <w:r>
        <w:t>• E1 (Submission): Events are sent via CI/CD hooks or API calls to Deep‑Observer Deep‑Observer platform.</w:t>
      </w:r>
    </w:p>
    <w:p w14:paraId="6E0E56F1">
      <w:r>
        <w:t>• E2 (Storage): Events are persisted as metadata (relational DB) and may be mirrored/queried for Grafana annotations.</w:t>
      </w:r>
    </w:p>
    <w:p w14:paraId="51186257">
      <w:r>
        <w:t>• E3 (Time bounds): Events MUST include timestamp and MAY include end_time for duration bars (e.g., incident windows, rollout periods).</w:t>
      </w:r>
    </w:p>
    <w:p w14:paraId="51906F85">
      <w:r>
        <w:t>• E4 (Identity &amp; scope): Events MUST include event_type, environment, and at least one of service.name or system.</w:t>
      </w:r>
    </w:p>
    <w:p w14:paraId="1BC2B093">
      <w:r>
        <w:t>• E5 (Correlation): Events MAY reference trace_id, deployment.version, run_id, or external URLs (issue, PR, run logs).</w:t>
      </w:r>
    </w:p>
    <w:p w14:paraId="0EF01C77">
      <w:pPr>
        <w:pStyle w:val="4"/>
      </w:pPr>
      <w:r>
        <w:t>32.4.2 Canonical Fields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88"/>
      </w:tblGrid>
      <w:tr w14:paraId="59083B5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0200055">
            <w:pPr>
              <w:spacing w:after="0" w:line="240" w:lineRule="auto"/>
            </w:pPr>
            <w:r>
              <w:t>Field</w:t>
            </w:r>
          </w:p>
        </w:tc>
        <w:tc>
          <w:tcPr>
            <w:tcW w:w="2160" w:type="dxa"/>
          </w:tcPr>
          <w:p w14:paraId="2D3D6CC0">
            <w:pPr>
              <w:spacing w:after="0" w:line="240" w:lineRule="auto"/>
            </w:pPr>
            <w:r>
              <w:t>Type</w:t>
            </w:r>
          </w:p>
        </w:tc>
        <w:tc>
          <w:tcPr>
            <w:tcW w:w="2160" w:type="dxa"/>
          </w:tcPr>
          <w:p w14:paraId="4663623D">
            <w:pPr>
              <w:spacing w:after="0" w:line="240" w:lineRule="auto"/>
            </w:pPr>
            <w:r>
              <w:t>Req.</w:t>
            </w:r>
          </w:p>
        </w:tc>
        <w:tc>
          <w:tcPr>
            <w:tcW w:w="2160" w:type="dxa"/>
          </w:tcPr>
          <w:p w14:paraId="007A8E0E">
            <w:pPr>
              <w:spacing w:after="0" w:line="240" w:lineRule="auto"/>
            </w:pPr>
            <w:r>
              <w:t>Description</w:t>
            </w:r>
          </w:p>
        </w:tc>
      </w:tr>
      <w:tr w14:paraId="1B3ACEE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51A3FC7">
            <w:pPr>
              <w:spacing w:after="0" w:line="240" w:lineRule="auto"/>
            </w:pPr>
            <w:r>
              <w:t>id</w:t>
            </w:r>
          </w:p>
        </w:tc>
        <w:tc>
          <w:tcPr>
            <w:tcW w:w="2160" w:type="dxa"/>
          </w:tcPr>
          <w:p w14:paraId="71D388A9">
            <w:pPr>
              <w:spacing w:after="0" w:line="240" w:lineRule="auto"/>
            </w:pPr>
            <w:r>
              <w:t>string (UUID)</w:t>
            </w:r>
          </w:p>
        </w:tc>
        <w:tc>
          <w:tcPr>
            <w:tcW w:w="2160" w:type="dxa"/>
          </w:tcPr>
          <w:p w14:paraId="1BA9C2E8">
            <w:pPr>
              <w:spacing w:after="0" w:line="240" w:lineRule="auto"/>
            </w:pPr>
            <w:r>
              <w:t>SHOULD</w:t>
            </w:r>
          </w:p>
        </w:tc>
        <w:tc>
          <w:tcPr>
            <w:tcW w:w="2160" w:type="dxa"/>
          </w:tcPr>
          <w:p w14:paraId="5B00A4AB">
            <w:pPr>
              <w:spacing w:after="0" w:line="240" w:lineRule="auto"/>
            </w:pPr>
            <w:r>
              <w:t>Producer‑assigned idempotency key.</w:t>
            </w:r>
          </w:p>
        </w:tc>
      </w:tr>
      <w:tr w14:paraId="6BEEE9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E0B1813">
            <w:pPr>
              <w:spacing w:after="0" w:line="240" w:lineRule="auto"/>
            </w:pPr>
            <w:r>
              <w:t>event_type</w:t>
            </w:r>
          </w:p>
        </w:tc>
        <w:tc>
          <w:tcPr>
            <w:tcW w:w="2160" w:type="dxa"/>
          </w:tcPr>
          <w:p w14:paraId="721ACEB5">
            <w:pPr>
              <w:spacing w:after="0" w:line="240" w:lineRule="auto"/>
            </w:pPr>
            <w:r>
              <w:t>string (enum)</w:t>
            </w:r>
          </w:p>
        </w:tc>
        <w:tc>
          <w:tcPr>
            <w:tcW w:w="2160" w:type="dxa"/>
          </w:tcPr>
          <w:p w14:paraId="76FEBF7D">
            <w:pPr>
              <w:spacing w:after="0" w:line="240" w:lineRule="auto"/>
            </w:pPr>
            <w:r>
              <w:t>MUST</w:t>
            </w:r>
          </w:p>
        </w:tc>
        <w:tc>
          <w:tcPr>
            <w:tcW w:w="2160" w:type="dxa"/>
          </w:tcPr>
          <w:p w14:paraId="36A6382B">
            <w:pPr>
              <w:spacing w:after="0" w:line="240" w:lineRule="auto"/>
            </w:pPr>
            <w:r>
              <w:t>deployment, incident, config_change, maintenance, other.</w:t>
            </w:r>
          </w:p>
        </w:tc>
      </w:tr>
      <w:tr w14:paraId="265281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5CBD297">
            <w:pPr>
              <w:spacing w:after="0" w:line="240" w:lineRule="auto"/>
            </w:pPr>
            <w:r>
              <w:t>title</w:t>
            </w:r>
          </w:p>
        </w:tc>
        <w:tc>
          <w:tcPr>
            <w:tcW w:w="2160" w:type="dxa"/>
          </w:tcPr>
          <w:p w14:paraId="7F2312DA">
            <w:pPr>
              <w:spacing w:after="0" w:line="240" w:lineRule="auto"/>
            </w:pPr>
            <w:r>
              <w:t>string</w:t>
            </w:r>
          </w:p>
        </w:tc>
        <w:tc>
          <w:tcPr>
            <w:tcW w:w="2160" w:type="dxa"/>
          </w:tcPr>
          <w:p w14:paraId="4E470766">
            <w:pPr>
              <w:spacing w:after="0" w:line="240" w:lineRule="auto"/>
            </w:pPr>
            <w:r>
              <w:t>MUST</w:t>
            </w:r>
          </w:p>
        </w:tc>
        <w:tc>
          <w:tcPr>
            <w:tcW w:w="2160" w:type="dxa"/>
          </w:tcPr>
          <w:p w14:paraId="08017A24">
            <w:pPr>
              <w:spacing w:after="0" w:line="240" w:lineRule="auto"/>
            </w:pPr>
            <w:r>
              <w:t>Short human title (annotation text).</w:t>
            </w:r>
          </w:p>
        </w:tc>
      </w:tr>
      <w:tr w14:paraId="0B1382A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7095996">
            <w:pPr>
              <w:spacing w:after="0" w:line="240" w:lineRule="auto"/>
            </w:pPr>
            <w:r>
              <w:t>description</w:t>
            </w:r>
          </w:p>
        </w:tc>
        <w:tc>
          <w:tcPr>
            <w:tcW w:w="2160" w:type="dxa"/>
          </w:tcPr>
          <w:p w14:paraId="6DA7CC00">
            <w:pPr>
              <w:spacing w:after="0" w:line="240" w:lineRule="auto"/>
            </w:pPr>
            <w:r>
              <w:t>string</w:t>
            </w:r>
          </w:p>
        </w:tc>
        <w:tc>
          <w:tcPr>
            <w:tcW w:w="2160" w:type="dxa"/>
          </w:tcPr>
          <w:p w14:paraId="6BB12F3A">
            <w:pPr>
              <w:spacing w:after="0" w:line="240" w:lineRule="auto"/>
            </w:pPr>
            <w:r>
              <w:t>SHOULD</w:t>
            </w:r>
          </w:p>
        </w:tc>
        <w:tc>
          <w:tcPr>
            <w:tcW w:w="2160" w:type="dxa"/>
          </w:tcPr>
          <w:p w14:paraId="5F33E5FF">
            <w:pPr>
              <w:spacing w:after="0" w:line="240" w:lineRule="auto"/>
            </w:pPr>
            <w:r>
              <w:t>Markdown‑safe details.</w:t>
            </w:r>
          </w:p>
        </w:tc>
      </w:tr>
      <w:tr w14:paraId="66C790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B49599D">
            <w:pPr>
              <w:spacing w:after="0" w:line="240" w:lineRule="auto"/>
            </w:pPr>
            <w:r>
              <w:t>timestamp</w:t>
            </w:r>
          </w:p>
        </w:tc>
        <w:tc>
          <w:tcPr>
            <w:tcW w:w="2160" w:type="dxa"/>
          </w:tcPr>
          <w:p w14:paraId="7BCE53E3">
            <w:pPr>
              <w:spacing w:after="0" w:line="240" w:lineRule="auto"/>
            </w:pPr>
            <w:r>
              <w:t>string (ISO‑8601)</w:t>
            </w:r>
          </w:p>
        </w:tc>
        <w:tc>
          <w:tcPr>
            <w:tcW w:w="2160" w:type="dxa"/>
          </w:tcPr>
          <w:p w14:paraId="429B315B">
            <w:pPr>
              <w:spacing w:after="0" w:line="240" w:lineRule="auto"/>
            </w:pPr>
            <w:r>
              <w:t>MUST</w:t>
            </w:r>
          </w:p>
        </w:tc>
        <w:tc>
          <w:tcPr>
            <w:tcW w:w="2160" w:type="dxa"/>
          </w:tcPr>
          <w:p w14:paraId="31F075DF">
            <w:pPr>
              <w:spacing w:after="0" w:line="240" w:lineRule="auto"/>
            </w:pPr>
            <w:r>
              <w:t>Event start time.</w:t>
            </w:r>
          </w:p>
        </w:tc>
      </w:tr>
      <w:tr w14:paraId="7C74F0A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A83CCF1">
            <w:pPr>
              <w:spacing w:after="0" w:line="240" w:lineRule="auto"/>
            </w:pPr>
            <w:r>
              <w:t>end_time</w:t>
            </w:r>
          </w:p>
        </w:tc>
        <w:tc>
          <w:tcPr>
            <w:tcW w:w="2160" w:type="dxa"/>
          </w:tcPr>
          <w:p w14:paraId="0C3B7138">
            <w:pPr>
              <w:spacing w:after="0" w:line="240" w:lineRule="auto"/>
            </w:pPr>
            <w:r>
              <w:t>string (ISO‑8601)</w:t>
            </w:r>
          </w:p>
        </w:tc>
        <w:tc>
          <w:tcPr>
            <w:tcW w:w="2160" w:type="dxa"/>
          </w:tcPr>
          <w:p w14:paraId="03DE9EF5">
            <w:pPr>
              <w:spacing w:after="0" w:line="240" w:lineRule="auto"/>
            </w:pPr>
            <w:r>
              <w:t>MAY</w:t>
            </w:r>
          </w:p>
        </w:tc>
        <w:tc>
          <w:tcPr>
            <w:tcW w:w="2160" w:type="dxa"/>
          </w:tcPr>
          <w:p w14:paraId="7A49D787">
            <w:pPr>
              <w:spacing w:after="0" w:line="240" w:lineRule="auto"/>
            </w:pPr>
            <w:r>
              <w:t>Event end time (renders as range).</w:t>
            </w:r>
          </w:p>
        </w:tc>
      </w:tr>
      <w:tr w14:paraId="6A258B9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5EA002F">
            <w:pPr>
              <w:spacing w:after="0" w:line="240" w:lineRule="auto"/>
            </w:pPr>
            <w:r>
              <w:t>environment</w:t>
            </w:r>
          </w:p>
        </w:tc>
        <w:tc>
          <w:tcPr>
            <w:tcW w:w="2160" w:type="dxa"/>
          </w:tcPr>
          <w:p w14:paraId="186B38A6">
            <w:pPr>
              <w:spacing w:after="0" w:line="240" w:lineRule="auto"/>
            </w:pPr>
            <w:r>
              <w:t>string</w:t>
            </w:r>
          </w:p>
        </w:tc>
        <w:tc>
          <w:tcPr>
            <w:tcW w:w="2160" w:type="dxa"/>
          </w:tcPr>
          <w:p w14:paraId="35460CBF">
            <w:pPr>
              <w:spacing w:after="0" w:line="240" w:lineRule="auto"/>
            </w:pPr>
            <w:r>
              <w:t>MUST</w:t>
            </w:r>
          </w:p>
        </w:tc>
        <w:tc>
          <w:tcPr>
            <w:tcW w:w="2160" w:type="dxa"/>
          </w:tcPr>
          <w:p w14:paraId="3F875831">
            <w:pPr>
              <w:spacing w:after="0" w:line="240" w:lineRule="auto"/>
            </w:pPr>
            <w:r>
              <w:t>dev, staging, prod, etc.</w:t>
            </w:r>
          </w:p>
        </w:tc>
      </w:tr>
      <w:tr w14:paraId="62C77CD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254F8BF">
            <w:pPr>
              <w:spacing w:after="0" w:line="240" w:lineRule="auto"/>
            </w:pPr>
            <w:r>
              <w:t>service.name</w:t>
            </w:r>
          </w:p>
        </w:tc>
        <w:tc>
          <w:tcPr>
            <w:tcW w:w="2160" w:type="dxa"/>
          </w:tcPr>
          <w:p w14:paraId="48E19611">
            <w:pPr>
              <w:spacing w:after="0" w:line="240" w:lineRule="auto"/>
            </w:pPr>
            <w:r>
              <w:t>string</w:t>
            </w:r>
          </w:p>
        </w:tc>
        <w:tc>
          <w:tcPr>
            <w:tcW w:w="2160" w:type="dxa"/>
          </w:tcPr>
          <w:p w14:paraId="14898B96">
            <w:pPr>
              <w:spacing w:after="0" w:line="240" w:lineRule="auto"/>
            </w:pPr>
            <w:r>
              <w:t>SHOULD</w:t>
            </w:r>
          </w:p>
        </w:tc>
        <w:tc>
          <w:tcPr>
            <w:tcW w:w="2160" w:type="dxa"/>
          </w:tcPr>
          <w:p w14:paraId="48489836">
            <w:pPr>
              <w:spacing w:after="0" w:line="240" w:lineRule="auto"/>
            </w:pPr>
            <w:r>
              <w:t>Target service (OTel resource attr).</w:t>
            </w:r>
          </w:p>
        </w:tc>
      </w:tr>
      <w:tr w14:paraId="75A5AA4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7D5403D">
            <w:pPr>
              <w:spacing w:after="0" w:line="240" w:lineRule="auto"/>
            </w:pPr>
            <w:r>
              <w:t>system</w:t>
            </w:r>
          </w:p>
        </w:tc>
        <w:tc>
          <w:tcPr>
            <w:tcW w:w="2160" w:type="dxa"/>
          </w:tcPr>
          <w:p w14:paraId="58442EAE">
            <w:pPr>
              <w:spacing w:after="0" w:line="240" w:lineRule="auto"/>
            </w:pPr>
            <w:r>
              <w:t>string</w:t>
            </w:r>
          </w:p>
        </w:tc>
        <w:tc>
          <w:tcPr>
            <w:tcW w:w="2160" w:type="dxa"/>
          </w:tcPr>
          <w:p w14:paraId="1FFBEA51">
            <w:pPr>
              <w:spacing w:after="0" w:line="240" w:lineRule="auto"/>
            </w:pPr>
            <w:r>
              <w:t>MAY</w:t>
            </w:r>
          </w:p>
        </w:tc>
        <w:tc>
          <w:tcPr>
            <w:tcW w:w="2160" w:type="dxa"/>
          </w:tcPr>
          <w:p w14:paraId="641E9BB9">
            <w:pPr>
              <w:spacing w:after="0" w:line="240" w:lineRule="auto"/>
            </w:pPr>
            <w:r>
              <w:t>Broader system/domain if not service‑scoped.</w:t>
            </w:r>
          </w:p>
        </w:tc>
      </w:tr>
      <w:tr w14:paraId="44D1892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F2BB29C">
            <w:pPr>
              <w:spacing w:after="0" w:line="240" w:lineRule="auto"/>
            </w:pPr>
            <w:r>
              <w:t>deployment.version</w:t>
            </w:r>
          </w:p>
        </w:tc>
        <w:tc>
          <w:tcPr>
            <w:tcW w:w="2160" w:type="dxa"/>
          </w:tcPr>
          <w:p w14:paraId="35EA106B">
            <w:pPr>
              <w:spacing w:after="0" w:line="240" w:lineRule="auto"/>
            </w:pPr>
            <w:r>
              <w:t>string</w:t>
            </w:r>
          </w:p>
        </w:tc>
        <w:tc>
          <w:tcPr>
            <w:tcW w:w="2160" w:type="dxa"/>
          </w:tcPr>
          <w:p w14:paraId="70F47033">
            <w:pPr>
              <w:spacing w:after="0" w:line="240" w:lineRule="auto"/>
            </w:pPr>
            <w:r>
              <w:t>MAY</w:t>
            </w:r>
          </w:p>
        </w:tc>
        <w:tc>
          <w:tcPr>
            <w:tcW w:w="2160" w:type="dxa"/>
          </w:tcPr>
          <w:p w14:paraId="0F29A10A">
            <w:pPr>
              <w:spacing w:after="0" w:line="240" w:lineRule="auto"/>
            </w:pPr>
            <w:r>
              <w:t>App version/commit/tag.</w:t>
            </w:r>
          </w:p>
        </w:tc>
      </w:tr>
      <w:tr w14:paraId="1882570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963919A">
            <w:pPr>
              <w:spacing w:after="0" w:line="240" w:lineRule="auto"/>
            </w:pPr>
            <w:r>
              <w:t>severity</w:t>
            </w:r>
          </w:p>
        </w:tc>
        <w:tc>
          <w:tcPr>
            <w:tcW w:w="2160" w:type="dxa"/>
          </w:tcPr>
          <w:p w14:paraId="365F6BEF">
            <w:pPr>
              <w:spacing w:after="0" w:line="240" w:lineRule="auto"/>
            </w:pPr>
            <w:r>
              <w:t>string (enum)</w:t>
            </w:r>
          </w:p>
        </w:tc>
        <w:tc>
          <w:tcPr>
            <w:tcW w:w="2160" w:type="dxa"/>
          </w:tcPr>
          <w:p w14:paraId="7EC54F80">
            <w:pPr>
              <w:spacing w:after="0" w:line="240" w:lineRule="auto"/>
            </w:pPr>
            <w:r>
              <w:t>MAY</w:t>
            </w:r>
          </w:p>
        </w:tc>
        <w:tc>
          <w:tcPr>
            <w:tcW w:w="2160" w:type="dxa"/>
          </w:tcPr>
          <w:p w14:paraId="570638FB">
            <w:pPr>
              <w:spacing w:after="0" w:line="240" w:lineRule="auto"/>
            </w:pPr>
            <w:r>
              <w:t>For incidents: info, warning, critical.</w:t>
            </w:r>
          </w:p>
        </w:tc>
      </w:tr>
      <w:tr w14:paraId="1F2D42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1B28FB7">
            <w:pPr>
              <w:spacing w:after="0" w:line="240" w:lineRule="auto"/>
            </w:pPr>
            <w:r>
              <w:t>status</w:t>
            </w:r>
          </w:p>
        </w:tc>
        <w:tc>
          <w:tcPr>
            <w:tcW w:w="2160" w:type="dxa"/>
          </w:tcPr>
          <w:p w14:paraId="321D1783">
            <w:pPr>
              <w:spacing w:after="0" w:line="240" w:lineRule="auto"/>
            </w:pPr>
            <w:r>
              <w:t>string (enum)</w:t>
            </w:r>
          </w:p>
        </w:tc>
        <w:tc>
          <w:tcPr>
            <w:tcW w:w="2160" w:type="dxa"/>
          </w:tcPr>
          <w:p w14:paraId="16EB9034">
            <w:pPr>
              <w:spacing w:after="0" w:line="240" w:lineRule="auto"/>
            </w:pPr>
            <w:r>
              <w:t>MAY</w:t>
            </w:r>
          </w:p>
        </w:tc>
        <w:tc>
          <w:tcPr>
            <w:tcW w:w="2160" w:type="dxa"/>
          </w:tcPr>
          <w:p w14:paraId="44692E43">
            <w:pPr>
              <w:spacing w:after="0" w:line="240" w:lineRule="auto"/>
            </w:pPr>
            <w:r>
              <w:t>started, completed, rolled_back, mitigated, resolved.</w:t>
            </w:r>
          </w:p>
        </w:tc>
      </w:tr>
      <w:tr w14:paraId="18E2898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3B2D615">
            <w:pPr>
              <w:spacing w:after="0" w:line="240" w:lineRule="auto"/>
            </w:pPr>
            <w:r>
              <w:t>actor</w:t>
            </w:r>
          </w:p>
        </w:tc>
        <w:tc>
          <w:tcPr>
            <w:tcW w:w="2160" w:type="dxa"/>
          </w:tcPr>
          <w:p w14:paraId="3C1E460F">
            <w:pPr>
              <w:spacing w:after="0" w:line="240" w:lineRule="auto"/>
            </w:pPr>
            <w:r>
              <w:t>object</w:t>
            </w:r>
          </w:p>
        </w:tc>
        <w:tc>
          <w:tcPr>
            <w:tcW w:w="2160" w:type="dxa"/>
          </w:tcPr>
          <w:p w14:paraId="68A5C36B">
            <w:pPr>
              <w:spacing w:after="0" w:line="240" w:lineRule="auto"/>
            </w:pPr>
            <w:r>
              <w:t>MAY</w:t>
            </w:r>
          </w:p>
        </w:tc>
        <w:tc>
          <w:tcPr>
            <w:tcW w:w="2160" w:type="dxa"/>
          </w:tcPr>
          <w:p w14:paraId="2C2B4A4B">
            <w:pPr>
              <w:spacing w:after="0" w:line="240" w:lineRule="auto"/>
            </w:pPr>
            <w:r>
              <w:t>{ "type": "user|system", "id": "...", "name": "..." }.</w:t>
            </w:r>
          </w:p>
        </w:tc>
      </w:tr>
      <w:tr w14:paraId="3BAE894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803F259">
            <w:pPr>
              <w:spacing w:after="0" w:line="240" w:lineRule="auto"/>
            </w:pPr>
            <w:r>
              <w:t>links</w:t>
            </w:r>
          </w:p>
        </w:tc>
        <w:tc>
          <w:tcPr>
            <w:tcW w:w="2160" w:type="dxa"/>
          </w:tcPr>
          <w:p w14:paraId="478C6218">
            <w:pPr>
              <w:spacing w:after="0" w:line="240" w:lineRule="auto"/>
            </w:pPr>
            <w:r>
              <w:t>array&lt;object&gt;</w:t>
            </w:r>
          </w:p>
        </w:tc>
        <w:tc>
          <w:tcPr>
            <w:tcW w:w="2160" w:type="dxa"/>
          </w:tcPr>
          <w:p w14:paraId="0CB99898">
            <w:pPr>
              <w:spacing w:after="0" w:line="240" w:lineRule="auto"/>
            </w:pPr>
            <w:r>
              <w:t>MAY</w:t>
            </w:r>
          </w:p>
        </w:tc>
        <w:tc>
          <w:tcPr>
            <w:tcW w:w="2160" w:type="dxa"/>
          </w:tcPr>
          <w:p w14:paraId="7C3FB398">
            <w:pPr>
              <w:spacing w:after="0" w:line="240" w:lineRule="auto"/>
            </w:pPr>
            <w:r>
              <w:t>Related URLs: PRs, issues, run logs.</w:t>
            </w:r>
          </w:p>
        </w:tc>
      </w:tr>
      <w:tr w14:paraId="0F3A4D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030206B">
            <w:pPr>
              <w:spacing w:after="0" w:line="240" w:lineRule="auto"/>
            </w:pPr>
            <w:r>
              <w:t>trace_id</w:t>
            </w:r>
          </w:p>
        </w:tc>
        <w:tc>
          <w:tcPr>
            <w:tcW w:w="2160" w:type="dxa"/>
          </w:tcPr>
          <w:p w14:paraId="51C40E42">
            <w:pPr>
              <w:spacing w:after="0" w:line="240" w:lineRule="auto"/>
            </w:pPr>
            <w:r>
              <w:t>string</w:t>
            </w:r>
          </w:p>
        </w:tc>
        <w:tc>
          <w:tcPr>
            <w:tcW w:w="2160" w:type="dxa"/>
          </w:tcPr>
          <w:p w14:paraId="0F4A8578">
            <w:pPr>
              <w:spacing w:after="0" w:line="240" w:lineRule="auto"/>
            </w:pPr>
            <w:r>
              <w:t>MAY</w:t>
            </w:r>
          </w:p>
        </w:tc>
        <w:tc>
          <w:tcPr>
            <w:tcW w:w="2160" w:type="dxa"/>
          </w:tcPr>
          <w:p w14:paraId="0CFE42D7">
            <w:pPr>
              <w:spacing w:after="0" w:line="240" w:lineRule="auto"/>
            </w:pPr>
            <w:r>
              <w:t>Tie to a representative trace (if applicable).</w:t>
            </w:r>
          </w:p>
        </w:tc>
      </w:tr>
      <w:tr w14:paraId="1A62A83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FE19C80">
            <w:pPr>
              <w:spacing w:after="0" w:line="240" w:lineRule="auto"/>
            </w:pPr>
            <w:r>
              <w:t>labels</w:t>
            </w:r>
          </w:p>
        </w:tc>
        <w:tc>
          <w:tcPr>
            <w:tcW w:w="2160" w:type="dxa"/>
          </w:tcPr>
          <w:p w14:paraId="0745358A">
            <w:pPr>
              <w:spacing w:after="0" w:line="240" w:lineRule="auto"/>
            </w:pPr>
            <w:r>
              <w:t>object</w:t>
            </w:r>
          </w:p>
        </w:tc>
        <w:tc>
          <w:tcPr>
            <w:tcW w:w="2160" w:type="dxa"/>
          </w:tcPr>
          <w:p w14:paraId="219AAF60">
            <w:pPr>
              <w:spacing w:after="0" w:line="240" w:lineRule="auto"/>
            </w:pPr>
            <w:r>
              <w:t>MAY</w:t>
            </w:r>
          </w:p>
        </w:tc>
        <w:tc>
          <w:tcPr>
            <w:tcW w:w="2160" w:type="dxa"/>
          </w:tcPr>
          <w:p w14:paraId="19F0E93A">
            <w:pPr>
              <w:spacing w:after="0" w:line="240" w:lineRule="auto"/>
            </w:pPr>
            <w:r>
              <w:t>Low‑cardinality tags for filtering (e.g., region, team).</w:t>
            </w:r>
          </w:p>
        </w:tc>
      </w:tr>
    </w:tbl>
    <w:p w14:paraId="503665E9">
      <w:pPr>
        <w:pStyle w:val="4"/>
      </w:pPr>
      <w:r>
        <w:t>32.4.3 Example (Deployment)</w:t>
      </w:r>
    </w:p>
    <w:p w14:paraId="6628162F">
      <w:r>
        <w:rPr>
          <w:rFonts w:ascii="Courier New" w:hAnsi="Courier New" w:eastAsia="Courier New"/>
          <w:sz w:val="18"/>
        </w:rPr>
        <w:t>{</w:t>
      </w:r>
      <w:r>
        <w:rPr>
          <w:rFonts w:ascii="Courier New" w:hAnsi="Courier New" w:eastAsia="Courier New"/>
          <w:sz w:val="18"/>
        </w:rPr>
        <w:br w:type="textWrapping"/>
      </w:r>
      <w:r>
        <w:rPr>
          <w:rFonts w:ascii="Courier New" w:hAnsi="Courier New" w:eastAsia="Courier New"/>
          <w:sz w:val="18"/>
        </w:rPr>
        <w:t xml:space="preserve">  "id": "1d3b3a41-5f2c-4d2b-9b3b-9f0b6d2ab8c7",</w:t>
      </w:r>
      <w:r>
        <w:rPr>
          <w:rFonts w:ascii="Courier New" w:hAnsi="Courier New" w:eastAsia="Courier New"/>
          <w:sz w:val="18"/>
        </w:rPr>
        <w:br w:type="textWrapping"/>
      </w:r>
      <w:r>
        <w:rPr>
          <w:rFonts w:ascii="Courier New" w:hAnsi="Courier New" w:eastAsia="Courier New"/>
          <w:sz w:val="18"/>
        </w:rPr>
        <w:t xml:space="preserve">  "event_type": "deployment",</w:t>
      </w:r>
      <w:r>
        <w:rPr>
          <w:rFonts w:ascii="Courier New" w:hAnsi="Courier New" w:eastAsia="Courier New"/>
          <w:sz w:val="18"/>
        </w:rPr>
        <w:br w:type="textWrapping"/>
      </w:r>
      <w:r>
        <w:rPr>
          <w:rFonts w:ascii="Courier New" w:hAnsi="Courier New" w:eastAsia="Courier New"/>
          <w:sz w:val="18"/>
        </w:rPr>
        <w:t xml:space="preserve">  "title": "checkout-service v1.12.3 deployed",</w:t>
      </w:r>
      <w:r>
        <w:rPr>
          <w:rFonts w:ascii="Courier New" w:hAnsi="Courier New" w:eastAsia="Courier New"/>
          <w:sz w:val="18"/>
        </w:rPr>
        <w:br w:type="textWrapping"/>
      </w:r>
      <w:r>
        <w:rPr>
          <w:rFonts w:ascii="Courier New" w:hAnsi="Courier New" w:eastAsia="Courier New"/>
          <w:sz w:val="18"/>
        </w:rPr>
        <w:t xml:space="preserve">  "description": "Blue→green rollout to 100%",</w:t>
      </w:r>
      <w:r>
        <w:rPr>
          <w:rFonts w:ascii="Courier New" w:hAnsi="Courier New" w:eastAsia="Courier New"/>
          <w:sz w:val="18"/>
        </w:rPr>
        <w:br w:type="textWrapping"/>
      </w:r>
      <w:r>
        <w:rPr>
          <w:rFonts w:ascii="Courier New" w:hAnsi="Courier New" w:eastAsia="Courier New"/>
          <w:sz w:val="18"/>
        </w:rPr>
        <w:t xml:space="preserve">  "timestamp": "2026-01-22T08:45:00Z",</w:t>
      </w:r>
      <w:r>
        <w:rPr>
          <w:rFonts w:ascii="Courier New" w:hAnsi="Courier New" w:eastAsia="Courier New"/>
          <w:sz w:val="18"/>
        </w:rPr>
        <w:br w:type="textWrapping"/>
      </w:r>
      <w:r>
        <w:rPr>
          <w:rFonts w:ascii="Courier New" w:hAnsi="Courier New" w:eastAsia="Courier New"/>
          <w:sz w:val="18"/>
        </w:rPr>
        <w:t xml:space="preserve">  "end_time": "2026-01-22T08:52:00Z",</w:t>
      </w:r>
      <w:r>
        <w:rPr>
          <w:rFonts w:ascii="Courier New" w:hAnsi="Courier New" w:eastAsia="Courier New"/>
          <w:sz w:val="18"/>
        </w:rPr>
        <w:br w:type="textWrapping"/>
      </w:r>
      <w:r>
        <w:rPr>
          <w:rFonts w:ascii="Courier New" w:hAnsi="Courier New" w:eastAsia="Courier New"/>
          <w:sz w:val="18"/>
        </w:rPr>
        <w:t xml:space="preserve">  "environment": "prod",</w:t>
      </w:r>
      <w:r>
        <w:rPr>
          <w:rFonts w:ascii="Courier New" w:hAnsi="Courier New" w:eastAsia="Courier New"/>
          <w:sz w:val="18"/>
        </w:rPr>
        <w:br w:type="textWrapping"/>
      </w:r>
      <w:r>
        <w:rPr>
          <w:rFonts w:ascii="Courier New" w:hAnsi="Courier New" w:eastAsia="Courier New"/>
          <w:sz w:val="18"/>
        </w:rPr>
        <w:t xml:space="preserve">  "service.name": "checkout-service",</w:t>
      </w:r>
      <w:r>
        <w:rPr>
          <w:rFonts w:ascii="Courier New" w:hAnsi="Courier New" w:eastAsia="Courier New"/>
          <w:sz w:val="18"/>
        </w:rPr>
        <w:br w:type="textWrapping"/>
      </w:r>
      <w:r>
        <w:rPr>
          <w:rFonts w:ascii="Courier New" w:hAnsi="Courier New" w:eastAsia="Courier New"/>
          <w:sz w:val="18"/>
        </w:rPr>
        <w:t xml:space="preserve">  "deployment.version": "v1.12.3+build.457",</w:t>
      </w:r>
      <w:r>
        <w:rPr>
          <w:rFonts w:ascii="Courier New" w:hAnsi="Courier New" w:eastAsia="Courier New"/>
          <w:sz w:val="18"/>
        </w:rPr>
        <w:br w:type="textWrapping"/>
      </w:r>
      <w:r>
        <w:rPr>
          <w:rFonts w:ascii="Courier New" w:hAnsi="Courier New" w:eastAsia="Courier New"/>
          <w:sz w:val="18"/>
        </w:rPr>
        <w:t xml:space="preserve">  "actor": { "type": "system", "id": "gh-actions", "name": "GitHub Actions" },</w:t>
      </w:r>
      <w:r>
        <w:rPr>
          <w:rFonts w:ascii="Courier New" w:hAnsi="Courier New" w:eastAsia="Courier New"/>
          <w:sz w:val="18"/>
        </w:rPr>
        <w:br w:type="textWrapping"/>
      </w:r>
      <w:r>
        <w:rPr>
          <w:rFonts w:ascii="Courier New" w:hAnsi="Courier New" w:eastAsia="Courier New"/>
          <w:sz w:val="18"/>
        </w:rPr>
        <w:t xml:space="preserve">  "links": [</w:t>
      </w:r>
      <w:r>
        <w:rPr>
          <w:rFonts w:ascii="Courier New" w:hAnsi="Courier New" w:eastAsia="Courier New"/>
          <w:sz w:val="18"/>
        </w:rPr>
        <w:br w:type="textWrapping"/>
      </w:r>
      <w:r>
        <w:rPr>
          <w:rFonts w:ascii="Courier New" w:hAnsi="Courier New" w:eastAsia="Courier New"/>
          <w:sz w:val="18"/>
        </w:rPr>
        <w:t xml:space="preserve">    { "rel": "commit", "href": "https://example.git/commit/abc123" },</w:t>
      </w:r>
      <w:r>
        <w:rPr>
          <w:rFonts w:ascii="Courier New" w:hAnsi="Courier New" w:eastAsia="Courier New"/>
          <w:sz w:val="18"/>
        </w:rPr>
        <w:br w:type="textWrapping"/>
      </w:r>
      <w:r>
        <w:rPr>
          <w:rFonts w:ascii="Courier New" w:hAnsi="Courier New" w:eastAsia="Courier New"/>
          <w:sz w:val="18"/>
        </w:rPr>
        <w:t xml:space="preserve">    { "rel": "run", "href": "https://ci.example.com/runs/98765" }</w:t>
      </w:r>
      <w:r>
        <w:rPr>
          <w:rFonts w:ascii="Courier New" w:hAnsi="Courier New" w:eastAsia="Courier New"/>
          <w:sz w:val="18"/>
        </w:rPr>
        <w:br w:type="textWrapping"/>
      </w:r>
      <w:r>
        <w:rPr>
          <w:rFonts w:ascii="Courier New" w:hAnsi="Courier New" w:eastAsia="Courier New"/>
          <w:sz w:val="18"/>
        </w:rPr>
        <w:t xml:space="preserve">  ],</w:t>
      </w:r>
      <w:r>
        <w:rPr>
          <w:rFonts w:ascii="Courier New" w:hAnsi="Courier New" w:eastAsia="Courier New"/>
          <w:sz w:val="18"/>
        </w:rPr>
        <w:br w:type="textWrapping"/>
      </w:r>
      <w:r>
        <w:rPr>
          <w:rFonts w:ascii="Courier New" w:hAnsi="Courier New" w:eastAsia="Courier New"/>
          <w:sz w:val="18"/>
        </w:rPr>
        <w:t xml:space="preserve">  "labels": { "region": "us-east-1", "team": "payments" }</w:t>
      </w:r>
      <w:r>
        <w:rPr>
          <w:rFonts w:ascii="Courier New" w:hAnsi="Courier New" w:eastAsia="Courier New"/>
          <w:sz w:val="18"/>
        </w:rPr>
        <w:br w:type="textWrapping"/>
      </w:r>
      <w:r>
        <w:rPr>
          <w:rFonts w:ascii="Courier New" w:hAnsi="Courier New" w:eastAsia="Courier New"/>
          <w:sz w:val="18"/>
        </w:rPr>
        <w:t>}</w:t>
      </w:r>
    </w:p>
    <w:p w14:paraId="083BE148">
      <w:pPr>
        <w:pStyle w:val="4"/>
      </w:pPr>
      <w:r>
        <w:t>32.4.4 Example (Incident)</w:t>
      </w:r>
    </w:p>
    <w:p w14:paraId="418EECB9">
      <w:r>
        <w:t>{</w:t>
      </w:r>
      <w:r>
        <w:br w:type="textWrapping"/>
      </w:r>
      <w:r>
        <w:t xml:space="preserve">  "event_type": "incident",</w:t>
      </w:r>
      <w:r>
        <w:br w:type="textWrapping"/>
      </w:r>
      <w:r>
        <w:t xml:space="preserve">  "title": "Spike in checkout errors",</w:t>
      </w:r>
      <w:r>
        <w:br w:type="textWrapping"/>
      </w:r>
      <w:r>
        <w:t xml:space="preserve">  "severity": "critical",</w:t>
      </w:r>
      <w:r>
        <w:br w:type="textWrapping"/>
      </w:r>
      <w:r>
        <w:t xml:space="preserve">  "status": "started",</w:t>
      </w:r>
      <w:r>
        <w:br w:type="textWrapping"/>
      </w:r>
      <w:r>
        <w:t xml:space="preserve">  "timestamp": "2026-01-22T09:10:00Z",</w:t>
      </w:r>
      <w:r>
        <w:br w:type="textWrapping"/>
      </w:r>
      <w:r>
        <w:t xml:space="preserve">  "environment": "prod",</w:t>
      </w:r>
      <w:r>
        <w:br w:type="textWrapping"/>
      </w:r>
      <w:r>
        <w:t xml:space="preserve">  "system": "shopping-Deep‑Observer platform",</w:t>
      </w:r>
      <w:r>
        <w:br w:type="textWrapping"/>
      </w:r>
      <w:r>
        <w:t xml:space="preserve">  "trace_id": "4fd0c9d0b7a64a5a8b0fa77b9d1c0a12",</w:t>
      </w:r>
      <w:r>
        <w:br w:type="textWrapping"/>
      </w:r>
      <w:r>
        <w:t xml:space="preserve">  "links": [{ "rel": "pagerduty", "href": "https://pd.example.com/incidents/INC-4321" }]</w:t>
      </w:r>
      <w:r>
        <w:br w:type="textWrapping"/>
      </w:r>
      <w:r>
        <w:t>}</w:t>
      </w:r>
    </w:p>
    <w:p w14:paraId="456582D1">
      <w:pPr>
        <w:pStyle w:val="4"/>
      </w:pPr>
      <w:r>
        <w:t>32.4.5 Rationale &amp; Visualization</w:t>
      </w:r>
    </w:p>
    <w:p w14:paraId="7F2A599F">
      <w:r>
        <w:t>• Why explicit events? Telemetry shows what happened; events add when &amp; why (deploys, rollbacks, change windows).</w:t>
      </w:r>
    </w:p>
    <w:p w14:paraId="2B2FA501">
      <w:r>
        <w:t>• Grafana integration: Events appear as timeline annotations across dashboards. Ranged events (with end_time) render as bars; point events render as pins. Filters use environment, service.name, event_type, and labels for focused correlation views.</w:t>
      </w:r>
    </w:p>
    <w:p w14:paraId="366174AB">
      <w:pPr>
        <w:pStyle w:val="3"/>
      </w:pPr>
      <w:r>
        <w:t>32.5 Validation, Versioning &amp; Compatibility</w:t>
      </w:r>
    </w:p>
    <w:p w14:paraId="4A75D9CB">
      <w:r>
        <w:t>• JSON Schema: Each payload family is versioned via a top‑level $schema_version (e.g., 1). Future revisions MUST be backward‑compatible or clearly version‑bumped.</w:t>
      </w:r>
    </w:p>
    <w:p w14:paraId="0ADFFAE0">
      <w:r>
        <w:t>• Producer Responsibility: Application teams and CI/CD must validate payloads before submission (pre‑commit or pipeline step). Deep‑Observer platform may perform best‑effort validation/rejection on malformed payloads.</w:t>
      </w:r>
    </w:p>
    <w:p w14:paraId="1F4DF938">
      <w:r>
        <w:t>• Reserved Names: Fields beginning with otel. are reserved for future automated enrichment.</w:t>
      </w:r>
    </w:p>
    <w:p w14:paraId="640D8B63">
      <w:r>
        <w:t>Minimal envelope (optional):</w:t>
      </w:r>
    </w:p>
    <w:p w14:paraId="5B3B7195">
      <w:r>
        <w:rPr>
          <w:rFonts w:ascii="Courier New" w:hAnsi="Courier New" w:eastAsia="Courier New"/>
          <w:sz w:val="18"/>
        </w:rPr>
        <w:t>{ "$schema_version": 1, "payload": { /* one of the objects above */ } }</w:t>
      </w:r>
    </w:p>
    <w:p w14:paraId="038D5223">
      <w:pPr>
        <w:pStyle w:val="3"/>
      </w:pPr>
      <w:r>
        <w:t>32.6 Non‑Goals &amp; Clarifications</w:t>
      </w:r>
    </w:p>
    <w:p w14:paraId="308D58A7">
      <w:r>
        <w:t>• No duplication of OTLP message schemas; those remain the source of truth.</w:t>
      </w:r>
    </w:p>
    <w:p w14:paraId="4ACA5DFC">
      <w:r>
        <w:t>• No requirement to change existing OTel exporters; this section governs app‑level log JSON and explicit operational events only.</w:t>
      </w:r>
    </w:p>
    <w:p w14:paraId="3D75D39C">
      <w:r>
        <w:t>• No mandate on storage internals of Prometheus/Loki/Tempo.</w:t>
      </w:r>
    </w:p>
    <w:p w14:paraId="4FB47B09">
      <w:pPr>
        <w:pStyle w:val="3"/>
      </w:pPr>
      <w:r>
        <w:t>32.7 Placeholders for Upcoming Sections (Do Not Implement Yet)</w:t>
      </w:r>
    </w:p>
    <w:p w14:paraId="11593124">
      <w:r>
        <w:t>Placeholder 1: API Endpoints — Ingestion &amp; Query Endpoints, Event ingestion endpoints, Metadata query endpoints (Details to be defined)</w:t>
      </w:r>
    </w:p>
    <w:p w14:paraId="774A9780">
      <w:r>
        <w:t>Placeholder 2: Validation &amp; Test Scenarios — Payload validation tests, Correlation tests, Failure and edge cases (Details to be defined)</w:t>
      </w:r>
    </w:p>
    <w:p w14:paraId="23121FF9">
      <w:r>
        <w:br w:type="page"/>
      </w:r>
    </w:p>
    <w:p w14:paraId="06B5D1E4">
      <w:pPr>
        <w:pStyle w:val="2"/>
      </w:pPr>
      <w:r>
        <w:t>33. API Endpoints — Ingestion &amp; Query</w:t>
      </w:r>
    </w:p>
    <w:p w14:paraId="6039560D">
      <w:r>
        <w:t>Status: Normative (SRD)</w:t>
      </w:r>
    </w:p>
    <w:p w14:paraId="3D6E6156">
      <w:r>
        <w:t>Intent: Describe the externally visible API surface for Deep‑Observer Deep‑Observer platform. This section specifies purposes, boundaries, and typical callers. It is descriptive and architectural; it omits handler details and formal OpenAPI specifications.</w:t>
      </w:r>
    </w:p>
    <w:p w14:paraId="37FA46EE">
      <w:pPr>
        <w:pStyle w:val="3"/>
      </w:pPr>
      <w:r>
        <w:t>33.1 Telemetry Ingestion (Reference Only)</w:t>
      </w:r>
    </w:p>
    <w:p w14:paraId="2E826FE6">
      <w:r>
        <w:t>These endpoints are part of the OpenTelemetry Collector and are referenced here for completeness. Deep‑Observer does not redefine OTLP payload schemas.</w:t>
      </w:r>
    </w:p>
    <w:p w14:paraId="11ABAC57">
      <w:pPr>
        <w:ind w:left="360"/>
      </w:pPr>
      <w:r>
        <w:t>• gRPC OTLP receiver on TCP port 4317.</w:t>
      </w:r>
    </w:p>
    <w:p w14:paraId="7087837B">
      <w:pPr>
        <w:ind w:left="360"/>
      </w:pPr>
      <w:r>
        <w:t>• HTTP OTLP receiver on TCP port 4318.</w:t>
      </w:r>
    </w:p>
    <w:p w14:paraId="3CB090B9">
      <w:r>
        <w:t>Ownership and Contract</w:t>
      </w:r>
    </w:p>
    <w:p w14:paraId="19606F3F">
      <w:pPr>
        <w:ind w:left="360"/>
      </w:pPr>
      <w:r>
        <w:t>• Owned by the OpenTelemetry Collector component.</w:t>
      </w:r>
    </w:p>
    <w:p w14:paraId="285A7454">
      <w:pPr>
        <w:ind w:left="360"/>
      </w:pPr>
      <w:r>
        <w:t>• Payloads and behaviors conform to the OpenTelemetry Protocol (OTLP).</w:t>
      </w:r>
    </w:p>
    <w:p w14:paraId="4366ACAB">
      <w:pPr>
        <w:ind w:left="360"/>
      </w:pPr>
      <w:r>
        <w:t>• Application services interact via OpenTelemetry SDKs and exporters; direct raw HTTP crafting by application code is out of scope.</w:t>
      </w:r>
    </w:p>
    <w:p w14:paraId="44D07D5A">
      <w:pPr>
        <w:ind w:left="360"/>
      </w:pPr>
      <w:r>
        <w:t>• Deep‑Observer applies configuration/pipeline policies but does not alter the OTLP schema.</w:t>
      </w:r>
    </w:p>
    <w:p w14:paraId="06B28E7F">
      <w:pPr>
        <w:pStyle w:val="3"/>
      </w:pPr>
      <w:r>
        <w:t>33.2 Operational Event Ingestion</w:t>
      </w:r>
    </w:p>
    <w:p w14:paraId="37F2EA1D">
      <w:r>
        <w:t>Purpose: Accept explicit, non‑telemetry operational events for correlation and visualization (e.g., deployments, incidents, configuration changes).</w:t>
      </w:r>
    </w:p>
    <w:p w14:paraId="4F936FAD">
      <w:r>
        <w:t>Producers</w:t>
      </w:r>
    </w:p>
    <w:p w14:paraId="4E5D9D94">
      <w:pPr>
        <w:ind w:left="360"/>
      </w:pPr>
      <w:r>
        <w:t>• CI/CD systems (e.g., post‑deploy hooks).</w:t>
      </w:r>
    </w:p>
    <w:p w14:paraId="4852413E">
      <w:pPr>
        <w:ind w:left="360"/>
      </w:pPr>
      <w:r>
        <w:t>• Runbooks and automation jobs.</w:t>
      </w:r>
    </w:p>
    <w:p w14:paraId="1034BFE5">
      <w:pPr>
        <w:ind w:left="360"/>
      </w:pPr>
      <w:r>
        <w:t>• Operators via tooling or service accounts.</w:t>
      </w:r>
    </w:p>
    <w:p w14:paraId="5E3153EE">
      <w:r>
        <w:t>Contract and Boundaries</w:t>
      </w:r>
    </w:p>
    <w:p w14:paraId="497A9E8E">
      <w:pPr>
        <w:ind w:left="360"/>
      </w:pPr>
      <w:r>
        <w:t>• Events are submitted to Deep‑Observer Deep‑Observer platform ingestion endpoint(s) over HTTPS.</w:t>
      </w:r>
    </w:p>
    <w:p w14:paraId="57ACFD68">
      <w:pPr>
        <w:ind w:left="360"/>
      </w:pPr>
      <w:r>
        <w:t>• Idempotency: Clients SHOULD supply a stable event identifier to avoid duplicate records upon retries.</w:t>
      </w:r>
    </w:p>
    <w:p w14:paraId="19D1327C">
      <w:pPr>
        <w:ind w:left="360"/>
      </w:pPr>
      <w:r>
        <w:t>• Validation: Payloads MUST conform to the Operational Event schema defined in Section 32 (not restated here).</w:t>
      </w:r>
    </w:p>
    <w:p w14:paraId="6F1F60D6">
      <w:pPr>
        <w:ind w:left="360"/>
      </w:pPr>
      <w:r>
        <w:t>• Storage: Events are persisted as metadata within Deep‑Observer’s relational store and surfaced to Grafana as timeline annotations or links.</w:t>
      </w:r>
    </w:p>
    <w:p w14:paraId="0D95DFEC">
      <w:pPr>
        <w:ind w:left="360"/>
      </w:pPr>
      <w:r>
        <w:t>• Scope: Event ingestion does not accept metrics, logs, or traces and does not affect OTLP ingestion.</w:t>
      </w:r>
    </w:p>
    <w:p w14:paraId="165640E3">
      <w:pPr>
        <w:pStyle w:val="3"/>
      </w:pPr>
      <w:r>
        <w:t>33.3 Metadata Query Endpoints</w:t>
      </w:r>
    </w:p>
    <w:p w14:paraId="1F7AE773">
      <w:r>
        <w:t>Purpose: Provide read‑only discovery, navigation, and correlation across control‑plane metadata.</w:t>
      </w:r>
    </w:p>
    <w:p w14:paraId="1080C9E8">
      <w:r>
        <w:t>Resources</w:t>
      </w:r>
    </w:p>
    <w:p w14:paraId="51BB68F1">
      <w:pPr>
        <w:ind w:left="360"/>
      </w:pPr>
      <w:r>
        <w:t>• Services: list and describe onboarded services and their attributes (e.g., name, namespace, owner).</w:t>
      </w:r>
    </w:p>
    <w:p w14:paraId="46DC546D">
      <w:pPr>
        <w:ind w:left="360"/>
      </w:pPr>
      <w:r>
        <w:t>• Environments: list environment identifiers and display names (e.g., dev, staging, prod).</w:t>
      </w:r>
    </w:p>
    <w:p w14:paraId="3BE95B5F">
      <w:pPr>
        <w:ind w:left="360"/>
      </w:pPr>
      <w:r>
        <w:t>• Operational events: query events over a time range and filters (service, environment, type).</w:t>
      </w:r>
    </w:p>
    <w:p w14:paraId="2BE8FA81">
      <w:pPr>
        <w:ind w:left="360"/>
      </w:pPr>
      <w:r>
        <w:t>• Dashboard metadata: expose references to Grafana dashboards by UID (references only; no Grafana proxying).</w:t>
      </w:r>
    </w:p>
    <w:p w14:paraId="27890BF4">
      <w:r>
        <w:t>Explicit Boundaries</w:t>
      </w:r>
    </w:p>
    <w:p w14:paraId="0F215A45">
      <w:pPr>
        <w:ind w:left="360"/>
      </w:pPr>
      <w:r>
        <w:t>• These endpoints DO NOT return logs, metrics, or traces.</w:t>
      </w:r>
    </w:p>
    <w:p w14:paraId="075115DA">
      <w:pPr>
        <w:ind w:left="360"/>
      </w:pPr>
      <w:r>
        <w:t>• These endpoints DO NOT proxy or wrap Prometheus, Loki, Tempo, or Grafana APIs.</w:t>
      </w:r>
    </w:p>
    <w:p w14:paraId="1190E5F6">
      <w:pPr>
        <w:ind w:left="360"/>
      </w:pPr>
      <w:r>
        <w:t>• Responses contain identifiers and references that enable clients to navigate to the appropriate backend systems for telemetry queries.</w:t>
      </w:r>
    </w:p>
    <w:p w14:paraId="571509A6">
      <w:pPr>
        <w:ind w:left="360"/>
      </w:pPr>
      <w:r>
        <w:t>• Access is read‑only; no mutation endpoints are defined in this section.</w:t>
      </w:r>
    </w:p>
    <w:p w14:paraId="16DFE315">
      <w:pPr>
        <w:pStyle w:val="3"/>
      </w:pPr>
      <w:r>
        <w:t>33.4 Explicit Non‑Goals</w:t>
      </w:r>
    </w:p>
    <w:p w14:paraId="3BAE5C04">
      <w:pPr>
        <w:ind w:left="360"/>
      </w:pPr>
      <w:r>
        <w:t>• No telemetry querying: PromQL, LogQL, TraceQL, or equivalent queries are not accepted by Deep‑Observer APIs.</w:t>
      </w:r>
    </w:p>
    <w:p w14:paraId="377C7D6C">
      <w:pPr>
        <w:ind w:left="360"/>
      </w:pPr>
      <w:r>
        <w:t>• No backend proxying: the Deep‑Observer Deep‑Observer platform does not relay or transform traffic to Prometheus, Loki, Tempo, or Grafana APIs.</w:t>
      </w:r>
    </w:p>
    <w:p w14:paraId="251E0AE2">
      <w:pPr>
        <w:ind w:left="360"/>
      </w:pPr>
      <w:r>
        <w:t>• No Grafana API wrapping: Dashboard rendering and panel queries remain the responsibility of Grafana.</w:t>
      </w:r>
    </w:p>
    <w:p w14:paraId="3A0D3F69">
      <w:pPr>
        <w:pStyle w:val="3"/>
      </w:pPr>
      <w:r>
        <w:t>33.5 Validation Boundary &amp; Transition</w:t>
      </w:r>
    </w:p>
    <w:p w14:paraId="7561DDBF">
      <w:r>
        <w:t>The API surface described in Section 33 forms the basis for Deep‑Observer platform validation and conformance checks. Validation ensures that event ingestion honors idempotency and schema rules, and that metadata queries remain read‑only and non‑proxying. Detailed scenarios, expected outcomes, and edge cases will be defined in the subsequent section: Test Scenarios.</w:t>
      </w:r>
      <w:r>
        <w:br w:type="page"/>
      </w:r>
    </w:p>
    <w:p w14:paraId="0B4B07B7">
      <w:pPr>
        <w:pStyle w:val="2"/>
      </w:pPr>
      <w:r>
        <w:t>33. API Endpoints — Ingestion &amp; Query (Definitive)</w:t>
      </w:r>
    </w:p>
    <w:p w14:paraId="73C6CA3A">
      <w:r>
        <w:t>Status: Normative (SRD)</w:t>
      </w:r>
    </w:p>
    <w:p w14:paraId="1F427583">
      <w:r>
        <w:t>Intent: Define the externally visible API surface for Deep‑Observer Deep‑Observer platform, including endpoint purposes, boundaries, and typical callers. This section is architectural; it intentionally omits handler internals and formal OpenAPI artifacts.</w:t>
      </w:r>
    </w:p>
    <w:p w14:paraId="300A8425">
      <w:pPr>
        <w:pStyle w:val="3"/>
      </w:pPr>
      <w:r>
        <w:t>33.1 Telemetry Ingestion (Reference Only)</w:t>
      </w:r>
    </w:p>
    <w:p w14:paraId="5483AA10">
      <w:r>
        <w:t>The following endpoints are provided by the OpenTelemetry Collector. They are referenced for completeness; Deep‑Observer does not redefine OTLP payloads or behaviors.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4"/>
        <w:gridCol w:w="999"/>
        <w:gridCol w:w="1573"/>
        <w:gridCol w:w="1231"/>
        <w:gridCol w:w="1278"/>
        <w:gridCol w:w="1611"/>
      </w:tblGrid>
      <w:tr w14:paraId="60F99B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7F8A8010">
            <w:r>
              <w:t>Signal</w:t>
            </w:r>
          </w:p>
        </w:tc>
        <w:tc>
          <w:tcPr>
            <w:tcW w:w="1440" w:type="dxa"/>
          </w:tcPr>
          <w:p w14:paraId="449DC952">
            <w:r>
              <w:t>Protocol</w:t>
            </w:r>
          </w:p>
        </w:tc>
        <w:tc>
          <w:tcPr>
            <w:tcW w:w="1440" w:type="dxa"/>
          </w:tcPr>
          <w:p w14:paraId="1CF78473">
            <w:r>
              <w:t>Endpoint/Port</w:t>
            </w:r>
          </w:p>
        </w:tc>
        <w:tc>
          <w:tcPr>
            <w:tcW w:w="1440" w:type="dxa"/>
          </w:tcPr>
          <w:p w14:paraId="51AA8BFD">
            <w:r>
              <w:t>Ownership</w:t>
            </w:r>
          </w:p>
        </w:tc>
        <w:tc>
          <w:tcPr>
            <w:tcW w:w="1440" w:type="dxa"/>
          </w:tcPr>
          <w:p w14:paraId="5228EB5A">
            <w:r>
              <w:t>Caller</w:t>
            </w:r>
          </w:p>
        </w:tc>
        <w:tc>
          <w:tcPr>
            <w:tcW w:w="1440" w:type="dxa"/>
          </w:tcPr>
          <w:p w14:paraId="139AB26A">
            <w:r>
              <w:t>Notes</w:t>
            </w:r>
          </w:p>
        </w:tc>
      </w:tr>
      <w:tr w14:paraId="3573582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7DA1349F">
            <w:r>
              <w:t>Traces/Logs/Metrics</w:t>
            </w:r>
          </w:p>
        </w:tc>
        <w:tc>
          <w:tcPr>
            <w:tcW w:w="1440" w:type="dxa"/>
          </w:tcPr>
          <w:p w14:paraId="1F931AAC">
            <w:r>
              <w:t>gRPC</w:t>
            </w:r>
          </w:p>
        </w:tc>
        <w:tc>
          <w:tcPr>
            <w:tcW w:w="1440" w:type="dxa"/>
          </w:tcPr>
          <w:p w14:paraId="23A2AA7A">
            <w:r>
              <w:t>otlp receiver on :4317</w:t>
            </w:r>
          </w:p>
        </w:tc>
        <w:tc>
          <w:tcPr>
            <w:tcW w:w="1440" w:type="dxa"/>
          </w:tcPr>
          <w:p w14:paraId="0F7699D7">
            <w:r>
              <w:t>OTel Collector</w:t>
            </w:r>
          </w:p>
        </w:tc>
        <w:tc>
          <w:tcPr>
            <w:tcW w:w="1440" w:type="dxa"/>
          </w:tcPr>
          <w:p w14:paraId="5A3FAD7E">
            <w:r>
              <w:t>Application services via OTel SDK exporters</w:t>
            </w:r>
          </w:p>
        </w:tc>
        <w:tc>
          <w:tcPr>
            <w:tcW w:w="1440" w:type="dxa"/>
          </w:tcPr>
          <w:p w14:paraId="218DCBF6">
            <w:r>
              <w:t>Governed by OTLP; not a Deep‑Observer API.</w:t>
            </w:r>
          </w:p>
        </w:tc>
      </w:tr>
      <w:tr w14:paraId="775183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58D1E747">
            <w:r>
              <w:t>Traces/Logs/Metrics</w:t>
            </w:r>
          </w:p>
        </w:tc>
        <w:tc>
          <w:tcPr>
            <w:tcW w:w="1440" w:type="dxa"/>
          </w:tcPr>
          <w:p w14:paraId="15372474">
            <w:r>
              <w:t>HTTP</w:t>
            </w:r>
          </w:p>
        </w:tc>
        <w:tc>
          <w:tcPr>
            <w:tcW w:w="1440" w:type="dxa"/>
          </w:tcPr>
          <w:p w14:paraId="5D2EDD17">
            <w:r>
              <w:t>otlphttp receiver on :4318 (e.g., /v1/traces, /v1/logs, /v1/metrics)</w:t>
            </w:r>
          </w:p>
        </w:tc>
        <w:tc>
          <w:tcPr>
            <w:tcW w:w="1440" w:type="dxa"/>
          </w:tcPr>
          <w:p w14:paraId="38B8F57D">
            <w:r>
              <w:t>OTel Collector</w:t>
            </w:r>
          </w:p>
        </w:tc>
        <w:tc>
          <w:tcPr>
            <w:tcW w:w="1440" w:type="dxa"/>
          </w:tcPr>
          <w:p w14:paraId="135A6FE8">
            <w:r>
              <w:t>Application services via OTel SDK exporters</w:t>
            </w:r>
          </w:p>
        </w:tc>
        <w:tc>
          <w:tcPr>
            <w:tcW w:w="1440" w:type="dxa"/>
          </w:tcPr>
          <w:p w14:paraId="60BF0311">
            <w:r>
              <w:t>Governed by OTLP; not a Deep‑Observer API.</w:t>
            </w:r>
          </w:p>
        </w:tc>
      </w:tr>
    </w:tbl>
    <w:p w14:paraId="4778F42A">
      <w:pPr>
        <w:ind w:left="360"/>
      </w:pPr>
      <w:r>
        <w:t>• Deep‑Observer configures pipelines/policies but does not alter OTLP schemas.</w:t>
      </w:r>
    </w:p>
    <w:p w14:paraId="5077A1BE">
      <w:pPr>
        <w:ind w:left="360"/>
      </w:pPr>
      <w:r>
        <w:t>• Applications SHOULD use official OpenTelemetry SDKs/exporters instead of crafting raw HTTP requests.</w:t>
      </w:r>
    </w:p>
    <w:p w14:paraId="7A83112C">
      <w:pPr>
        <w:pStyle w:val="3"/>
      </w:pPr>
      <w:r>
        <w:t>33.2 Operational Event Ingestion</w:t>
      </w:r>
    </w:p>
    <w:p w14:paraId="55A9228F">
      <w:r>
        <w:t>Purpose: Accept explicit, non‑telemetry operational events (deployments, incidents, configuration changes) for correlation and visualization (e.g., Grafana annotations).</w:t>
      </w:r>
    </w:p>
    <w:p w14:paraId="2E7D7186">
      <w:r>
        <w:t>Typical producers:</w:t>
      </w:r>
    </w:p>
    <w:p w14:paraId="42B82056">
      <w:pPr>
        <w:ind w:left="360"/>
      </w:pPr>
      <w:r>
        <w:t>• CI/CD pipelines (post‑deploy hooks).</w:t>
      </w:r>
    </w:p>
    <w:p w14:paraId="77EB4E0F">
      <w:pPr>
        <w:ind w:left="360"/>
      </w:pPr>
      <w:r>
        <w:t>• Automation jobs and runbooks.</w:t>
      </w:r>
    </w:p>
    <w:p w14:paraId="23FB2073">
      <w:pPr>
        <w:ind w:left="360"/>
      </w:pPr>
      <w:r>
        <w:t>• Operators and SRE tooling using service accounts.</w:t>
      </w:r>
    </w:p>
    <w:p w14:paraId="4D846466">
      <w:r>
        <w:t>Endpoints (write scope limited to events):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660"/>
        <w:gridCol w:w="2142"/>
        <w:gridCol w:w="1652"/>
        <w:gridCol w:w="1710"/>
        <w:gridCol w:w="1692"/>
      </w:tblGrid>
      <w:tr w14:paraId="2E6166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1A3F1A0A">
            <w:r>
              <w:t>Method</w:t>
            </w:r>
          </w:p>
        </w:tc>
        <w:tc>
          <w:tcPr>
            <w:tcW w:w="1728" w:type="dxa"/>
          </w:tcPr>
          <w:p w14:paraId="7EBAE3B7">
            <w:r>
              <w:t>Path</w:t>
            </w:r>
          </w:p>
        </w:tc>
        <w:tc>
          <w:tcPr>
            <w:tcW w:w="1728" w:type="dxa"/>
          </w:tcPr>
          <w:p w14:paraId="230336AE">
            <w:r>
              <w:t>Auth</w:t>
            </w:r>
          </w:p>
        </w:tc>
        <w:tc>
          <w:tcPr>
            <w:tcW w:w="1728" w:type="dxa"/>
          </w:tcPr>
          <w:p w14:paraId="368FE2A7">
            <w:r>
              <w:t>Idempotency</w:t>
            </w:r>
          </w:p>
        </w:tc>
        <w:tc>
          <w:tcPr>
            <w:tcW w:w="1728" w:type="dxa"/>
          </w:tcPr>
          <w:p w14:paraId="0E7E6F1D">
            <w:r>
              <w:t>Description</w:t>
            </w:r>
          </w:p>
        </w:tc>
      </w:tr>
      <w:tr w14:paraId="4F387B2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113303AA">
            <w:r>
              <w:t>POST</w:t>
            </w:r>
          </w:p>
        </w:tc>
        <w:tc>
          <w:tcPr>
            <w:tcW w:w="1728" w:type="dxa"/>
          </w:tcPr>
          <w:p w14:paraId="2EDE1E0A">
            <w:r>
              <w:t>/api/v1/events</w:t>
            </w:r>
          </w:p>
        </w:tc>
        <w:tc>
          <w:tcPr>
            <w:tcW w:w="1728" w:type="dxa"/>
          </w:tcPr>
          <w:p w14:paraId="6AAD90ED">
            <w:r>
              <w:t>Bearer token</w:t>
            </w:r>
          </w:p>
        </w:tc>
        <w:tc>
          <w:tcPr>
            <w:tcW w:w="1728" w:type="dxa"/>
          </w:tcPr>
          <w:p w14:paraId="55E8B9B1">
            <w:r>
              <w:t>Idempotency-Key header (client-supplied)</w:t>
            </w:r>
          </w:p>
        </w:tc>
        <w:tc>
          <w:tcPr>
            <w:tcW w:w="1728" w:type="dxa"/>
          </w:tcPr>
          <w:p w14:paraId="4365E00B">
            <w:r>
              <w:t>Ingest a new operational event. Body MUST conform to Section 32.4 schema.</w:t>
            </w:r>
          </w:p>
        </w:tc>
      </w:tr>
      <w:tr w14:paraId="5ED41D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3B22D57C">
            <w:r>
              <w:t>GET</w:t>
            </w:r>
          </w:p>
        </w:tc>
        <w:tc>
          <w:tcPr>
            <w:tcW w:w="1728" w:type="dxa"/>
          </w:tcPr>
          <w:p w14:paraId="79515A88">
            <w:r>
              <w:t>/api/v1/events/{id}</w:t>
            </w:r>
          </w:p>
        </w:tc>
        <w:tc>
          <w:tcPr>
            <w:tcW w:w="1728" w:type="dxa"/>
          </w:tcPr>
          <w:p w14:paraId="6458E129">
            <w:r>
              <w:t>Bearer token</w:t>
            </w:r>
          </w:p>
        </w:tc>
        <w:tc>
          <w:tcPr>
            <w:tcW w:w="1728" w:type="dxa"/>
          </w:tcPr>
          <w:p w14:paraId="4EE4F9A4">
            <w:r>
              <w:t>n/a</w:t>
            </w:r>
          </w:p>
        </w:tc>
        <w:tc>
          <w:tcPr>
            <w:tcW w:w="1728" w:type="dxa"/>
          </w:tcPr>
          <w:p w14:paraId="4751E6F1">
            <w:r>
              <w:t>Fetch a single event by identifier (read-only).</w:t>
            </w:r>
          </w:p>
        </w:tc>
      </w:tr>
      <w:tr w14:paraId="004A5A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8B61653">
            <w:r>
              <w:t>PUT</w:t>
            </w:r>
          </w:p>
        </w:tc>
        <w:tc>
          <w:tcPr>
            <w:tcW w:w="1728" w:type="dxa"/>
          </w:tcPr>
          <w:p w14:paraId="690CFD87">
            <w:r>
              <w:t>/api/v1/events/{id}</w:t>
            </w:r>
          </w:p>
        </w:tc>
        <w:tc>
          <w:tcPr>
            <w:tcW w:w="1728" w:type="dxa"/>
          </w:tcPr>
          <w:p w14:paraId="2C72D228">
            <w:r>
              <w:t>Bearer token</w:t>
            </w:r>
          </w:p>
        </w:tc>
        <w:tc>
          <w:tcPr>
            <w:tcW w:w="1728" w:type="dxa"/>
          </w:tcPr>
          <w:p w14:paraId="4C124802">
            <w:r>
              <w:t>Idempotent by resource id</w:t>
            </w:r>
          </w:p>
        </w:tc>
        <w:tc>
          <w:tcPr>
            <w:tcW w:w="1728" w:type="dxa"/>
          </w:tcPr>
          <w:p w14:paraId="5CB91F5E">
            <w:r>
              <w:t>Create or replace an event by client-assigned id (optional upsert path).</w:t>
            </w:r>
          </w:p>
        </w:tc>
      </w:tr>
    </w:tbl>
    <w:p w14:paraId="2BFD26FE">
      <w:pPr>
        <w:ind w:left="360"/>
      </w:pPr>
      <w:r>
        <w:t>• Clients SHOULD prefer POST with a stable Idempotency-Key; PUT is provided for systems that require deterministic upsert semantics.</w:t>
      </w:r>
    </w:p>
    <w:p w14:paraId="3CE2110C">
      <w:pPr>
        <w:ind w:left="360"/>
      </w:pPr>
      <w:r>
        <w:t>• Accepted payloads are validated against Section 32.4; malformed payloads are rejected with 400-class errors.</w:t>
      </w:r>
    </w:p>
    <w:p w14:paraId="541A5297">
      <w:pPr>
        <w:ind w:left="360"/>
      </w:pPr>
      <w:r>
        <w:t>• Events are persisted as control‑plane metadata and may be surfaced as Grafana timeline annotations.</w:t>
      </w:r>
    </w:p>
    <w:p w14:paraId="7518C102">
      <w:pPr>
        <w:pStyle w:val="3"/>
      </w:pPr>
      <w:r>
        <w:t>33.3 Metadata Query Endpoints (Read‑Only)</w:t>
      </w:r>
    </w:p>
    <w:p w14:paraId="553D8C2D">
      <w:r>
        <w:t>Purpose: Provide discovery, navigation, and correlation across control‑plane metadata. These endpoints are strictly read‑only and do not proxy telemetry backends.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894"/>
        <w:gridCol w:w="3131"/>
        <w:gridCol w:w="1404"/>
        <w:gridCol w:w="1450"/>
        <w:gridCol w:w="1977"/>
      </w:tblGrid>
      <w:tr w14:paraId="674049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08D78B3C">
            <w:r>
              <w:t>Method</w:t>
            </w:r>
          </w:p>
        </w:tc>
        <w:tc>
          <w:tcPr>
            <w:tcW w:w="1728" w:type="dxa"/>
          </w:tcPr>
          <w:p w14:paraId="19988836">
            <w:r>
              <w:t>Path</w:t>
            </w:r>
          </w:p>
        </w:tc>
        <w:tc>
          <w:tcPr>
            <w:tcW w:w="1728" w:type="dxa"/>
          </w:tcPr>
          <w:p w14:paraId="76BFF13C">
            <w:r>
              <w:t>Query Params (subset)</w:t>
            </w:r>
          </w:p>
        </w:tc>
        <w:tc>
          <w:tcPr>
            <w:tcW w:w="1728" w:type="dxa"/>
          </w:tcPr>
          <w:p w14:paraId="6F37A3F1">
            <w:r>
              <w:t>Returns</w:t>
            </w:r>
          </w:p>
        </w:tc>
        <w:tc>
          <w:tcPr>
            <w:tcW w:w="1728" w:type="dxa"/>
          </w:tcPr>
          <w:p w14:paraId="7F6816A2">
            <w:r>
              <w:t>Notes</w:t>
            </w:r>
          </w:p>
        </w:tc>
      </w:tr>
      <w:tr w14:paraId="0F67CA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0CBAB2C1">
            <w:r>
              <w:t>GET</w:t>
            </w:r>
          </w:p>
        </w:tc>
        <w:tc>
          <w:tcPr>
            <w:tcW w:w="1728" w:type="dxa"/>
          </w:tcPr>
          <w:p w14:paraId="53F35488">
            <w:r>
              <w:t>/api/v1/services</w:t>
            </w:r>
          </w:p>
        </w:tc>
        <w:tc>
          <w:tcPr>
            <w:tcW w:w="1728" w:type="dxa"/>
          </w:tcPr>
          <w:p w14:paraId="5463633D">
            <w:r>
              <w:t>owner, namespace, env, page, limit</w:t>
            </w:r>
          </w:p>
        </w:tc>
        <w:tc>
          <w:tcPr>
            <w:tcW w:w="1728" w:type="dxa"/>
          </w:tcPr>
          <w:p w14:paraId="64E3D9BF">
            <w:r>
              <w:t>List of services with descriptive metadata</w:t>
            </w:r>
          </w:p>
        </w:tc>
        <w:tc>
          <w:tcPr>
            <w:tcW w:w="1728" w:type="dxa"/>
          </w:tcPr>
          <w:p w14:paraId="25482AFE">
            <w:r>
              <w:t>No logs/metrics/traces returned.</w:t>
            </w:r>
          </w:p>
        </w:tc>
      </w:tr>
      <w:tr w14:paraId="4957AE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B13C654">
            <w:r>
              <w:t>GET</w:t>
            </w:r>
          </w:p>
        </w:tc>
        <w:tc>
          <w:tcPr>
            <w:tcW w:w="1728" w:type="dxa"/>
          </w:tcPr>
          <w:p w14:paraId="28AF81E0">
            <w:r>
              <w:t>/api/v1/services/{serviceName}</w:t>
            </w:r>
          </w:p>
        </w:tc>
        <w:tc>
          <w:tcPr>
            <w:tcW w:w="1728" w:type="dxa"/>
          </w:tcPr>
          <w:p w14:paraId="4BAE51F1"/>
        </w:tc>
        <w:tc>
          <w:tcPr>
            <w:tcW w:w="1728" w:type="dxa"/>
          </w:tcPr>
          <w:p w14:paraId="36F398F0">
            <w:r>
              <w:t>Service descriptor</w:t>
            </w:r>
          </w:p>
        </w:tc>
        <w:tc>
          <w:tcPr>
            <w:tcW w:w="1728" w:type="dxa"/>
          </w:tcPr>
          <w:p w14:paraId="17547149">
            <w:r>
              <w:t>Includes references (not data) to telemetry backends.</w:t>
            </w:r>
          </w:p>
        </w:tc>
      </w:tr>
      <w:tr w14:paraId="4A4E69A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DE89BC2">
            <w:r>
              <w:t>GET</w:t>
            </w:r>
          </w:p>
        </w:tc>
        <w:tc>
          <w:tcPr>
            <w:tcW w:w="1728" w:type="dxa"/>
          </w:tcPr>
          <w:p w14:paraId="718D6150">
            <w:r>
              <w:t>/api/v1/environments</w:t>
            </w:r>
          </w:p>
        </w:tc>
        <w:tc>
          <w:tcPr>
            <w:tcW w:w="1728" w:type="dxa"/>
          </w:tcPr>
          <w:p w14:paraId="5BE95080"/>
        </w:tc>
        <w:tc>
          <w:tcPr>
            <w:tcW w:w="1728" w:type="dxa"/>
          </w:tcPr>
          <w:p w14:paraId="2F29265A">
            <w:r>
              <w:t>List of environments</w:t>
            </w:r>
          </w:p>
        </w:tc>
        <w:tc>
          <w:tcPr>
            <w:tcW w:w="1728" w:type="dxa"/>
          </w:tcPr>
          <w:p w14:paraId="412697FB">
            <w:r>
              <w:t>Stable identifiers for filtering and routing.</w:t>
            </w:r>
          </w:p>
        </w:tc>
      </w:tr>
      <w:tr w14:paraId="361426DA">
        <w:tblPrEx>
          <w:tblCellMar>
            <w:top w:w="0" w:type="dxa"/>
            <w:left w:w="108" w:type="dxa"/>
            <w:bottom w:w="0" w:type="dxa"/>
            <w:right w:w="108" w:type="dxa"/>
          </w:tblCellMar>
        </w:tblPrEx>
        <w:tc>
          <w:tcPr>
            <w:tcW w:w="1728" w:type="dxa"/>
          </w:tcPr>
          <w:p w14:paraId="4F60C02D">
            <w:r>
              <w:t>GET</w:t>
            </w:r>
          </w:p>
        </w:tc>
        <w:tc>
          <w:tcPr>
            <w:tcW w:w="1728" w:type="dxa"/>
          </w:tcPr>
          <w:p w14:paraId="316D4080">
            <w:r>
              <w:t>/api/v1/events</w:t>
            </w:r>
          </w:p>
        </w:tc>
        <w:tc>
          <w:tcPr>
            <w:tcW w:w="1728" w:type="dxa"/>
          </w:tcPr>
          <w:p w14:paraId="397AAE2D">
            <w:r>
              <w:t>from, to, service, environment, type, severity, page, limit</w:t>
            </w:r>
          </w:p>
        </w:tc>
        <w:tc>
          <w:tcPr>
            <w:tcW w:w="1728" w:type="dxa"/>
          </w:tcPr>
          <w:p w14:paraId="0719F9EF">
            <w:r>
              <w:t>Operational events within a window</w:t>
            </w:r>
          </w:p>
        </w:tc>
        <w:tc>
          <w:tcPr>
            <w:tcW w:w="1728" w:type="dxa"/>
          </w:tcPr>
          <w:p w14:paraId="71B39A30">
            <w:r>
              <w:t>For correlation and timeline views; read-only.</w:t>
            </w:r>
          </w:p>
        </w:tc>
      </w:tr>
      <w:tr w14:paraId="7840FE8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3FC49850">
            <w:r>
              <w:t>GET</w:t>
            </w:r>
          </w:p>
        </w:tc>
        <w:tc>
          <w:tcPr>
            <w:tcW w:w="1728" w:type="dxa"/>
          </w:tcPr>
          <w:p w14:paraId="5F46CF56">
            <w:r>
              <w:t>/api/v1/dashboards</w:t>
            </w:r>
          </w:p>
        </w:tc>
        <w:tc>
          <w:tcPr>
            <w:tcW w:w="1728" w:type="dxa"/>
          </w:tcPr>
          <w:p w14:paraId="677F3CF7">
            <w:r>
              <w:t>service, environment, tag, page, limit</w:t>
            </w:r>
          </w:p>
        </w:tc>
        <w:tc>
          <w:tcPr>
            <w:tcW w:w="1728" w:type="dxa"/>
          </w:tcPr>
          <w:p w14:paraId="543D25ED">
            <w:r>
              <w:t>List of dashboard references</w:t>
            </w:r>
          </w:p>
        </w:tc>
        <w:tc>
          <w:tcPr>
            <w:tcW w:w="1728" w:type="dxa"/>
          </w:tcPr>
          <w:p w14:paraId="69E66B52">
            <w:r>
              <w:t>Includes Grafana UID references only; no Grafana API proxying.</w:t>
            </w:r>
          </w:p>
        </w:tc>
      </w:tr>
    </w:tbl>
    <w:p w14:paraId="017C866E">
      <w:r>
        <w:t>Common behaviors:</w:t>
      </w:r>
    </w:p>
    <w:p w14:paraId="55E1BC6C">
      <w:pPr>
        <w:ind w:left="360"/>
      </w:pPr>
      <w:r>
        <w:t>• Authentication: Authorization: Bearer &lt;token&gt; (service or user tokens as provisioned).</w:t>
      </w:r>
    </w:p>
    <w:p w14:paraId="214FD862">
      <w:pPr>
        <w:ind w:left="360"/>
      </w:pPr>
      <w:r>
        <w:t>• Content negotiation: application/json for all control‑plane endpoints.</w:t>
      </w:r>
    </w:p>
    <w:p w14:paraId="22305122">
      <w:pPr>
        <w:ind w:left="360"/>
      </w:pPr>
      <w:r>
        <w:t>• Pagination: page &amp; limit or cursor‑based (next cursor returned when applicable).</w:t>
      </w:r>
    </w:p>
    <w:p w14:paraId="7868321C">
      <w:pPr>
        <w:ind w:left="360"/>
      </w:pPr>
      <w:r>
        <w:t>• Filtering: limited to documented fields to prevent accidental high‑cardinality queries.</w:t>
      </w:r>
    </w:p>
    <w:p w14:paraId="4847C4A1">
      <w:pPr>
        <w:pStyle w:val="3"/>
      </w:pPr>
      <w:r>
        <w:t>33.4 Explicit Non‑Goals</w:t>
      </w:r>
    </w:p>
    <w:p w14:paraId="1914EB05">
      <w:pPr>
        <w:ind w:left="360"/>
      </w:pPr>
      <w:r>
        <w:t>• Telemetry querying is out of scope: PromQL, LogQL, TraceQL or equivalents are not accepted by these APIs.</w:t>
      </w:r>
    </w:p>
    <w:p w14:paraId="44F1E25C">
      <w:pPr>
        <w:ind w:left="360"/>
      </w:pPr>
      <w:r>
        <w:t>• No backend proxying: Deep‑Observer does not relay or transform requests to Prometheus, Loki, Tempo, or Grafana APIs.</w:t>
      </w:r>
    </w:p>
    <w:p w14:paraId="15A35D73">
      <w:pPr>
        <w:ind w:left="360"/>
      </w:pPr>
      <w:r>
        <w:t>• No Grafana API wrapping: Dashboard rendering and panel queries remain the responsibility of Grafana.</w:t>
      </w:r>
    </w:p>
    <w:p w14:paraId="0F233D6B">
      <w:pPr>
        <w:pStyle w:val="3"/>
      </w:pPr>
      <w:r>
        <w:t>33.5 Validation Boundary &amp; Transition</w:t>
      </w:r>
    </w:p>
    <w:p w14:paraId="09814C61">
      <w:r>
        <w:t>This API surface establishes the contract for Deep‑Observer platform validation:</w:t>
      </w:r>
    </w:p>
    <w:p w14:paraId="1B213E27">
      <w:pPr>
        <w:ind w:left="360"/>
      </w:pPr>
      <w:r>
        <w:t>• Event ingestion honors schema constraints (Section 32.4) and idempotency expectations.</w:t>
      </w:r>
    </w:p>
    <w:p w14:paraId="2EA6FAAD">
      <w:pPr>
        <w:ind w:left="360"/>
      </w:pPr>
      <w:r>
        <w:t>• Metadata queries are read‑only and never return telemetry data nor proxy backend APIs.</w:t>
      </w:r>
    </w:p>
    <w:p w14:paraId="36F2DB37">
      <w:r>
        <w:t>Detailed validation scenarios and edge cases will be provided in the subsequent SRD section: Test Scenarios.</w:t>
      </w:r>
    </w:p>
    <w:p w14:paraId="7960BEC8">
      <w:r>
        <w:t>Section finalized on 2026-01-23T10:06:50Z</w:t>
      </w:r>
    </w:p>
    <w:p w14:paraId="3A96068B">
      <w:r>
        <w:br w:type="page"/>
      </w:r>
    </w:p>
    <w:p w14:paraId="2D787D57">
      <w:pPr>
        <w:pStyle w:val="2"/>
      </w:pPr>
      <w:r>
        <w:t>33.A Endpoint Parameters &amp; Minimal Responses (Addendum)</w:t>
      </w:r>
    </w:p>
    <w:p w14:paraId="2E2170A3">
      <w:r>
        <w:t>Status: Normative (SRD)</w:t>
      </w:r>
    </w:p>
    <w:p w14:paraId="4C03CA19">
      <w:r>
        <w:t>Intent: Tighten Section 33 with explicit parameter names and minimal response field lists. This addendum remains architectural and deliberately minimal; it does not introduce a formal OpenAPI specification.</w:t>
      </w:r>
    </w:p>
    <w:p w14:paraId="3F6DA80B">
      <w:pPr>
        <w:pStyle w:val="3"/>
      </w:pPr>
      <w:r>
        <w:t>33.A.1 Operational Event Ingestion — Parameters &amp; Minimal Responses</w:t>
      </w:r>
    </w:p>
    <w:p w14:paraId="1B495442">
      <w:r>
        <w:t>Endpoints covered: POST /api/v1/events, GET /api/v1/events/{id}, PUT /api/v1/events/{id}</w:t>
      </w:r>
    </w:p>
    <w:p w14:paraId="3DCCE372">
      <w:pPr>
        <w:pStyle w:val="4"/>
      </w:pPr>
      <w:r>
        <w:t>Request Headers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2C41A80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13170C5">
            <w:r>
              <w:t>Header</w:t>
            </w:r>
          </w:p>
        </w:tc>
        <w:tc>
          <w:tcPr>
            <w:tcW w:w="2160" w:type="dxa"/>
          </w:tcPr>
          <w:p w14:paraId="6453759D">
            <w:r>
              <w:t>Required</w:t>
            </w:r>
          </w:p>
        </w:tc>
        <w:tc>
          <w:tcPr>
            <w:tcW w:w="2160" w:type="dxa"/>
          </w:tcPr>
          <w:p w14:paraId="76DCD871">
            <w:r>
              <w:t>Example</w:t>
            </w:r>
          </w:p>
        </w:tc>
        <w:tc>
          <w:tcPr>
            <w:tcW w:w="2160" w:type="dxa"/>
          </w:tcPr>
          <w:p w14:paraId="47E826AA">
            <w:r>
              <w:t>Notes</w:t>
            </w:r>
          </w:p>
        </w:tc>
      </w:tr>
      <w:tr w14:paraId="03A3508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0FAB7BB">
            <w:r>
              <w:t>Authorization</w:t>
            </w:r>
          </w:p>
        </w:tc>
        <w:tc>
          <w:tcPr>
            <w:tcW w:w="2160" w:type="dxa"/>
          </w:tcPr>
          <w:p w14:paraId="023DCE0E">
            <w:r>
              <w:t>Yes</w:t>
            </w:r>
          </w:p>
        </w:tc>
        <w:tc>
          <w:tcPr>
            <w:tcW w:w="2160" w:type="dxa"/>
          </w:tcPr>
          <w:p w14:paraId="7DCA3396">
            <w:r>
              <w:t>Bearer &lt;token&gt;</w:t>
            </w:r>
          </w:p>
        </w:tc>
        <w:tc>
          <w:tcPr>
            <w:tcW w:w="2160" w:type="dxa"/>
          </w:tcPr>
          <w:p w14:paraId="046B38C3">
            <w:r>
              <w:t>Service/user token provisioned by Deep‑Observer.</w:t>
            </w:r>
          </w:p>
        </w:tc>
      </w:tr>
      <w:tr w14:paraId="1BCC52E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D408A20">
            <w:r>
              <w:t>Content-Type</w:t>
            </w:r>
          </w:p>
        </w:tc>
        <w:tc>
          <w:tcPr>
            <w:tcW w:w="2160" w:type="dxa"/>
          </w:tcPr>
          <w:p w14:paraId="70907996">
            <w:r>
              <w:t>Yes (POST/PUT)</w:t>
            </w:r>
          </w:p>
        </w:tc>
        <w:tc>
          <w:tcPr>
            <w:tcW w:w="2160" w:type="dxa"/>
          </w:tcPr>
          <w:p w14:paraId="1710C392">
            <w:r>
              <w:t>application/json</w:t>
            </w:r>
          </w:p>
        </w:tc>
        <w:tc>
          <w:tcPr>
            <w:tcW w:w="2160" w:type="dxa"/>
          </w:tcPr>
          <w:p w14:paraId="66452048">
            <w:r>
              <w:t>JSON body per Section 32.4 schema.</w:t>
            </w:r>
          </w:p>
        </w:tc>
      </w:tr>
      <w:tr w14:paraId="0300885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CA89069">
            <w:r>
              <w:t>Idempotency-Key</w:t>
            </w:r>
          </w:p>
        </w:tc>
        <w:tc>
          <w:tcPr>
            <w:tcW w:w="2160" w:type="dxa"/>
          </w:tcPr>
          <w:p w14:paraId="34ED79B5">
            <w:r>
              <w:t>Recommended (POST)</w:t>
            </w:r>
          </w:p>
        </w:tc>
        <w:tc>
          <w:tcPr>
            <w:tcW w:w="2160" w:type="dxa"/>
          </w:tcPr>
          <w:p w14:paraId="0F3E6806">
            <w:r>
              <w:t>c6d6b1e3-... (UUID)</w:t>
            </w:r>
          </w:p>
        </w:tc>
        <w:tc>
          <w:tcPr>
            <w:tcW w:w="2160" w:type="dxa"/>
          </w:tcPr>
          <w:p w14:paraId="255F93D4">
            <w:r>
              <w:t>Prevents duplicate creation on retries.</w:t>
            </w:r>
          </w:p>
        </w:tc>
      </w:tr>
    </w:tbl>
    <w:p w14:paraId="1E98BB53">
      <w:pPr>
        <w:pStyle w:val="4"/>
      </w:pPr>
      <w:r>
        <w:t>Path &amp; Query Parameters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42"/>
        <w:gridCol w:w="1652"/>
        <w:gridCol w:w="1647"/>
        <w:gridCol w:w="1690"/>
        <w:gridCol w:w="1725"/>
      </w:tblGrid>
      <w:tr w14:paraId="67F482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0C890CF9">
            <w:r>
              <w:t>Endpoint</w:t>
            </w:r>
          </w:p>
        </w:tc>
        <w:tc>
          <w:tcPr>
            <w:tcW w:w="1728" w:type="dxa"/>
          </w:tcPr>
          <w:p w14:paraId="25D89A2A">
            <w:r>
              <w:t>Param</w:t>
            </w:r>
          </w:p>
        </w:tc>
        <w:tc>
          <w:tcPr>
            <w:tcW w:w="1728" w:type="dxa"/>
          </w:tcPr>
          <w:p w14:paraId="7075F4CD">
            <w:r>
              <w:t>Type</w:t>
            </w:r>
          </w:p>
        </w:tc>
        <w:tc>
          <w:tcPr>
            <w:tcW w:w="1728" w:type="dxa"/>
          </w:tcPr>
          <w:p w14:paraId="0AE2AF77">
            <w:r>
              <w:t>Required</w:t>
            </w:r>
          </w:p>
        </w:tc>
        <w:tc>
          <w:tcPr>
            <w:tcW w:w="1728" w:type="dxa"/>
          </w:tcPr>
          <w:p w14:paraId="065EDA5E">
            <w:r>
              <w:t>Notes</w:t>
            </w:r>
          </w:p>
        </w:tc>
      </w:tr>
      <w:tr w14:paraId="1A6063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51BDC41D">
            <w:r>
              <w:t>/api/v1/events/{id}</w:t>
            </w:r>
          </w:p>
        </w:tc>
        <w:tc>
          <w:tcPr>
            <w:tcW w:w="1728" w:type="dxa"/>
          </w:tcPr>
          <w:p w14:paraId="662D0582">
            <w:r>
              <w:t>id</w:t>
            </w:r>
          </w:p>
        </w:tc>
        <w:tc>
          <w:tcPr>
            <w:tcW w:w="1728" w:type="dxa"/>
          </w:tcPr>
          <w:p w14:paraId="66D1567C">
            <w:r>
              <w:t>string</w:t>
            </w:r>
          </w:p>
        </w:tc>
        <w:tc>
          <w:tcPr>
            <w:tcW w:w="1728" w:type="dxa"/>
          </w:tcPr>
          <w:p w14:paraId="5F6F38AD">
            <w:r>
              <w:t>Yes (GET/PUT)</w:t>
            </w:r>
          </w:p>
        </w:tc>
        <w:tc>
          <w:tcPr>
            <w:tcW w:w="1728" w:type="dxa"/>
          </w:tcPr>
          <w:p w14:paraId="0CB0C09B">
            <w:r>
              <w:t>Client-assigned identifier for deterministic upsert or lookup.</w:t>
            </w:r>
          </w:p>
        </w:tc>
      </w:tr>
      <w:tr w14:paraId="0B9E58D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2C716735">
            <w:r>
              <w:t>/api/v1/events</w:t>
            </w:r>
          </w:p>
        </w:tc>
        <w:tc>
          <w:tcPr>
            <w:tcW w:w="1728" w:type="dxa"/>
          </w:tcPr>
          <w:p w14:paraId="272B5364">
            <w:r>
              <w:t>none</w:t>
            </w:r>
          </w:p>
        </w:tc>
        <w:tc>
          <w:tcPr>
            <w:tcW w:w="1728" w:type="dxa"/>
          </w:tcPr>
          <w:p w14:paraId="10DFDF35">
            <w:r>
              <w:t>-</w:t>
            </w:r>
          </w:p>
        </w:tc>
        <w:tc>
          <w:tcPr>
            <w:tcW w:w="1728" w:type="dxa"/>
          </w:tcPr>
          <w:p w14:paraId="4324C2F2">
            <w:r>
              <w:t>n/a</w:t>
            </w:r>
          </w:p>
        </w:tc>
        <w:tc>
          <w:tcPr>
            <w:tcW w:w="1728" w:type="dxa"/>
          </w:tcPr>
          <w:p w14:paraId="363ED6DC">
            <w:r>
              <w:t>Filtering is provided via GET /api/v1/events in 33.3.</w:t>
            </w:r>
          </w:p>
        </w:tc>
      </w:tr>
    </w:tbl>
    <w:p w14:paraId="1B7F2874">
      <w:pPr>
        <w:pStyle w:val="4"/>
      </w:pPr>
      <w:r>
        <w:t>Minimal Response Fields</w:t>
      </w:r>
    </w:p>
    <w:p w14:paraId="7D453D78">
      <w:r>
        <w:t>Responses intentionally surface identifiers and references only; full event content is governed by Section 32.4.</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42"/>
        <w:gridCol w:w="1390"/>
        <w:gridCol w:w="1636"/>
        <w:gridCol w:w="2142"/>
        <w:gridCol w:w="1546"/>
      </w:tblGrid>
      <w:tr w14:paraId="5395DE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57BC321">
            <w:r>
              <w:t>Endpoint</w:t>
            </w:r>
          </w:p>
        </w:tc>
        <w:tc>
          <w:tcPr>
            <w:tcW w:w="1728" w:type="dxa"/>
          </w:tcPr>
          <w:p w14:paraId="6B4AC64F">
            <w:r>
              <w:t>HTTP</w:t>
            </w:r>
          </w:p>
        </w:tc>
        <w:tc>
          <w:tcPr>
            <w:tcW w:w="1728" w:type="dxa"/>
          </w:tcPr>
          <w:p w14:paraId="629234A5">
            <w:r>
              <w:t>Body (subset)</w:t>
            </w:r>
          </w:p>
        </w:tc>
        <w:tc>
          <w:tcPr>
            <w:tcW w:w="1728" w:type="dxa"/>
          </w:tcPr>
          <w:p w14:paraId="4BFF62B1">
            <w:r>
              <w:t>Headers (subset)</w:t>
            </w:r>
          </w:p>
        </w:tc>
        <w:tc>
          <w:tcPr>
            <w:tcW w:w="1728" w:type="dxa"/>
          </w:tcPr>
          <w:p w14:paraId="57B6AF75">
            <w:r>
              <w:t>Notes</w:t>
            </w:r>
          </w:p>
        </w:tc>
      </w:tr>
      <w:tr w14:paraId="6897F29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722BC87">
            <w:r>
              <w:t>POST /api/v1/events</w:t>
            </w:r>
          </w:p>
        </w:tc>
        <w:tc>
          <w:tcPr>
            <w:tcW w:w="1728" w:type="dxa"/>
          </w:tcPr>
          <w:p w14:paraId="0B9A6A9A">
            <w:r>
              <w:t>201</w:t>
            </w:r>
          </w:p>
        </w:tc>
        <w:tc>
          <w:tcPr>
            <w:tcW w:w="1728" w:type="dxa"/>
          </w:tcPr>
          <w:p w14:paraId="55400E68">
            <w:r>
              <w:t>{ id, timestamp, event_type, environment, service.name?, status?, links[]? }</w:t>
            </w:r>
          </w:p>
        </w:tc>
        <w:tc>
          <w:tcPr>
            <w:tcW w:w="1728" w:type="dxa"/>
          </w:tcPr>
          <w:p w14:paraId="6631C1F2">
            <w:r>
              <w:t>Location: /api/v1/events/{id}</w:t>
            </w:r>
          </w:p>
        </w:tc>
        <w:tc>
          <w:tcPr>
            <w:tcW w:w="1728" w:type="dxa"/>
          </w:tcPr>
          <w:p w14:paraId="6519F28C">
            <w:r>
              <w:t>Returns assigned id; Location points to resource.</w:t>
            </w:r>
          </w:p>
        </w:tc>
      </w:tr>
      <w:tr w14:paraId="4FCDEB1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385A11E">
            <w:r>
              <w:t>GET /api/v1/events/{id}</w:t>
            </w:r>
          </w:p>
        </w:tc>
        <w:tc>
          <w:tcPr>
            <w:tcW w:w="1728" w:type="dxa"/>
          </w:tcPr>
          <w:p w14:paraId="08240BFD">
            <w:r>
              <w:t>200</w:t>
            </w:r>
          </w:p>
        </w:tc>
        <w:tc>
          <w:tcPr>
            <w:tcW w:w="1728" w:type="dxa"/>
          </w:tcPr>
          <w:p w14:paraId="0C2F5AEF">
            <w:r>
              <w:t>{ id, timestamp, event_type, environment, service.name?, status?, links[]?, created_at, updated_at }</w:t>
            </w:r>
          </w:p>
        </w:tc>
        <w:tc>
          <w:tcPr>
            <w:tcW w:w="1728" w:type="dxa"/>
          </w:tcPr>
          <w:p w14:paraId="7C9D444D">
            <w:r>
              <w:t>-</w:t>
            </w:r>
          </w:p>
        </w:tc>
        <w:tc>
          <w:tcPr>
            <w:tcW w:w="1728" w:type="dxa"/>
          </w:tcPr>
          <w:p w14:paraId="0BFB92C9">
            <w:r>
              <w:t>Returns stored event with system timestamps.</w:t>
            </w:r>
          </w:p>
        </w:tc>
      </w:tr>
      <w:tr w14:paraId="46B94E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Pr>
          <w:p w14:paraId="6E98DC67">
            <w:r>
              <w:t>PUT /api/v1/events/{id}</w:t>
            </w:r>
          </w:p>
        </w:tc>
        <w:tc>
          <w:tcPr>
            <w:tcW w:w="1728" w:type="dxa"/>
          </w:tcPr>
          <w:p w14:paraId="6F47F935">
            <w:r>
              <w:t>200/201</w:t>
            </w:r>
          </w:p>
        </w:tc>
        <w:tc>
          <w:tcPr>
            <w:tcW w:w="1728" w:type="dxa"/>
          </w:tcPr>
          <w:p w14:paraId="5621ABB9">
            <w:r>
              <w:t>{ id, timestamp, event_type, environment, service.name? }</w:t>
            </w:r>
          </w:p>
        </w:tc>
        <w:tc>
          <w:tcPr>
            <w:tcW w:w="1728" w:type="dxa"/>
          </w:tcPr>
          <w:p w14:paraId="16AA1F59">
            <w:r>
              <w:t>Location: /api/v1/events/{id}</w:t>
            </w:r>
          </w:p>
        </w:tc>
        <w:tc>
          <w:tcPr>
            <w:tcW w:w="1728" w:type="dxa"/>
          </w:tcPr>
          <w:p w14:paraId="12A08913">
            <w:r>
              <w:t>200 if replaced; 201 if created.</w:t>
            </w:r>
          </w:p>
        </w:tc>
      </w:tr>
    </w:tbl>
    <w:p w14:paraId="374D8845">
      <w:pPr>
        <w:ind w:left="360"/>
      </w:pPr>
      <w:r>
        <w:t>• Error surface: 400 (validation), 401/403 (authz), 404 (not found), 409 (idempotency conflict).</w:t>
      </w:r>
    </w:p>
    <w:p w14:paraId="33D56ECE">
      <w:pPr>
        <w:ind w:left="360"/>
      </w:pPr>
      <w:r>
        <w:t>• Server MAY include an annotation reference for Grafana (e.g., annotation_uid) when available.</w:t>
      </w:r>
    </w:p>
    <w:p w14:paraId="5B3D75A1">
      <w:pPr>
        <w:pStyle w:val="3"/>
      </w:pPr>
      <w:r>
        <w:t>33.A.2 Metadata Query — Parameters &amp; Minimal Responses</w:t>
      </w:r>
    </w:p>
    <w:p w14:paraId="3A1A5BAE">
      <w:r>
        <w:t>Endpoints covered: GET /api/v1/services, /api/v1/services/{serviceName}, /api/v1/environments, /api/v1/events, /api/v1/dashboards</w:t>
      </w:r>
    </w:p>
    <w:p w14:paraId="59003A46">
      <w:pPr>
        <w:pStyle w:val="4"/>
      </w:pPr>
      <w:r>
        <w:t>Common Query Parameters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50"/>
        <w:gridCol w:w="1070"/>
        <w:gridCol w:w="1863"/>
        <w:gridCol w:w="4673"/>
      </w:tblGrid>
      <w:tr w14:paraId="0FAE20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CD70B36">
            <w:r>
              <w:t>Param</w:t>
            </w:r>
          </w:p>
        </w:tc>
        <w:tc>
          <w:tcPr>
            <w:tcW w:w="2160" w:type="dxa"/>
          </w:tcPr>
          <w:p w14:paraId="3F77BF2B">
            <w:r>
              <w:t>Type</w:t>
            </w:r>
          </w:p>
        </w:tc>
        <w:tc>
          <w:tcPr>
            <w:tcW w:w="2160" w:type="dxa"/>
          </w:tcPr>
          <w:p w14:paraId="28D2B8DA">
            <w:r>
              <w:t>Applies To</w:t>
            </w:r>
          </w:p>
        </w:tc>
        <w:tc>
          <w:tcPr>
            <w:tcW w:w="2160" w:type="dxa"/>
          </w:tcPr>
          <w:p w14:paraId="520C3619">
            <w:r>
              <w:t>Notes</w:t>
            </w:r>
          </w:p>
        </w:tc>
      </w:tr>
      <w:tr w14:paraId="6D35A8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ECCA8E7">
            <w:r>
              <w:t>page</w:t>
            </w:r>
          </w:p>
        </w:tc>
        <w:tc>
          <w:tcPr>
            <w:tcW w:w="2160" w:type="dxa"/>
          </w:tcPr>
          <w:p w14:paraId="76D14F1D">
            <w:r>
              <w:t>integer</w:t>
            </w:r>
          </w:p>
        </w:tc>
        <w:tc>
          <w:tcPr>
            <w:tcW w:w="2160" w:type="dxa"/>
          </w:tcPr>
          <w:p w14:paraId="2339E39F">
            <w:r>
              <w:t>list endpoints</w:t>
            </w:r>
          </w:p>
        </w:tc>
        <w:tc>
          <w:tcPr>
            <w:tcW w:w="2160" w:type="dxa"/>
          </w:tcPr>
          <w:p w14:paraId="125B6447">
            <w:r>
              <w:t>1-based page index; optional.</w:t>
            </w:r>
          </w:p>
        </w:tc>
      </w:tr>
      <w:tr w14:paraId="5275558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A024EB8">
            <w:r>
              <w:t>limit</w:t>
            </w:r>
          </w:p>
        </w:tc>
        <w:tc>
          <w:tcPr>
            <w:tcW w:w="2160" w:type="dxa"/>
          </w:tcPr>
          <w:p w14:paraId="56A109F9">
            <w:r>
              <w:t>integer</w:t>
            </w:r>
          </w:p>
        </w:tc>
        <w:tc>
          <w:tcPr>
            <w:tcW w:w="2160" w:type="dxa"/>
          </w:tcPr>
          <w:p w14:paraId="32CEA4D0">
            <w:r>
              <w:t>list endpoints</w:t>
            </w:r>
          </w:p>
        </w:tc>
        <w:tc>
          <w:tcPr>
            <w:tcW w:w="2160" w:type="dxa"/>
          </w:tcPr>
          <w:p w14:paraId="178A89C1">
            <w:r>
              <w:t>Default 50; max 200.</w:t>
            </w:r>
          </w:p>
        </w:tc>
      </w:tr>
      <w:tr w14:paraId="4F637F5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614A704">
            <w:r>
              <w:t>from</w:t>
            </w:r>
          </w:p>
        </w:tc>
        <w:tc>
          <w:tcPr>
            <w:tcW w:w="2160" w:type="dxa"/>
          </w:tcPr>
          <w:p w14:paraId="5A00217F">
            <w:r>
              <w:t>RFC3339 timestamp</w:t>
            </w:r>
          </w:p>
        </w:tc>
        <w:tc>
          <w:tcPr>
            <w:tcW w:w="2160" w:type="dxa"/>
          </w:tcPr>
          <w:p w14:paraId="73726E9B">
            <w:r>
              <w:t>/api/v1/events</w:t>
            </w:r>
          </w:p>
        </w:tc>
        <w:tc>
          <w:tcPr>
            <w:tcW w:w="2160" w:type="dxa"/>
          </w:tcPr>
          <w:p w14:paraId="5B4D1852">
            <w:r>
              <w:t>Inclusive lower bound for event queries.</w:t>
            </w:r>
          </w:p>
        </w:tc>
      </w:tr>
      <w:tr w14:paraId="4BD295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1EF0951">
            <w:r>
              <w:t>to</w:t>
            </w:r>
          </w:p>
        </w:tc>
        <w:tc>
          <w:tcPr>
            <w:tcW w:w="2160" w:type="dxa"/>
          </w:tcPr>
          <w:p w14:paraId="5FF6EEA0">
            <w:r>
              <w:t>RFC3339 timestamp</w:t>
            </w:r>
          </w:p>
        </w:tc>
        <w:tc>
          <w:tcPr>
            <w:tcW w:w="2160" w:type="dxa"/>
          </w:tcPr>
          <w:p w14:paraId="64D1B6AF">
            <w:r>
              <w:t>/api/v1/events</w:t>
            </w:r>
          </w:p>
        </w:tc>
        <w:tc>
          <w:tcPr>
            <w:tcW w:w="2160" w:type="dxa"/>
          </w:tcPr>
          <w:p w14:paraId="58077EA6">
            <w:r>
              <w:t>Exclusive upper bound for event queries.</w:t>
            </w:r>
          </w:p>
        </w:tc>
      </w:tr>
      <w:tr w14:paraId="7D6D47D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8F04CE0">
            <w:r>
              <w:t>service</w:t>
            </w:r>
          </w:p>
        </w:tc>
        <w:tc>
          <w:tcPr>
            <w:tcW w:w="2160" w:type="dxa"/>
          </w:tcPr>
          <w:p w14:paraId="72C7F937">
            <w:r>
              <w:t>string</w:t>
            </w:r>
          </w:p>
        </w:tc>
        <w:tc>
          <w:tcPr>
            <w:tcW w:w="2160" w:type="dxa"/>
          </w:tcPr>
          <w:p w14:paraId="39C47C74">
            <w:r>
              <w:t>/api/v1/events, /api/v1/dashboards</w:t>
            </w:r>
          </w:p>
        </w:tc>
        <w:tc>
          <w:tcPr>
            <w:tcW w:w="2160" w:type="dxa"/>
          </w:tcPr>
          <w:p w14:paraId="5B74A4DF">
            <w:r>
              <w:t>Filters by service.name.</w:t>
            </w:r>
          </w:p>
        </w:tc>
      </w:tr>
      <w:tr w14:paraId="17E453F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98F5E94">
            <w:r>
              <w:t>environment</w:t>
            </w:r>
          </w:p>
        </w:tc>
        <w:tc>
          <w:tcPr>
            <w:tcW w:w="2160" w:type="dxa"/>
          </w:tcPr>
          <w:p w14:paraId="3D48CADF">
            <w:r>
              <w:t>string</w:t>
            </w:r>
          </w:p>
        </w:tc>
        <w:tc>
          <w:tcPr>
            <w:tcW w:w="2160" w:type="dxa"/>
          </w:tcPr>
          <w:p w14:paraId="33E8D58B">
            <w:r>
              <w:t>/api/v1/events, /api/v1/services</w:t>
            </w:r>
          </w:p>
        </w:tc>
        <w:tc>
          <w:tcPr>
            <w:tcW w:w="2160" w:type="dxa"/>
          </w:tcPr>
          <w:p w14:paraId="5172B6F0">
            <w:r>
              <w:t>Filters by environment tag/association.</w:t>
            </w:r>
          </w:p>
        </w:tc>
      </w:tr>
      <w:tr w14:paraId="4947DC9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5FC5C564">
            <w:r>
              <w:t>type</w:t>
            </w:r>
          </w:p>
        </w:tc>
        <w:tc>
          <w:tcPr>
            <w:tcW w:w="2160" w:type="dxa"/>
          </w:tcPr>
          <w:p w14:paraId="0243E3FC">
            <w:r>
              <w:t>string enum</w:t>
            </w:r>
          </w:p>
        </w:tc>
        <w:tc>
          <w:tcPr>
            <w:tcW w:w="2160" w:type="dxa"/>
          </w:tcPr>
          <w:p w14:paraId="0D1799EA">
            <w:r>
              <w:t>/api/v1/events</w:t>
            </w:r>
          </w:p>
        </w:tc>
        <w:tc>
          <w:tcPr>
            <w:tcW w:w="2160" w:type="dxa"/>
          </w:tcPr>
          <w:p w14:paraId="37A538B3">
            <w:r>
              <w:t>deployment|incident|config_change|maintenance|other.</w:t>
            </w:r>
          </w:p>
        </w:tc>
      </w:tr>
      <w:tr w14:paraId="4316FFE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BCC0C58">
            <w:r>
              <w:t>severity</w:t>
            </w:r>
          </w:p>
        </w:tc>
        <w:tc>
          <w:tcPr>
            <w:tcW w:w="2160" w:type="dxa"/>
          </w:tcPr>
          <w:p w14:paraId="4483C098">
            <w:r>
              <w:t>string enum</w:t>
            </w:r>
          </w:p>
        </w:tc>
        <w:tc>
          <w:tcPr>
            <w:tcW w:w="2160" w:type="dxa"/>
          </w:tcPr>
          <w:p w14:paraId="36F246A9">
            <w:r>
              <w:t>/api/v1/events</w:t>
            </w:r>
          </w:p>
        </w:tc>
        <w:tc>
          <w:tcPr>
            <w:tcW w:w="2160" w:type="dxa"/>
          </w:tcPr>
          <w:p w14:paraId="0D688B83">
            <w:r>
              <w:t>info|warning|critical (when applicable).</w:t>
            </w:r>
          </w:p>
        </w:tc>
      </w:tr>
      <w:tr w14:paraId="796317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6F73816">
            <w:r>
              <w:t>namespace</w:t>
            </w:r>
          </w:p>
        </w:tc>
        <w:tc>
          <w:tcPr>
            <w:tcW w:w="2160" w:type="dxa"/>
          </w:tcPr>
          <w:p w14:paraId="455D3783">
            <w:r>
              <w:t>string</w:t>
            </w:r>
          </w:p>
        </w:tc>
        <w:tc>
          <w:tcPr>
            <w:tcW w:w="2160" w:type="dxa"/>
          </w:tcPr>
          <w:p w14:paraId="5BE8A9CF">
            <w:r>
              <w:t>/api/v1/services</w:t>
            </w:r>
          </w:p>
        </w:tc>
        <w:tc>
          <w:tcPr>
            <w:tcW w:w="2160" w:type="dxa"/>
          </w:tcPr>
          <w:p w14:paraId="3E888B4F">
            <w:r>
              <w:t>Filters by service.namespace.</w:t>
            </w:r>
          </w:p>
        </w:tc>
      </w:tr>
      <w:tr w14:paraId="06BE64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44D8FCD">
            <w:r>
              <w:t>tag</w:t>
            </w:r>
          </w:p>
        </w:tc>
        <w:tc>
          <w:tcPr>
            <w:tcW w:w="2160" w:type="dxa"/>
          </w:tcPr>
          <w:p w14:paraId="342AC01F">
            <w:r>
              <w:t>string</w:t>
            </w:r>
          </w:p>
        </w:tc>
        <w:tc>
          <w:tcPr>
            <w:tcW w:w="2160" w:type="dxa"/>
          </w:tcPr>
          <w:p w14:paraId="172DE5B0">
            <w:r>
              <w:t>/api/v1/dashboards</w:t>
            </w:r>
          </w:p>
        </w:tc>
        <w:tc>
          <w:tcPr>
            <w:tcW w:w="2160" w:type="dxa"/>
          </w:tcPr>
          <w:p w14:paraId="01C091BD">
            <w:r>
              <w:t>Dashboard tag filter (metadata only).</w:t>
            </w:r>
          </w:p>
        </w:tc>
      </w:tr>
    </w:tbl>
    <w:p w14:paraId="27DF9BFE">
      <w:pPr>
        <w:pStyle w:val="4"/>
      </w:pPr>
      <w:r>
        <w:t>Minimal Response Shapes (Subset Fields)</w:t>
      </w:r>
    </w:p>
    <w:p w14:paraId="44F81221">
      <w:r>
        <w:t>These responses deliberately exclude telemetry content. They provide identifiers and references required for discovery and navigation.</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322"/>
        <w:gridCol w:w="2780"/>
        <w:gridCol w:w="2754"/>
      </w:tblGrid>
      <w:tr w14:paraId="0203320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3781212">
            <w:r>
              <w:t>Endpoint</w:t>
            </w:r>
          </w:p>
        </w:tc>
        <w:tc>
          <w:tcPr>
            <w:tcW w:w="2880" w:type="dxa"/>
          </w:tcPr>
          <w:p w14:paraId="5A68BE8C">
            <w:r>
              <w:t>Item Fields (subset)</w:t>
            </w:r>
          </w:p>
        </w:tc>
        <w:tc>
          <w:tcPr>
            <w:tcW w:w="2880" w:type="dxa"/>
          </w:tcPr>
          <w:p w14:paraId="51D00AD2">
            <w:r>
              <w:t>Notes</w:t>
            </w:r>
          </w:p>
        </w:tc>
      </w:tr>
      <w:tr w14:paraId="5C1451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24F9A5A">
            <w:r>
              <w:t>GET /api/v1/services</w:t>
            </w:r>
          </w:p>
        </w:tc>
        <w:tc>
          <w:tcPr>
            <w:tcW w:w="2880" w:type="dxa"/>
          </w:tcPr>
          <w:p w14:paraId="2E6763E5">
            <w:r>
              <w:t>{ name, namespace?, owner?, environments[], dashboard_uids[] }</w:t>
            </w:r>
          </w:p>
        </w:tc>
        <w:tc>
          <w:tcPr>
            <w:tcW w:w="2880" w:type="dxa"/>
          </w:tcPr>
          <w:p w14:paraId="1797DC6D">
            <w:r>
              <w:t>Each list item is a service descriptor summary.</w:t>
            </w:r>
          </w:p>
        </w:tc>
      </w:tr>
      <w:tr w14:paraId="2181DE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95EDD1C">
            <w:r>
              <w:t>GET /api/v1/services/{serviceName}</w:t>
            </w:r>
          </w:p>
        </w:tc>
        <w:tc>
          <w:tcPr>
            <w:tcW w:w="2880" w:type="dxa"/>
          </w:tcPr>
          <w:p w14:paraId="153A27EC">
            <w:r>
              <w:t>{ name, namespace?, owner?, labels?, environments[], dashboard_uids[], created_at, updated_at }</w:t>
            </w:r>
          </w:p>
        </w:tc>
        <w:tc>
          <w:tcPr>
            <w:tcW w:w="2880" w:type="dxa"/>
          </w:tcPr>
          <w:p w14:paraId="3416F515">
            <w:r>
              <w:t>Detailed descriptor, read‑only.</w:t>
            </w:r>
          </w:p>
        </w:tc>
      </w:tr>
      <w:tr w14:paraId="3A83DD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B6C3799">
            <w:r>
              <w:t>GET /api/v1/environments</w:t>
            </w:r>
          </w:p>
        </w:tc>
        <w:tc>
          <w:tcPr>
            <w:tcW w:w="2880" w:type="dxa"/>
          </w:tcPr>
          <w:p w14:paraId="57D2341D">
            <w:r>
              <w:t>{ key, display_name, is_default? }</w:t>
            </w:r>
          </w:p>
        </w:tc>
        <w:tc>
          <w:tcPr>
            <w:tcW w:w="2880" w:type="dxa"/>
          </w:tcPr>
          <w:p w14:paraId="735EF1C6">
            <w:r>
              <w:t>Stable identifiers for selection and filtering.</w:t>
            </w:r>
          </w:p>
        </w:tc>
      </w:tr>
      <w:tr w14:paraId="753D6E3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FA4DEFE">
            <w:r>
              <w:t>GET /api/v1/events</w:t>
            </w:r>
          </w:p>
        </w:tc>
        <w:tc>
          <w:tcPr>
            <w:tcW w:w="2880" w:type="dxa"/>
          </w:tcPr>
          <w:p w14:paraId="3D741B4B">
            <w:r>
              <w:t>{ id, timestamp, event_type, environment, service.name?, severity?, status? }</w:t>
            </w:r>
          </w:p>
        </w:tc>
        <w:tc>
          <w:tcPr>
            <w:tcW w:w="2880" w:type="dxa"/>
          </w:tcPr>
          <w:p w14:paraId="67044FBD">
            <w:r>
              <w:t>Time‑windowed listing for correlation views.</w:t>
            </w:r>
          </w:p>
        </w:tc>
      </w:tr>
      <w:tr w14:paraId="7614B5D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A40DDBF">
            <w:r>
              <w:t>GET /api/v1/dashboards</w:t>
            </w:r>
          </w:p>
        </w:tc>
        <w:tc>
          <w:tcPr>
            <w:tcW w:w="2880" w:type="dxa"/>
          </w:tcPr>
          <w:p w14:paraId="381EF586">
            <w:r>
              <w:t>{ uid, title, url, tags[] }</w:t>
            </w:r>
          </w:p>
        </w:tc>
        <w:tc>
          <w:tcPr>
            <w:tcW w:w="2880" w:type="dxa"/>
          </w:tcPr>
          <w:p w14:paraId="10498EAC">
            <w:r>
              <w:t>Grafana UID references only; url is a reference link, not a proxy.</w:t>
            </w:r>
          </w:p>
        </w:tc>
      </w:tr>
    </w:tbl>
    <w:p w14:paraId="17FBF0C1">
      <w:pPr>
        <w:pStyle w:val="4"/>
      </w:pPr>
      <w:r>
        <w:t>Authentication &amp; Content Rules (Applies to 33.2/33.3)</w:t>
      </w:r>
    </w:p>
    <w:p w14:paraId="26226603">
      <w:pPr>
        <w:ind w:left="360"/>
      </w:pPr>
      <w:r>
        <w:t>• Authorization: Bearer &lt;token&gt; (service or user tokens).</w:t>
      </w:r>
    </w:p>
    <w:p w14:paraId="27654805">
      <w:pPr>
        <w:ind w:left="360"/>
      </w:pPr>
      <w:r>
        <w:t>• Content type: application/json for request and response bodies.</w:t>
      </w:r>
    </w:p>
    <w:p w14:paraId="3700B0D0">
      <w:pPr>
        <w:ind w:left="360"/>
      </w:pPr>
      <w:r>
        <w:t>• Rate limits MAY be applied to protect the control plane; clients SHOULD implement retry with backoff for 429.</w:t>
      </w:r>
    </w:p>
    <w:p w14:paraId="463C31D5">
      <w:r>
        <w:t>Addendum finalized on 2026-01-23T10:11:21Z</w:t>
      </w:r>
    </w:p>
    <w:p w14:paraId="239D5447">
      <w:r>
        <w:br w:type="page"/>
      </w:r>
    </w:p>
    <w:p w14:paraId="764074B9">
      <w:pPr>
        <w:pStyle w:val="3"/>
      </w:pPr>
      <w:r>
        <w:t>14.1 Explicitly Deferred Compliance Capabilities (Non-Goals for MVP)</w:t>
      </w:r>
    </w:p>
    <w:p w14:paraId="08DB8A36">
      <w:r>
        <w:t>Status: Normative (SRD)</w:t>
      </w:r>
    </w:p>
    <w:p w14:paraId="7273047E">
      <w:r>
        <w:t>The following compliance-related capabilities are explicitly deferred and are not in scope for the MVP. Their exclusion is intentional and documented to preserve architectural clarity and implementation focus.</w:t>
      </w:r>
    </w:p>
    <w:p w14:paraId="2A2C74D3">
      <w:r>
        <w:t>Audit logging</w:t>
      </w:r>
    </w:p>
    <w:p w14:paraId="186681E3">
      <w:pPr>
        <w:ind w:left="360"/>
      </w:pPr>
      <w:r>
        <w:t>• The Deep‑Observer platform does not provide immutable or regulatory-grade audit trails.</w:t>
      </w:r>
    </w:p>
    <w:p w14:paraId="5C1BA9C7">
      <w:pPr>
        <w:ind w:left="360"/>
      </w:pPr>
      <w:r>
        <w:t>• Operational events are designed for observability correlation, not compliance auditing.</w:t>
      </w:r>
    </w:p>
    <w:p w14:paraId="3F5D9504">
      <w:r>
        <w:t>PII governance and data classification</w:t>
      </w:r>
    </w:p>
    <w:p w14:paraId="0C787203">
      <w:pPr>
        <w:ind w:left="360"/>
      </w:pPr>
      <w:r>
        <w:t>• The Deep‑Observer platform assumes upstream redaction at the application level.</w:t>
      </w:r>
    </w:p>
    <w:p w14:paraId="52CC109F">
      <w:pPr>
        <w:ind w:left="360"/>
      </w:pPr>
      <w:r>
        <w:t>• The Deep‑Observer platform does not perform automated detection, masking, or classification of personal data.</w:t>
      </w:r>
    </w:p>
    <w:p w14:paraId="4B8BE03B">
      <w:r>
        <w:t>Long-term compliance retention</w:t>
      </w:r>
    </w:p>
    <w:p w14:paraId="0055CB1C">
      <w:pPr>
        <w:ind w:left="360"/>
      </w:pPr>
      <w:r>
        <w:t>• Retention policies are operational (cost and performance driven), not regulatory.</w:t>
      </w:r>
    </w:p>
    <w:p w14:paraId="560067BC">
      <w:pPr>
        <w:ind w:left="360"/>
      </w:pPr>
      <w:r>
        <w:t>• Legal hold, retention guarantees, and compliance-mandated archival are out of scope.</w:t>
      </w:r>
    </w:p>
    <w:p w14:paraId="214B9270">
      <w:r>
        <w:t>These capabilities may be addressed in future versions if the Deep‑Observer platform is extended beyond observability into regulated operational domains.</w:t>
      </w:r>
    </w:p>
    <w:p w14:paraId="6A1C4AEE">
      <w:r>
        <w:t>Subsection added on 2026-01-23T10:17:12Z</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877B08"/>
    <w:rsid w:val="1CF42DAE"/>
    <w:rsid w:val="69AE6B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132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Dang Duy Quang (FPL CT)</cp:lastModifiedBy>
  <dcterms:modified xsi:type="dcterms:W3CDTF">2026-01-23T15:30:50Z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E36E07B7C28F4959A5F9FA1F0FCD34BE_12</vt:lpwstr>
  </property>
</Properties>
</file>