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STHeiti" w:hAnsi="STHeiti" w:eastAsia="STHeiti"/>
          <w:b/>
          <w:i w:val="0"/>
          <w:color w:val="1F4E78"/>
          <w:sz w:val="40"/>
        </w:rPr>
        <w:t>FDE 项目运行规则（1.0）</w:t>
      </w:r>
    </w:p>
    <w:p>
      <w:pPr>
        <w:spacing w:after="200"/>
        <w:jc w:val="center"/>
      </w:pPr>
      <w:r>
        <w:rPr>
          <w:rFonts w:ascii="STHeiti" w:hAnsi="STHeiti" w:eastAsia="STHeiti"/>
          <w:b w:val="0"/>
          <w:i w:val="0"/>
          <w:color w:val="666666"/>
          <w:sz w:val="20"/>
        </w:rPr>
        <w:t>可编辑工作表单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1. 目的与适用范围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本规则用于管理元序智能的 AI 入企项目。FDE 对客户业务目标、需求澄清、项目推进、用户采用、验收证据和资产沉淀负责；技术团队对技术可行性、开发质量、安全与部署边界负责。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2. 角色与边界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val="369" w:hRule="atLeast"/>
          <w:cantSplit/>
          <w:tblHeader w:val="true"/>
        </w:trPr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事项</w:t>
            </w:r>
          </w:p>
        </w:tc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FDE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技术负责人/程序员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客户业务负责人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公司授权人</w:t>
            </w:r>
          </w:p>
        </w:tc>
      </w:tr>
      <w:tr>
        <w:trPr>
          <w:trHeight w:val="482" w:hRule="atLeast"/>
          <w:cantSplit/>
        </w:trPr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客户问题与现状流程</w:t>
            </w:r>
          </w:p>
        </w:tc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主责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参与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确认/提供事实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知情</w:t>
            </w:r>
          </w:p>
        </w:tc>
      </w:tr>
      <w:tr>
        <w:trPr>
          <w:trHeight w:val="482" w:hRule="atLeast"/>
          <w:cantSplit/>
        </w:trPr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场景选择与业务目标</w:t>
            </w:r>
          </w:p>
        </w:tc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主责提出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评估可行性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确认优先级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重大项目确认</w:t>
            </w:r>
          </w:p>
        </w:tc>
      </w:tr>
      <w:tr>
        <w:trPr>
          <w:trHeight w:val="482" w:hRule="atLeast"/>
          <w:cantSplit/>
        </w:trPr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技术方案、工期与安全</w:t>
            </w:r>
          </w:p>
        </w:tc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提供业务约束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主责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配合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重大风险确认</w:t>
            </w:r>
          </w:p>
        </w:tc>
      </w:tr>
      <w:tr>
        <w:trPr>
          <w:trHeight w:val="482" w:hRule="atLeast"/>
          <w:cantSplit/>
        </w:trPr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报价、合同、重大范围变更</w:t>
            </w:r>
          </w:p>
        </w:tc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整理事实，不单独承诺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评估成本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确认需求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主责批准</w:t>
            </w:r>
          </w:p>
        </w:tc>
      </w:tr>
      <w:tr>
        <w:trPr>
          <w:trHeight w:val="482" w:hRule="atLeast"/>
          <w:cantSplit/>
        </w:trPr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客户资料、样本与权限</w:t>
            </w:r>
          </w:p>
        </w:tc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清单与跟进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说明技术要求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主责提供/授权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支持协调</w:t>
            </w:r>
          </w:p>
        </w:tc>
      </w:tr>
      <w:tr>
        <w:trPr>
          <w:trHeight w:val="482" w:hRule="atLeast"/>
          <w:cantSplit/>
        </w:trPr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试点培训、使用反馈、验收</w:t>
            </w:r>
          </w:p>
        </w:tc>
        <w:tc>
          <w:tcPr>
            <w:tcW w:type="dxa" w:w="14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主责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支持修复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主责使用与确认</w:t>
            </w:r>
          </w:p>
        </w:tc>
        <w:tc>
          <w:tcPr>
            <w:tcW w:type="dxa" w:w="22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关键验收确认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3. 项目阶段与门禁</w:t>
      </w:r>
    </w:p>
    <w:p>
      <w:pPr>
        <w:pStyle w:val="Heading2"/>
        <w:keepNext/>
        <w:spacing w:before="120" w:after="80"/>
      </w:pPr>
      <w:r>
        <w:rPr>
          <w:rFonts w:ascii="STHeiti" w:hAnsi="STHeiti" w:eastAsia="STHeiti"/>
          <w:b/>
          <w:i w:val="0"/>
          <w:color w:val="1F4E78"/>
          <w:sz w:val="26"/>
        </w:rPr>
        <w:t>3.1 准入与诊断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通过条件：有明确业务联系人；能说明一个真实工作问题；愿意提供流程和样本；存在下一次沟通安排。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不通过/暂停：仅想“体验 AI”；没有人负责；客户不愿提供任何样本；要求直接承诺效果。</w:t>
      </w:r>
    </w:p>
    <w:p>
      <w:pPr>
        <w:pStyle w:val="Heading2"/>
        <w:keepNext/>
        <w:spacing w:before="120" w:after="80"/>
      </w:pPr>
      <w:r>
        <w:rPr>
          <w:rFonts w:ascii="STHeiti" w:hAnsi="STHeiti" w:eastAsia="STHeiti"/>
          <w:b/>
          <w:i w:val="0"/>
          <w:color w:val="1F4E78"/>
          <w:sz w:val="26"/>
        </w:rPr>
        <w:t>3.2 场景立项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通过条件：确定一个试点场景；有唯一业务 Owner；有当前基线或可在试点开始时采集；明确输入、输出、人工审核和成功指标。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不通过/暂停：同时要求多个大场景；成功标准不明确；数据或权限来源不合法/不清楚。</w:t>
      </w:r>
    </w:p>
    <w:p>
      <w:pPr>
        <w:pStyle w:val="Heading2"/>
        <w:keepNext/>
        <w:spacing w:before="120" w:after="80"/>
      </w:pPr>
      <w:r>
        <w:rPr>
          <w:rFonts w:ascii="STHeiti" w:hAnsi="STHeiti" w:eastAsia="STHeiti"/>
          <w:b/>
          <w:i w:val="0"/>
          <w:color w:val="1F4E78"/>
          <w:sz w:val="26"/>
        </w:rPr>
        <w:t>3.3 技术开发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通过条件：需求、流程、测试样本、验收用例和客户确认均完整；技术负责人确认可行性与边界。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不通过/暂停：客户频繁口头改需求却不确认；关键资料不齐；技术风险未评估。</w:t>
      </w:r>
    </w:p>
    <w:p>
      <w:pPr>
        <w:pStyle w:val="Heading2"/>
        <w:keepNext/>
        <w:spacing w:before="120" w:after="80"/>
      </w:pPr>
      <w:r>
        <w:rPr>
          <w:rFonts w:ascii="STHeiti" w:hAnsi="STHeiti" w:eastAsia="STHeiti"/>
          <w:b/>
          <w:i w:val="0"/>
          <w:color w:val="1F4E78"/>
          <w:sz w:val="26"/>
        </w:rPr>
        <w:t>3.4 试点上线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通过条件：指定真实使用者；完成培训；有人工接管、问题反馈和版本回退方法；试点范围受控。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不通过/暂停：只展示、不真实使用；高风险动作没有人工复核；无反馈渠道。</w:t>
      </w:r>
    </w:p>
    <w:p>
      <w:pPr>
        <w:pStyle w:val="Heading2"/>
        <w:keepNext/>
        <w:spacing w:before="120" w:after="80"/>
      </w:pPr>
      <w:r>
        <w:rPr>
          <w:rFonts w:ascii="STHeiti" w:hAnsi="STHeiti" w:eastAsia="STHeiti"/>
          <w:b/>
          <w:i w:val="0"/>
          <w:color w:val="1F4E78"/>
          <w:sz w:val="26"/>
        </w:rPr>
        <w:t>3.5 验收与复制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通过条件：对比约定基线与试点数据；客户书面确认结论；遗留问题与下一步明确；案例使用授权另行确认。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不通过/暂停：没有真实使用数据；把“上线”当作“验收”；客户未确认即对外宣传效果。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4. 会议与记录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首次诊断：FDE 在会后 24 小时内发出纪要，写明客户问题、待提供资料、双方动作与下次时间。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项目启动会：确认范围、责任人、里程碑、沟通群和变更方式。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每周项目例会：同步本周完成、下周计划、问题、需客户决策事项；会后更新台账。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版本确认会：客户以真实样本进行演示与确认；未确认内容不得视作完成。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验收会：只依据已约定指标、试点记录和遗留问题清单作结论。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5. 需求与变更规则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1. 新需求必须写清业务目的、使用者、输入输出、优先级和验收方式。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2. FDE 先判断是否属于原范围；超范围事项记录为“变更请求”。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3. 影响工期、成本、数据权限、对外自动执行或风险边界的变更，必须经技术负责人和公司授权人确认后再承诺。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4. 所有确认以文字记录为准；口头意见须在会后纪要中复述。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6. 风险与安全底线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客户数据、个人信息和内部资料只在已授权范围内使用；不私自外传。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涉及报价、合同、人事、财务、法律、医疗、安全生产及对外发布的内容，默认由人审核后执行。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AI 输出不是最终事实；客户对外使用前应保留人工复核责任。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发现误用、泄露、重大错误或不可控自动行为时，先暂停相关流程，再通知技术负责人和公司授权人。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7. 项目关闭标准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项目关闭不等于代码上线。需至少完成：客户结论确认、资料归档、遗留问题责任人、案例公开边界、是否复制/续费的下一步。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Heiti" w:hAnsi="STHeiti" w:eastAsia="STHeiti"/>
        <w:b w:val="0"/>
        <w:i w:val="0"/>
        <w:color w:val="666666"/>
        <w:sz w:val="17"/>
      </w:rPr>
      <w:t>元序智能 · FDE 项目运行规则（1.0）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FDE 项目运行规则（1.0）</dc:title>
  <dc:subject>元序智能业务型FDE项目管理工具包</dc:subject>
  <dc:creator>元序智能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