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试点上线与培训记录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A. 上线信息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项目/试点场景：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上线版本与日期：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试点范围：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试点使用者：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技术支持联系人：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FDE 联系人：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问题反馈渠道：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暂停/回退方式：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B. 培训记录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rHeight w:val="369" w:hRule="atLeast"/>
          <w:cantSplit/>
          <w:tblHeader w:val="true"/>
        </w:trPr>
        <w:tc>
          <w:tcPr>
            <w:tcW w:type="dxa" w:w="2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培训对象</w:t>
            </w:r>
          </w:p>
        </w:tc>
        <w:tc>
          <w:tcPr>
            <w:tcW w:type="dxa" w:w="14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35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培训内容</w:t>
            </w:r>
          </w:p>
        </w:tc>
        <w:tc>
          <w:tcPr>
            <w:tcW w:type="dxa" w:w="2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是否完成真实任务</w:t>
            </w:r>
          </w:p>
        </w:tc>
        <w:tc>
          <w:tcPr>
            <w:tcW w:type="dxa" w:w="35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常见问题</w:t>
            </w:r>
          </w:p>
        </w:tc>
        <w:tc>
          <w:tcPr>
            <w:tcW w:type="dxa" w:w="2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后续支持</w:t>
            </w:r>
          </w:p>
        </w:tc>
      </w:tr>
      <w:tr>
        <w:trPr>
          <w:trHeight w:val="482" w:hRule="atLeast"/>
          <w:cantSplit/>
        </w:trPr>
        <w:tc>
          <w:tcPr>
            <w:tcW w:type="dxa" w:w="2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</w:t>
            </w:r>
          </w:p>
        </w:tc>
        <w:tc>
          <w:tcPr>
            <w:tcW w:type="dxa" w:w="35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C. 试点观察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rHeight w:val="369" w:hRule="atLeast"/>
          <w:cantSplit/>
          <w:tblHeader w:val="true"/>
        </w:trPr>
        <w:tc>
          <w:tcPr>
            <w:tcW w:type="dxa" w:w="12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12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使用者</w:t>
            </w:r>
          </w:p>
        </w:tc>
        <w:tc>
          <w:tcPr>
            <w:tcW w:type="dxa" w:w="18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真实任务</w:t>
            </w:r>
          </w:p>
        </w:tc>
        <w:tc>
          <w:tcPr>
            <w:tcW w:type="dxa" w:w="18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是否使用</w:t>
            </w:r>
          </w:p>
        </w:tc>
        <w:tc>
          <w:tcPr>
            <w:tcW w:type="dxa" w:w="2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是否采用输出</w:t>
            </w:r>
          </w:p>
        </w:tc>
        <w:tc>
          <w:tcPr>
            <w:tcW w:type="dxa" w:w="18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耗时/质量反馈</w:t>
            </w:r>
          </w:p>
        </w:tc>
        <w:tc>
          <w:tcPr>
            <w:tcW w:type="dxa" w:w="2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问题与建议</w:t>
            </w:r>
          </w:p>
        </w:tc>
        <w:tc>
          <w:tcPr>
            <w:tcW w:type="dxa" w:w="12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6"/>
              </w:rPr>
              <w:t>处理人</w:t>
            </w:r>
          </w:p>
        </w:tc>
      </w:tr>
      <w:tr>
        <w:trPr>
          <w:trHeight w:val="482" w:hRule="atLeast"/>
          <w:cantSplit/>
        </w:trPr>
        <w:tc>
          <w:tcPr>
            <w:tcW w:type="dxa" w:w="12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8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8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  <w:t>是/否</w:t>
            </w:r>
          </w:p>
        </w:tc>
        <w:tc>
          <w:tcPr>
            <w:tcW w:type="dxa" w:w="2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  <w:t>是/否/部分</w:t>
            </w:r>
          </w:p>
        </w:tc>
        <w:tc>
          <w:tcPr>
            <w:tcW w:type="dxa" w:w="18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2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D. 上线检查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□ 使用者知道何时使用、如何使用和如何反馈。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□ 使用者知道哪些内容必须人工审核。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□ 试点样本与真实业务一致。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□ 关键问题有技术支持和响应路径。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□ 出现风险时可暂停或回退。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试点上线与培训记录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试点上线与培训记录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