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/>
          <w:color w:val="174A70"/>
          <w:sz w:val="28"/>
        </w:rPr>
        <w:t>企业AI入企项目负责人</w:t>
      </w:r>
    </w:p>
    <w:p>
      <w:pPr>
        <w:pStyle w:val="Title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全流程实操手册·使用说明与项目总览</w:t>
      </w:r>
    </w:p>
    <w:p>
      <w:pPr>
        <w:keepNext w:val="0"/>
        <w:spacing w:after="280" w:line="276" w:lineRule="auto"/>
        <w:jc w:val="center"/>
      </w:pPr>
      <w:r>
        <w:rPr>
          <w:rFonts w:ascii="Arial Unicode MS" w:hAnsi="Arial Unicode MS" w:eastAsia="Arial Unicode MS"/>
          <w:b/>
          <w:color w:val="2E75B6"/>
          <w:sz w:val="24"/>
        </w:rPr>
        <w:t>打开当前步骤，逐项执行；达到完成标准后再进入下一步</w:t>
      </w:r>
    </w:p>
    <w:p>
      <w:pPr>
        <w:pStyle w:val="Heading1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如何使用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先在总览中确认项目处于哪一步。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打开《01_全流程实操手册》中对应步骤。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按照开始条件、工具、人员和动作逐项执行。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将结果填写到《02_项目执行工具箱》。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对照完成标准检查，通过后进入下一步；未通过则按异常处理执行。</w:t>
      </w:r>
    </w:p>
    <w:p>
      <w:pPr>
        <w:pStyle w:val="Heading1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13周执行总览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174A70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437"/>
            <w:shd w:fill="174A70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437"/>
            <w:shd w:fill="174A70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437"/>
            <w:shd w:fill="174A70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关口/版本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商务期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步骤01—02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客户接触与准入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准入决定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第1周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步骤03—06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启动、访谈、观察、资料盘点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G0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第2周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步骤07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诊断、原因和基线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G1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第3周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步骤08—09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场景选择和项目定义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G2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第4周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步骤10—11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PRD、技术和排期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G3/G4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第5—6周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步骤12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开发核心流程版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第7周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步骤13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内部测试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V2/G5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第8周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步骤14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第一轮真实试用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第9—10周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步骤15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迭代与第二轮试用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V3/G6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第11周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步骤16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验收与上线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V1.0/G7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第12—13周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步骤17—18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观察、关闭、续费和产品化</w:t>
            </w:r>
          </w:p>
        </w:tc>
        <w:tc>
          <w:tcPr>
            <w:tcW w:type="dxa" w:w="2437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rial Unicode MS" w:hAnsi="Arial Unicode MS" w:eastAsia="Arial Unicode MS"/>
                <w:b w:val="0"/>
                <w:color w:val="1E2D38"/>
                <w:sz w:val="17"/>
              </w:rPr>
              <w:t>G8</w:t>
            </w:r>
          </w:p>
        </w:tc>
      </w:tr>
    </w:tbl>
    <w:p>
      <w:pPr>
        <w:pStyle w:val="Heading1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关口与版本说明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G（Gate）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阶段关口：决定能否进入下一阶段。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V（Version）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产品版本：表示当前产品做到哪一版。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V1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核心流程版。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V2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内部测试版。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V3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员工试用版。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V1.0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正式上线版。</w:t>
            </w:r>
          </w:p>
        </w:tc>
      </w:tr>
    </w:tbl>
    <w:p>
      <w:pPr>
        <w:pStyle w:val="Heading1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标准项目边界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一家企业、一个部门、一个核心场景。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5—15名使用者。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100—500份代表性样本。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不超过两个系统接口。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不涉及复杂私有化或无人审核的高风险决定。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标准周期65个工作日；客户等待时间单独顺延。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80" w:bottom="979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67681"/>
        <w:sz w:val="16"/>
      </w:rPr>
      <w:t xml:space="preserve">实操版 V1.0  ｜  第 </w:t>
    </w:r>
    <w:fldSimple w:instr="PAGE"/>
    <w:r>
      <w:rPr>
        <w:rFonts w:ascii="Arial Unicode MS" w:hAnsi="Arial Unicode MS" w:eastAsia="Arial Unicode MS"/>
        <w:b w:val="0"/>
        <w:color w:val="667681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67681"/>
        <w:sz w:val="16"/>
      </w:rPr>
      <w:t>企业AI入企项目负责人｜全流程实操手册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A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A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A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4A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