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34AFC">
      <w:pPr>
        <w:jc w:val="center"/>
        <w:rPr>
          <w:b/>
          <w:sz w:val="44"/>
        </w:rPr>
      </w:pPr>
    </w:p>
    <w:p w14:paraId="4E1245B6">
      <w:pPr>
        <w:jc w:val="center"/>
      </w:pPr>
      <w:bookmarkStart w:id="0" w:name="_GoBack"/>
      <w:bookmarkEnd w:id="0"/>
      <w:r>
        <w:rPr>
          <w:b/>
          <w:sz w:val="44"/>
        </w:rPr>
        <w:t>企业AI入企项目负责人全流程实操手册·增强版</w:t>
      </w:r>
    </w:p>
    <w:p w14:paraId="3FB58322">
      <w:pPr>
        <w:jc w:val="center"/>
      </w:pPr>
      <w:r>
        <w:rPr>
          <w:color w:val="5A5A5A"/>
          <w:sz w:val="24"/>
        </w:rPr>
        <w:t>使用说明与项目总览｜单场景试点到续费产品化</w:t>
      </w:r>
    </w:p>
    <w:p w14:paraId="33023C75"/>
    <w:p w14:paraId="467DDA6B">
      <w:pPr>
        <w:pStyle w:val="3"/>
      </w:pPr>
      <w:r>
        <w:t>这版手册解决什么问题</w:t>
      </w:r>
    </w:p>
    <w:p w14:paraId="0A07A727">
      <w:pPr>
        <w:pStyle w:val="16"/>
      </w:pPr>
      <w:r>
        <w:t>保留原版18步、65个工作日的主流程，不推翻原有骨架。</w:t>
      </w:r>
    </w:p>
    <w:p w14:paraId="45DA9919">
      <w:pPr>
        <w:pStyle w:val="16"/>
      </w:pPr>
      <w:r>
        <w:t>补强项目分型、售前成交、硬关口、老板沟通、客户不配合处理、交付物标准和复盘资产化。</w:t>
      </w:r>
    </w:p>
    <w:p w14:paraId="09251578">
      <w:pPr>
        <w:pStyle w:val="16"/>
      </w:pPr>
      <w:r>
        <w:t>定位为“你本人照着执行的项目操作系统”：每天知道做什么、怎么说、怎么判断、怎么留下证据。</w:t>
      </w:r>
    </w:p>
    <w:p w14:paraId="3C9AA537">
      <w:pPr>
        <w:pStyle w:val="3"/>
      </w:pPr>
      <w:r>
        <w:t>标准项目边界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19D1766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01CCC6A">
            <w:pPr>
              <w:spacing w:after="0" w:line="240" w:lineRule="auto"/>
            </w:pPr>
            <w:r>
              <w:rPr>
                <w:b/>
              </w:rPr>
              <w:t>边界项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43A6678">
            <w:pPr>
              <w:spacing w:after="0" w:line="240" w:lineRule="auto"/>
            </w:pPr>
            <w:r>
              <w:rPr>
                <w:b/>
              </w:rPr>
              <w:t>标准范围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99428AC">
            <w:pPr>
              <w:spacing w:after="0" w:line="240" w:lineRule="auto"/>
            </w:pPr>
            <w:r>
              <w:rPr>
                <w:b/>
              </w:rPr>
              <w:t>超出后处理</w:t>
            </w:r>
          </w:p>
        </w:tc>
      </w:tr>
      <w:tr w14:paraId="349846E2">
        <w:trPr>
          <w:jc w:val="center"/>
        </w:trPr>
        <w:tc>
          <w:tcPr>
            <w:tcW w:w="3408" w:type="dxa"/>
            <w:vAlign w:val="center"/>
          </w:tcPr>
          <w:p w14:paraId="298F47CD">
            <w:pPr>
              <w:spacing w:after="0" w:line="240" w:lineRule="auto"/>
            </w:pPr>
            <w:r>
              <w:t>客户范围</w:t>
            </w:r>
          </w:p>
        </w:tc>
        <w:tc>
          <w:tcPr>
            <w:tcW w:w="3408" w:type="dxa"/>
            <w:vAlign w:val="center"/>
          </w:tcPr>
          <w:p w14:paraId="3E9940F1">
            <w:pPr>
              <w:spacing w:after="0" w:line="240" w:lineRule="auto"/>
            </w:pPr>
            <w:r>
              <w:t>一家企业、一个部门、一个核心场景</w:t>
            </w:r>
          </w:p>
        </w:tc>
        <w:tc>
          <w:tcPr>
            <w:tcW w:w="3408" w:type="dxa"/>
            <w:vAlign w:val="center"/>
          </w:tcPr>
          <w:p w14:paraId="1966F2F9">
            <w:pPr>
              <w:spacing w:after="0" w:line="240" w:lineRule="auto"/>
            </w:pPr>
            <w:r>
              <w:t>拆成二期或另立项目</w:t>
            </w:r>
          </w:p>
        </w:tc>
      </w:tr>
      <w:tr w14:paraId="0F9B3120">
        <w:trPr>
          <w:jc w:val="center"/>
        </w:trPr>
        <w:tc>
          <w:tcPr>
            <w:tcW w:w="3408" w:type="dxa"/>
            <w:vAlign w:val="center"/>
          </w:tcPr>
          <w:p w14:paraId="65CB7E2E">
            <w:pPr>
              <w:spacing w:after="0" w:line="240" w:lineRule="auto"/>
            </w:pPr>
            <w:r>
              <w:t>使用人数</w:t>
            </w:r>
          </w:p>
        </w:tc>
        <w:tc>
          <w:tcPr>
            <w:tcW w:w="3408" w:type="dxa"/>
            <w:vAlign w:val="center"/>
          </w:tcPr>
          <w:p w14:paraId="25598554">
            <w:pPr>
              <w:spacing w:after="0" w:line="240" w:lineRule="auto"/>
            </w:pPr>
            <w:r>
              <w:t>5—15名真实使用者</w:t>
            </w:r>
          </w:p>
        </w:tc>
        <w:tc>
          <w:tcPr>
            <w:tcW w:w="3408" w:type="dxa"/>
            <w:vAlign w:val="center"/>
          </w:tcPr>
          <w:p w14:paraId="62CF1275">
            <w:pPr>
              <w:spacing w:after="0" w:line="240" w:lineRule="auto"/>
            </w:pPr>
            <w:r>
              <w:t>超过后按席位/部门扩展报价</w:t>
            </w:r>
          </w:p>
        </w:tc>
      </w:tr>
      <w:tr w14:paraId="775DE4F5">
        <w:trPr>
          <w:jc w:val="center"/>
        </w:trPr>
        <w:tc>
          <w:tcPr>
            <w:tcW w:w="3408" w:type="dxa"/>
            <w:vAlign w:val="center"/>
          </w:tcPr>
          <w:p w14:paraId="09953F20">
            <w:pPr>
              <w:spacing w:after="0" w:line="240" w:lineRule="auto"/>
            </w:pPr>
            <w:r>
              <w:t>样本规模</w:t>
            </w:r>
          </w:p>
        </w:tc>
        <w:tc>
          <w:tcPr>
            <w:tcW w:w="3408" w:type="dxa"/>
            <w:vAlign w:val="center"/>
          </w:tcPr>
          <w:p w14:paraId="2A3C5F5D">
            <w:pPr>
              <w:spacing w:after="0" w:line="240" w:lineRule="auto"/>
            </w:pPr>
            <w:r>
              <w:t>100—500份代表性样本</w:t>
            </w:r>
          </w:p>
        </w:tc>
        <w:tc>
          <w:tcPr>
            <w:tcW w:w="3408" w:type="dxa"/>
            <w:vAlign w:val="center"/>
          </w:tcPr>
          <w:p w14:paraId="4A1973A4">
            <w:pPr>
              <w:spacing w:after="0" w:line="240" w:lineRule="auto"/>
            </w:pPr>
            <w:r>
              <w:t>不足先做样本治理，过多分批</w:t>
            </w:r>
          </w:p>
        </w:tc>
      </w:tr>
      <w:tr w14:paraId="674ED3CF">
        <w:trPr>
          <w:jc w:val="center"/>
        </w:trPr>
        <w:tc>
          <w:tcPr>
            <w:tcW w:w="3408" w:type="dxa"/>
            <w:vAlign w:val="center"/>
          </w:tcPr>
          <w:p w14:paraId="3986DF4A">
            <w:pPr>
              <w:spacing w:after="0" w:line="240" w:lineRule="auto"/>
            </w:pPr>
            <w:r>
              <w:t>系统接口</w:t>
            </w:r>
          </w:p>
        </w:tc>
        <w:tc>
          <w:tcPr>
            <w:tcW w:w="3408" w:type="dxa"/>
            <w:vAlign w:val="center"/>
          </w:tcPr>
          <w:p w14:paraId="62D59CA1">
            <w:pPr>
              <w:spacing w:after="0" w:line="240" w:lineRule="auto"/>
            </w:pPr>
            <w:r>
              <w:t>不超过两个系统接口</w:t>
            </w:r>
          </w:p>
        </w:tc>
        <w:tc>
          <w:tcPr>
            <w:tcW w:w="3408" w:type="dxa"/>
            <w:vAlign w:val="center"/>
          </w:tcPr>
          <w:p w14:paraId="70E065B4">
            <w:pPr>
              <w:spacing w:after="0" w:line="240" w:lineRule="auto"/>
            </w:pPr>
            <w:r>
              <w:t>超过后增加技术评审和报价</w:t>
            </w:r>
          </w:p>
        </w:tc>
      </w:tr>
      <w:tr w14:paraId="75A357C3">
        <w:trPr>
          <w:jc w:val="center"/>
        </w:trPr>
        <w:tc>
          <w:tcPr>
            <w:tcW w:w="3408" w:type="dxa"/>
            <w:vAlign w:val="center"/>
          </w:tcPr>
          <w:p w14:paraId="41A8CF7A">
            <w:pPr>
              <w:spacing w:after="0" w:line="240" w:lineRule="auto"/>
            </w:pPr>
            <w:r>
              <w:t>风险等级</w:t>
            </w:r>
          </w:p>
        </w:tc>
        <w:tc>
          <w:tcPr>
            <w:tcW w:w="3408" w:type="dxa"/>
            <w:vAlign w:val="center"/>
          </w:tcPr>
          <w:p w14:paraId="4DAFF0ED">
            <w:pPr>
              <w:spacing w:after="0" w:line="240" w:lineRule="auto"/>
            </w:pPr>
            <w:r>
              <w:t>不做无人审核的高风险决定</w:t>
            </w:r>
          </w:p>
        </w:tc>
        <w:tc>
          <w:tcPr>
            <w:tcW w:w="3408" w:type="dxa"/>
            <w:vAlign w:val="center"/>
          </w:tcPr>
          <w:p w14:paraId="29E1DDFE">
            <w:pPr>
              <w:spacing w:after="0" w:line="240" w:lineRule="auto"/>
            </w:pPr>
            <w:r>
              <w:t>必须保留人工审核和责任人</w:t>
            </w:r>
          </w:p>
        </w:tc>
      </w:tr>
      <w:tr w14:paraId="20C6C351">
        <w:trPr>
          <w:jc w:val="center"/>
        </w:trPr>
        <w:tc>
          <w:tcPr>
            <w:tcW w:w="3408" w:type="dxa"/>
            <w:vAlign w:val="center"/>
          </w:tcPr>
          <w:p w14:paraId="70E69154">
            <w:pPr>
              <w:spacing w:after="0" w:line="240" w:lineRule="auto"/>
            </w:pPr>
            <w:r>
              <w:t>周期</w:t>
            </w:r>
          </w:p>
        </w:tc>
        <w:tc>
          <w:tcPr>
            <w:tcW w:w="3408" w:type="dxa"/>
            <w:vAlign w:val="center"/>
          </w:tcPr>
          <w:p w14:paraId="37F78D79">
            <w:pPr>
              <w:spacing w:after="0" w:line="240" w:lineRule="auto"/>
            </w:pPr>
            <w:r>
              <w:t>65个工作日，客户等待时间顺延</w:t>
            </w:r>
          </w:p>
        </w:tc>
        <w:tc>
          <w:tcPr>
            <w:tcW w:w="3408" w:type="dxa"/>
            <w:vAlign w:val="center"/>
          </w:tcPr>
          <w:p w14:paraId="725E947F">
            <w:pPr>
              <w:spacing w:after="0" w:line="240" w:lineRule="auto"/>
            </w:pPr>
            <w:r>
              <w:t>客户延迟确认不计入交付周期</w:t>
            </w:r>
          </w:p>
        </w:tc>
      </w:tr>
    </w:tbl>
    <w:p w14:paraId="3A886289"/>
    <w:p w14:paraId="43FAA09E">
      <w:pPr>
        <w:pStyle w:val="3"/>
      </w:pPr>
      <w:r>
        <w:t>项目分型：不要所有客户都套65天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301FBDFA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0F7EDAD">
            <w:pPr>
              <w:spacing w:after="0" w:line="240" w:lineRule="auto"/>
            </w:pPr>
            <w:r>
              <w:rPr>
                <w:b/>
              </w:rPr>
              <w:t>项目类型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F00253A">
            <w:pPr>
              <w:spacing w:after="0" w:line="240" w:lineRule="auto"/>
            </w:pPr>
            <w:r>
              <w:rPr>
                <w:b/>
              </w:rPr>
              <w:t>适用客户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3097B9C">
            <w:pPr>
              <w:spacing w:after="0" w:line="240" w:lineRule="auto"/>
            </w:pPr>
            <w:r>
              <w:rPr>
                <w:b/>
              </w:rPr>
              <w:t>标准周期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8BA3BBF">
            <w:pPr>
              <w:spacing w:after="0" w:line="240" w:lineRule="auto"/>
            </w:pPr>
            <w:r>
              <w:rPr>
                <w:b/>
              </w:rPr>
              <w:t>交付结果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AC7E543">
            <w:pPr>
              <w:spacing w:after="0" w:line="240" w:lineRule="auto"/>
            </w:pPr>
            <w:r>
              <w:rPr>
                <w:b/>
              </w:rPr>
              <w:t>是否进入65天流程</w:t>
            </w:r>
          </w:p>
        </w:tc>
      </w:tr>
      <w:tr w14:paraId="201607B4">
        <w:trPr>
          <w:jc w:val="center"/>
        </w:trPr>
        <w:tc>
          <w:tcPr>
            <w:tcW w:w="2045" w:type="dxa"/>
            <w:vAlign w:val="center"/>
          </w:tcPr>
          <w:p w14:paraId="6BD5960B">
            <w:pPr>
              <w:spacing w:after="0" w:line="240" w:lineRule="auto"/>
            </w:pPr>
            <w:r>
              <w:t>AI认知培训型</w:t>
            </w:r>
          </w:p>
        </w:tc>
        <w:tc>
          <w:tcPr>
            <w:tcW w:w="2045" w:type="dxa"/>
            <w:vAlign w:val="center"/>
          </w:tcPr>
          <w:p w14:paraId="53F9C881">
            <w:pPr>
              <w:spacing w:after="0" w:line="240" w:lineRule="auto"/>
            </w:pPr>
            <w:r>
              <w:t>只想先了解AI、暂无明确场景</w:t>
            </w:r>
          </w:p>
        </w:tc>
        <w:tc>
          <w:tcPr>
            <w:tcW w:w="2045" w:type="dxa"/>
            <w:vAlign w:val="center"/>
          </w:tcPr>
          <w:p w14:paraId="72BE6C86">
            <w:pPr>
              <w:spacing w:after="0" w:line="240" w:lineRule="auto"/>
            </w:pPr>
            <w:r>
              <w:t>1—3天</w:t>
            </w:r>
          </w:p>
        </w:tc>
        <w:tc>
          <w:tcPr>
            <w:tcW w:w="2045" w:type="dxa"/>
            <w:vAlign w:val="center"/>
          </w:tcPr>
          <w:p w14:paraId="219A8649">
            <w:pPr>
              <w:spacing w:after="0" w:line="240" w:lineRule="auto"/>
            </w:pPr>
            <w:r>
              <w:t>培训课件、工具清单、行动建议</w:t>
            </w:r>
          </w:p>
        </w:tc>
        <w:tc>
          <w:tcPr>
            <w:tcW w:w="2045" w:type="dxa"/>
            <w:vAlign w:val="center"/>
          </w:tcPr>
          <w:p w14:paraId="0D3F963F">
            <w:pPr>
              <w:spacing w:after="0" w:line="240" w:lineRule="auto"/>
            </w:pPr>
            <w:r>
              <w:t>否</w:t>
            </w:r>
          </w:p>
        </w:tc>
      </w:tr>
      <w:tr w14:paraId="20348018">
        <w:trPr>
          <w:jc w:val="center"/>
        </w:trPr>
        <w:tc>
          <w:tcPr>
            <w:tcW w:w="2045" w:type="dxa"/>
            <w:vAlign w:val="center"/>
          </w:tcPr>
          <w:p w14:paraId="49CB2245">
            <w:pPr>
              <w:spacing w:after="0" w:line="240" w:lineRule="auto"/>
            </w:pPr>
            <w:r>
              <w:t>AI场景诊断型</w:t>
            </w:r>
          </w:p>
        </w:tc>
        <w:tc>
          <w:tcPr>
            <w:tcW w:w="2045" w:type="dxa"/>
            <w:vAlign w:val="center"/>
          </w:tcPr>
          <w:p w14:paraId="7B8A9AC8">
            <w:pPr>
              <w:spacing w:after="0" w:line="240" w:lineRule="auto"/>
            </w:pPr>
            <w:r>
              <w:t>想做但不知道从哪里开始</w:t>
            </w:r>
          </w:p>
        </w:tc>
        <w:tc>
          <w:tcPr>
            <w:tcW w:w="2045" w:type="dxa"/>
            <w:vAlign w:val="center"/>
          </w:tcPr>
          <w:p w14:paraId="5B6E6756">
            <w:pPr>
              <w:spacing w:after="0" w:line="240" w:lineRule="auto"/>
            </w:pPr>
            <w:r>
              <w:t>3—7天</w:t>
            </w:r>
          </w:p>
        </w:tc>
        <w:tc>
          <w:tcPr>
            <w:tcW w:w="2045" w:type="dxa"/>
            <w:vAlign w:val="center"/>
          </w:tcPr>
          <w:p w14:paraId="6C8F9944">
            <w:pPr>
              <w:spacing w:after="0" w:line="240" w:lineRule="auto"/>
            </w:pPr>
            <w:r>
              <w:t>诊断报告、场景评分、试点建议</w:t>
            </w:r>
          </w:p>
        </w:tc>
        <w:tc>
          <w:tcPr>
            <w:tcW w:w="2045" w:type="dxa"/>
            <w:vAlign w:val="center"/>
          </w:tcPr>
          <w:p w14:paraId="636122C7">
            <w:pPr>
              <w:spacing w:after="0" w:line="240" w:lineRule="auto"/>
            </w:pPr>
            <w:r>
              <w:t>可转入</w:t>
            </w:r>
          </w:p>
        </w:tc>
      </w:tr>
      <w:tr w14:paraId="33E495E8">
        <w:trPr>
          <w:jc w:val="center"/>
        </w:trPr>
        <w:tc>
          <w:tcPr>
            <w:tcW w:w="2045" w:type="dxa"/>
            <w:vAlign w:val="center"/>
          </w:tcPr>
          <w:p w14:paraId="786F8A50">
            <w:pPr>
              <w:spacing w:after="0" w:line="240" w:lineRule="auto"/>
            </w:pPr>
            <w:r>
              <w:t>AI单场景试点型</w:t>
            </w:r>
          </w:p>
        </w:tc>
        <w:tc>
          <w:tcPr>
            <w:tcW w:w="2045" w:type="dxa"/>
            <w:vAlign w:val="center"/>
          </w:tcPr>
          <w:p w14:paraId="0CE1AA70">
            <w:pPr>
              <w:spacing w:after="0" w:line="240" w:lineRule="auto"/>
            </w:pPr>
            <w:r>
              <w:t>有明确部门和可验证问题</w:t>
            </w:r>
          </w:p>
        </w:tc>
        <w:tc>
          <w:tcPr>
            <w:tcW w:w="2045" w:type="dxa"/>
            <w:vAlign w:val="center"/>
          </w:tcPr>
          <w:p w14:paraId="28BC3B36">
            <w:pPr>
              <w:spacing w:after="0" w:line="240" w:lineRule="auto"/>
            </w:pPr>
            <w:r>
              <w:t>30—65天</w:t>
            </w:r>
          </w:p>
        </w:tc>
        <w:tc>
          <w:tcPr>
            <w:tcW w:w="2045" w:type="dxa"/>
            <w:vAlign w:val="center"/>
          </w:tcPr>
          <w:p w14:paraId="3465A990">
            <w:pPr>
              <w:spacing w:after="0" w:line="240" w:lineRule="auto"/>
            </w:pPr>
            <w:r>
              <w:t>V1.0上线、验收报告、续费方案</w:t>
            </w:r>
          </w:p>
        </w:tc>
        <w:tc>
          <w:tcPr>
            <w:tcW w:w="2045" w:type="dxa"/>
            <w:vAlign w:val="center"/>
          </w:tcPr>
          <w:p w14:paraId="511D8C38">
            <w:pPr>
              <w:spacing w:after="0" w:line="240" w:lineRule="auto"/>
            </w:pPr>
            <w:r>
              <w:t>是，本手册主流程</w:t>
            </w:r>
          </w:p>
        </w:tc>
      </w:tr>
      <w:tr w14:paraId="1E74FB79">
        <w:trPr>
          <w:jc w:val="center"/>
        </w:trPr>
        <w:tc>
          <w:tcPr>
            <w:tcW w:w="2045" w:type="dxa"/>
            <w:vAlign w:val="center"/>
          </w:tcPr>
          <w:p w14:paraId="182FF98C">
            <w:pPr>
              <w:spacing w:after="0" w:line="240" w:lineRule="auto"/>
            </w:pPr>
            <w:r>
              <w:t>工具/智能体搭建型</w:t>
            </w:r>
          </w:p>
        </w:tc>
        <w:tc>
          <w:tcPr>
            <w:tcW w:w="2045" w:type="dxa"/>
            <w:vAlign w:val="center"/>
          </w:tcPr>
          <w:p w14:paraId="16A78E6D">
            <w:pPr>
              <w:spacing w:after="0" w:line="240" w:lineRule="auto"/>
            </w:pPr>
            <w:r>
              <w:t>明确要做知识库、工作流、客服等</w:t>
            </w:r>
          </w:p>
        </w:tc>
        <w:tc>
          <w:tcPr>
            <w:tcW w:w="2045" w:type="dxa"/>
            <w:vAlign w:val="center"/>
          </w:tcPr>
          <w:p w14:paraId="4D64B65D">
            <w:pPr>
              <w:spacing w:after="0" w:line="240" w:lineRule="auto"/>
            </w:pPr>
            <w:r>
              <w:t>2—6周</w:t>
            </w:r>
          </w:p>
        </w:tc>
        <w:tc>
          <w:tcPr>
            <w:tcW w:w="2045" w:type="dxa"/>
            <w:vAlign w:val="center"/>
          </w:tcPr>
          <w:p w14:paraId="082F615E">
            <w:pPr>
              <w:spacing w:after="0" w:line="240" w:lineRule="auto"/>
            </w:pPr>
            <w:r>
              <w:t>可用工具、操作手册、培训</w:t>
            </w:r>
          </w:p>
        </w:tc>
        <w:tc>
          <w:tcPr>
            <w:tcW w:w="2045" w:type="dxa"/>
            <w:vAlign w:val="center"/>
          </w:tcPr>
          <w:p w14:paraId="7DD85F8F">
            <w:pPr>
              <w:spacing w:after="0" w:line="240" w:lineRule="auto"/>
            </w:pPr>
            <w:r>
              <w:t>部分适用</w:t>
            </w:r>
          </w:p>
        </w:tc>
      </w:tr>
      <w:tr w14:paraId="12C40C99">
        <w:trPr>
          <w:jc w:val="center"/>
        </w:trPr>
        <w:tc>
          <w:tcPr>
            <w:tcW w:w="2045" w:type="dxa"/>
            <w:vAlign w:val="center"/>
          </w:tcPr>
          <w:p w14:paraId="3B04A564">
            <w:pPr>
              <w:spacing w:after="0" w:line="240" w:lineRule="auto"/>
            </w:pPr>
            <w:r>
              <w:t>运营陪跑型</w:t>
            </w:r>
          </w:p>
        </w:tc>
        <w:tc>
          <w:tcPr>
            <w:tcW w:w="2045" w:type="dxa"/>
            <w:vAlign w:val="center"/>
          </w:tcPr>
          <w:p w14:paraId="0771F14E">
            <w:pPr>
              <w:spacing w:after="0" w:line="240" w:lineRule="auto"/>
            </w:pPr>
            <w:r>
              <w:t>上线后需要持续优化和扩展</w:t>
            </w:r>
          </w:p>
        </w:tc>
        <w:tc>
          <w:tcPr>
            <w:tcW w:w="2045" w:type="dxa"/>
            <w:vAlign w:val="center"/>
          </w:tcPr>
          <w:p w14:paraId="0B2D16DF">
            <w:pPr>
              <w:spacing w:after="0" w:line="240" w:lineRule="auto"/>
            </w:pPr>
            <w:r>
              <w:t>3—12个月</w:t>
            </w:r>
          </w:p>
        </w:tc>
        <w:tc>
          <w:tcPr>
            <w:tcW w:w="2045" w:type="dxa"/>
            <w:vAlign w:val="center"/>
          </w:tcPr>
          <w:p w14:paraId="519C3E55">
            <w:pPr>
              <w:spacing w:after="0" w:line="240" w:lineRule="auto"/>
            </w:pPr>
            <w:r>
              <w:t>月报、样本优化、二期扩展</w:t>
            </w:r>
          </w:p>
        </w:tc>
        <w:tc>
          <w:tcPr>
            <w:tcW w:w="2045" w:type="dxa"/>
            <w:vAlign w:val="center"/>
          </w:tcPr>
          <w:p w14:paraId="5406F5CE">
            <w:pPr>
              <w:spacing w:after="0" w:line="240" w:lineRule="auto"/>
            </w:pPr>
            <w:r>
              <w:t>接在步骤18后</w:t>
            </w:r>
          </w:p>
        </w:tc>
      </w:tr>
      <w:tr w14:paraId="0EB81AAB">
        <w:trPr>
          <w:jc w:val="center"/>
        </w:trPr>
        <w:tc>
          <w:tcPr>
            <w:tcW w:w="2045" w:type="dxa"/>
            <w:vAlign w:val="center"/>
          </w:tcPr>
          <w:p w14:paraId="0601A05A">
            <w:pPr>
              <w:spacing w:after="0" w:line="240" w:lineRule="auto"/>
            </w:pPr>
            <w:r>
              <w:t>组织转型型</w:t>
            </w:r>
          </w:p>
        </w:tc>
        <w:tc>
          <w:tcPr>
            <w:tcW w:w="2045" w:type="dxa"/>
            <w:vAlign w:val="center"/>
          </w:tcPr>
          <w:p w14:paraId="3D55805C">
            <w:pPr>
              <w:spacing w:after="0" w:line="240" w:lineRule="auto"/>
            </w:pPr>
            <w:r>
              <w:t>多部门、多系统、老板战略工程</w:t>
            </w:r>
          </w:p>
        </w:tc>
        <w:tc>
          <w:tcPr>
            <w:tcW w:w="2045" w:type="dxa"/>
            <w:vAlign w:val="center"/>
          </w:tcPr>
          <w:p w14:paraId="3D95C0C0">
            <w:pPr>
              <w:spacing w:after="0" w:line="240" w:lineRule="auto"/>
            </w:pPr>
            <w:r>
              <w:t>6—12个月</w:t>
            </w:r>
          </w:p>
        </w:tc>
        <w:tc>
          <w:tcPr>
            <w:tcW w:w="2045" w:type="dxa"/>
            <w:vAlign w:val="center"/>
          </w:tcPr>
          <w:p w14:paraId="29AF8138">
            <w:pPr>
              <w:spacing w:after="0" w:line="240" w:lineRule="auto"/>
            </w:pPr>
            <w:r>
              <w:t>治理机制、平台规划、组织变革</w:t>
            </w:r>
          </w:p>
        </w:tc>
        <w:tc>
          <w:tcPr>
            <w:tcW w:w="2045" w:type="dxa"/>
            <w:vAlign w:val="center"/>
          </w:tcPr>
          <w:p w14:paraId="234C2DEF">
            <w:pPr>
              <w:spacing w:after="0" w:line="240" w:lineRule="auto"/>
            </w:pPr>
            <w:r>
              <w:t>需企业版另立</w:t>
            </w:r>
          </w:p>
        </w:tc>
      </w:tr>
    </w:tbl>
    <w:p w14:paraId="5AB4A6EA"/>
    <w:p w14:paraId="21D40D9E">
      <w:pPr>
        <w:pStyle w:val="3"/>
      </w:pPr>
      <w:r>
        <w:t>13周执行总览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3EFD794E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31426BBF"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270AE44">
            <w:pPr>
              <w:spacing w:after="0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72C8584">
            <w:pPr>
              <w:spacing w:after="0" w:line="240" w:lineRule="auto"/>
            </w:pPr>
            <w:r>
              <w:rPr>
                <w:b/>
              </w:rPr>
              <w:t>主要工作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F12A202">
            <w:pPr>
              <w:spacing w:after="0" w:line="240" w:lineRule="auto"/>
            </w:pPr>
            <w:r>
              <w:rPr>
                <w:b/>
              </w:rPr>
              <w:t>关键产出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657EF55">
            <w:pPr>
              <w:spacing w:after="0" w:line="240" w:lineRule="auto"/>
            </w:pPr>
            <w:r>
              <w:rPr>
                <w:b/>
              </w:rPr>
              <w:t>关口/版本</w:t>
            </w:r>
          </w:p>
        </w:tc>
      </w:tr>
      <w:tr w14:paraId="6A514AD3">
        <w:trPr>
          <w:jc w:val="center"/>
        </w:trPr>
        <w:tc>
          <w:tcPr>
            <w:tcW w:w="2045" w:type="dxa"/>
            <w:vAlign w:val="center"/>
          </w:tcPr>
          <w:p w14:paraId="04D54636">
            <w:pPr>
              <w:spacing w:after="0" w:line="240" w:lineRule="auto"/>
            </w:pPr>
            <w:r>
              <w:t>商务期</w:t>
            </w:r>
          </w:p>
        </w:tc>
        <w:tc>
          <w:tcPr>
            <w:tcW w:w="2045" w:type="dxa"/>
            <w:vAlign w:val="center"/>
          </w:tcPr>
          <w:p w14:paraId="4767D89E">
            <w:pPr>
              <w:spacing w:after="0" w:line="240" w:lineRule="auto"/>
            </w:pPr>
            <w:r>
              <w:t>步骤01—02</w:t>
            </w:r>
          </w:p>
        </w:tc>
        <w:tc>
          <w:tcPr>
            <w:tcW w:w="2045" w:type="dxa"/>
            <w:vAlign w:val="center"/>
          </w:tcPr>
          <w:p w14:paraId="17DF616E">
            <w:pPr>
              <w:spacing w:after="0" w:line="240" w:lineRule="auto"/>
            </w:pPr>
            <w:r>
              <w:t>客户接触、准入、成交边界</w:t>
            </w:r>
          </w:p>
        </w:tc>
        <w:tc>
          <w:tcPr>
            <w:tcW w:w="2045" w:type="dxa"/>
            <w:vAlign w:val="center"/>
          </w:tcPr>
          <w:p w14:paraId="2FAB9D85">
            <w:pPr>
              <w:spacing w:after="0" w:line="240" w:lineRule="auto"/>
            </w:pPr>
            <w:r>
              <w:t>准入决定/SOW草案</w:t>
            </w:r>
          </w:p>
        </w:tc>
        <w:tc>
          <w:tcPr>
            <w:tcW w:w="2045" w:type="dxa"/>
            <w:vAlign w:val="center"/>
          </w:tcPr>
          <w:p w14:paraId="39913091">
            <w:pPr>
              <w:spacing w:after="0" w:line="240" w:lineRule="auto"/>
            </w:pPr>
            <w:r>
              <w:t>准入决定</w:t>
            </w:r>
          </w:p>
        </w:tc>
      </w:tr>
      <w:tr w14:paraId="2818216E">
        <w:trPr>
          <w:jc w:val="center"/>
        </w:trPr>
        <w:tc>
          <w:tcPr>
            <w:tcW w:w="2045" w:type="dxa"/>
            <w:vAlign w:val="center"/>
          </w:tcPr>
          <w:p w14:paraId="16384D83">
            <w:pPr>
              <w:spacing w:after="0" w:line="240" w:lineRule="auto"/>
            </w:pPr>
            <w:r>
              <w:t>第1周</w:t>
            </w:r>
          </w:p>
        </w:tc>
        <w:tc>
          <w:tcPr>
            <w:tcW w:w="2045" w:type="dxa"/>
            <w:vAlign w:val="center"/>
          </w:tcPr>
          <w:p w14:paraId="6DA7B2EA">
            <w:pPr>
              <w:spacing w:after="0" w:line="240" w:lineRule="auto"/>
            </w:pPr>
            <w:r>
              <w:t>步骤03—06</w:t>
            </w:r>
          </w:p>
        </w:tc>
        <w:tc>
          <w:tcPr>
            <w:tcW w:w="2045" w:type="dxa"/>
            <w:vAlign w:val="center"/>
          </w:tcPr>
          <w:p w14:paraId="3D9BC6CF">
            <w:pPr>
              <w:spacing w:after="0" w:line="240" w:lineRule="auto"/>
            </w:pPr>
            <w:r>
              <w:t>启动、老板访谈、一线观察、资料盘点</w:t>
            </w:r>
          </w:p>
        </w:tc>
        <w:tc>
          <w:tcPr>
            <w:tcW w:w="2045" w:type="dxa"/>
            <w:vAlign w:val="center"/>
          </w:tcPr>
          <w:p w14:paraId="0A1B6A4A">
            <w:pPr>
              <w:spacing w:after="0" w:line="240" w:lineRule="auto"/>
            </w:pPr>
            <w:r>
              <w:t>启动纪要、流程草图、资料清单</w:t>
            </w:r>
          </w:p>
        </w:tc>
        <w:tc>
          <w:tcPr>
            <w:tcW w:w="2045" w:type="dxa"/>
            <w:vAlign w:val="center"/>
          </w:tcPr>
          <w:p w14:paraId="2121B294">
            <w:pPr>
              <w:spacing w:after="0" w:line="240" w:lineRule="auto"/>
            </w:pPr>
            <w:r>
              <w:t>G0</w:t>
            </w:r>
          </w:p>
        </w:tc>
      </w:tr>
      <w:tr w14:paraId="00636364">
        <w:trPr>
          <w:jc w:val="center"/>
        </w:trPr>
        <w:tc>
          <w:tcPr>
            <w:tcW w:w="2045" w:type="dxa"/>
            <w:vAlign w:val="center"/>
          </w:tcPr>
          <w:p w14:paraId="75B680EE">
            <w:pPr>
              <w:spacing w:after="0" w:line="240" w:lineRule="auto"/>
            </w:pPr>
            <w:r>
              <w:t>第2周</w:t>
            </w:r>
          </w:p>
        </w:tc>
        <w:tc>
          <w:tcPr>
            <w:tcW w:w="2045" w:type="dxa"/>
            <w:vAlign w:val="center"/>
          </w:tcPr>
          <w:p w14:paraId="6631DA95">
            <w:pPr>
              <w:spacing w:after="0" w:line="240" w:lineRule="auto"/>
            </w:pPr>
            <w:r>
              <w:t>步骤07</w:t>
            </w:r>
          </w:p>
        </w:tc>
        <w:tc>
          <w:tcPr>
            <w:tcW w:w="2045" w:type="dxa"/>
            <w:vAlign w:val="center"/>
          </w:tcPr>
          <w:p w14:paraId="3ABF90D8">
            <w:pPr>
              <w:spacing w:after="0" w:line="240" w:lineRule="auto"/>
            </w:pPr>
            <w:r>
              <w:t>流程分析、原因判断、基线建立</w:t>
            </w:r>
          </w:p>
        </w:tc>
        <w:tc>
          <w:tcPr>
            <w:tcW w:w="2045" w:type="dxa"/>
            <w:vAlign w:val="center"/>
          </w:tcPr>
          <w:p w14:paraId="487C6466">
            <w:pPr>
              <w:spacing w:after="0" w:line="240" w:lineRule="auto"/>
            </w:pPr>
            <w:r>
              <w:t>诊断报告、基线表</w:t>
            </w:r>
          </w:p>
        </w:tc>
        <w:tc>
          <w:tcPr>
            <w:tcW w:w="2045" w:type="dxa"/>
            <w:vAlign w:val="center"/>
          </w:tcPr>
          <w:p w14:paraId="1B17D19C">
            <w:pPr>
              <w:spacing w:after="0" w:line="240" w:lineRule="auto"/>
            </w:pPr>
            <w:r>
              <w:t>G1</w:t>
            </w:r>
          </w:p>
        </w:tc>
      </w:tr>
      <w:tr w14:paraId="5368DF4B">
        <w:trPr>
          <w:jc w:val="center"/>
        </w:trPr>
        <w:tc>
          <w:tcPr>
            <w:tcW w:w="2045" w:type="dxa"/>
            <w:vAlign w:val="center"/>
          </w:tcPr>
          <w:p w14:paraId="7F46BADC">
            <w:pPr>
              <w:spacing w:after="0" w:line="240" w:lineRule="auto"/>
            </w:pPr>
            <w:r>
              <w:t>第3周</w:t>
            </w:r>
          </w:p>
        </w:tc>
        <w:tc>
          <w:tcPr>
            <w:tcW w:w="2045" w:type="dxa"/>
            <w:vAlign w:val="center"/>
          </w:tcPr>
          <w:p w14:paraId="7B6F5195">
            <w:pPr>
              <w:spacing w:after="0" w:line="240" w:lineRule="auto"/>
            </w:pPr>
            <w:r>
              <w:t>步骤08—09</w:t>
            </w:r>
          </w:p>
        </w:tc>
        <w:tc>
          <w:tcPr>
            <w:tcW w:w="2045" w:type="dxa"/>
            <w:vAlign w:val="center"/>
          </w:tcPr>
          <w:p w14:paraId="3B283817">
            <w:pPr>
              <w:spacing w:after="0" w:line="240" w:lineRule="auto"/>
            </w:pPr>
            <w:r>
              <w:t>场景评分、项目定义、人机边界</w:t>
            </w:r>
          </w:p>
        </w:tc>
        <w:tc>
          <w:tcPr>
            <w:tcW w:w="2045" w:type="dxa"/>
            <w:vAlign w:val="center"/>
          </w:tcPr>
          <w:p w14:paraId="1D74AFA9">
            <w:pPr>
              <w:spacing w:after="0" w:line="240" w:lineRule="auto"/>
            </w:pPr>
            <w:r>
              <w:t>场景选择、V1范围</w:t>
            </w:r>
          </w:p>
        </w:tc>
        <w:tc>
          <w:tcPr>
            <w:tcW w:w="2045" w:type="dxa"/>
            <w:vAlign w:val="center"/>
          </w:tcPr>
          <w:p w14:paraId="312A8D38">
            <w:pPr>
              <w:spacing w:after="0" w:line="240" w:lineRule="auto"/>
            </w:pPr>
            <w:r>
              <w:t>G2</w:t>
            </w:r>
          </w:p>
        </w:tc>
      </w:tr>
      <w:tr w14:paraId="4CC96F7F">
        <w:trPr>
          <w:jc w:val="center"/>
        </w:trPr>
        <w:tc>
          <w:tcPr>
            <w:tcW w:w="2045" w:type="dxa"/>
            <w:vAlign w:val="center"/>
          </w:tcPr>
          <w:p w14:paraId="387E8873">
            <w:pPr>
              <w:spacing w:after="0" w:line="240" w:lineRule="auto"/>
            </w:pPr>
            <w:r>
              <w:t>第4周</w:t>
            </w:r>
          </w:p>
        </w:tc>
        <w:tc>
          <w:tcPr>
            <w:tcW w:w="2045" w:type="dxa"/>
            <w:vAlign w:val="center"/>
          </w:tcPr>
          <w:p w14:paraId="0F93A848">
            <w:pPr>
              <w:spacing w:after="0" w:line="240" w:lineRule="auto"/>
            </w:pPr>
            <w:r>
              <w:t>步骤10—11</w:t>
            </w:r>
          </w:p>
        </w:tc>
        <w:tc>
          <w:tcPr>
            <w:tcW w:w="2045" w:type="dxa"/>
            <w:vAlign w:val="center"/>
          </w:tcPr>
          <w:p w14:paraId="2B8D08FB">
            <w:pPr>
              <w:spacing w:after="0" w:line="240" w:lineRule="auto"/>
            </w:pPr>
            <w:r>
              <w:t>PRD、技术评审、排期和成本</w:t>
            </w:r>
          </w:p>
        </w:tc>
        <w:tc>
          <w:tcPr>
            <w:tcW w:w="2045" w:type="dxa"/>
            <w:vAlign w:val="center"/>
          </w:tcPr>
          <w:p w14:paraId="24E0A329">
            <w:pPr>
              <w:spacing w:after="0" w:line="240" w:lineRule="auto"/>
            </w:pPr>
            <w:r>
              <w:t>PRD、技术方案、排期</w:t>
            </w:r>
          </w:p>
        </w:tc>
        <w:tc>
          <w:tcPr>
            <w:tcW w:w="2045" w:type="dxa"/>
            <w:vAlign w:val="center"/>
          </w:tcPr>
          <w:p w14:paraId="6D595DA3">
            <w:pPr>
              <w:spacing w:after="0" w:line="240" w:lineRule="auto"/>
            </w:pPr>
            <w:r>
              <w:t>G3/G4</w:t>
            </w:r>
          </w:p>
        </w:tc>
      </w:tr>
      <w:tr w14:paraId="66FD58D0">
        <w:trPr>
          <w:jc w:val="center"/>
        </w:trPr>
        <w:tc>
          <w:tcPr>
            <w:tcW w:w="2045" w:type="dxa"/>
            <w:vAlign w:val="center"/>
          </w:tcPr>
          <w:p w14:paraId="6BFD2648">
            <w:pPr>
              <w:spacing w:after="0" w:line="240" w:lineRule="auto"/>
            </w:pPr>
            <w:r>
              <w:t>第5—6周</w:t>
            </w:r>
          </w:p>
        </w:tc>
        <w:tc>
          <w:tcPr>
            <w:tcW w:w="2045" w:type="dxa"/>
            <w:vAlign w:val="center"/>
          </w:tcPr>
          <w:p w14:paraId="41A44247">
            <w:pPr>
              <w:spacing w:after="0" w:line="240" w:lineRule="auto"/>
            </w:pPr>
            <w:r>
              <w:t>步骤12</w:t>
            </w:r>
          </w:p>
        </w:tc>
        <w:tc>
          <w:tcPr>
            <w:tcW w:w="2045" w:type="dxa"/>
            <w:vAlign w:val="center"/>
          </w:tcPr>
          <w:p w14:paraId="70E26AE5">
            <w:pPr>
              <w:spacing w:after="0" w:line="240" w:lineRule="auto"/>
            </w:pPr>
            <w:r>
              <w:t>开发核心流程版</w:t>
            </w:r>
          </w:p>
        </w:tc>
        <w:tc>
          <w:tcPr>
            <w:tcW w:w="2045" w:type="dxa"/>
            <w:vAlign w:val="center"/>
          </w:tcPr>
          <w:p w14:paraId="23B05631">
            <w:pPr>
              <w:spacing w:after="0" w:line="240" w:lineRule="auto"/>
            </w:pPr>
            <w:r>
              <w:t>V1核心流程版</w:t>
            </w:r>
          </w:p>
        </w:tc>
        <w:tc>
          <w:tcPr>
            <w:tcW w:w="2045" w:type="dxa"/>
            <w:vAlign w:val="center"/>
          </w:tcPr>
          <w:p w14:paraId="5B721F0E">
            <w:pPr>
              <w:spacing w:after="0" w:line="240" w:lineRule="auto"/>
            </w:pPr>
            <w:r>
              <w:t>V1</w:t>
            </w:r>
          </w:p>
        </w:tc>
      </w:tr>
      <w:tr w14:paraId="72ABE410">
        <w:trPr>
          <w:jc w:val="center"/>
        </w:trPr>
        <w:tc>
          <w:tcPr>
            <w:tcW w:w="2045" w:type="dxa"/>
            <w:vAlign w:val="center"/>
          </w:tcPr>
          <w:p w14:paraId="4BDE47AC">
            <w:pPr>
              <w:spacing w:after="0" w:line="240" w:lineRule="auto"/>
            </w:pPr>
            <w:r>
              <w:t>第7周</w:t>
            </w:r>
          </w:p>
        </w:tc>
        <w:tc>
          <w:tcPr>
            <w:tcW w:w="2045" w:type="dxa"/>
            <w:vAlign w:val="center"/>
          </w:tcPr>
          <w:p w14:paraId="7305D12C">
            <w:pPr>
              <w:spacing w:after="0" w:line="240" w:lineRule="auto"/>
            </w:pPr>
            <w:r>
              <w:t>步骤13</w:t>
            </w:r>
          </w:p>
        </w:tc>
        <w:tc>
          <w:tcPr>
            <w:tcW w:w="2045" w:type="dxa"/>
            <w:vAlign w:val="center"/>
          </w:tcPr>
          <w:p w14:paraId="0D9F357D">
            <w:pPr>
              <w:spacing w:after="0" w:line="240" w:lineRule="auto"/>
            </w:pPr>
            <w:r>
              <w:t>内部测试、错误样本库、回归</w:t>
            </w:r>
          </w:p>
        </w:tc>
        <w:tc>
          <w:tcPr>
            <w:tcW w:w="2045" w:type="dxa"/>
            <w:vAlign w:val="center"/>
          </w:tcPr>
          <w:p w14:paraId="43913A3B">
            <w:pPr>
              <w:spacing w:after="0" w:line="240" w:lineRule="auto"/>
            </w:pPr>
            <w:r>
              <w:t>V2内部测试版</w:t>
            </w:r>
          </w:p>
        </w:tc>
        <w:tc>
          <w:tcPr>
            <w:tcW w:w="2045" w:type="dxa"/>
            <w:vAlign w:val="center"/>
          </w:tcPr>
          <w:p w14:paraId="2A076E5D">
            <w:pPr>
              <w:spacing w:after="0" w:line="240" w:lineRule="auto"/>
            </w:pPr>
            <w:r>
              <w:t>G5</w:t>
            </w:r>
          </w:p>
        </w:tc>
      </w:tr>
      <w:tr w14:paraId="7773E4B4">
        <w:trPr>
          <w:jc w:val="center"/>
        </w:trPr>
        <w:tc>
          <w:tcPr>
            <w:tcW w:w="2045" w:type="dxa"/>
            <w:vAlign w:val="center"/>
          </w:tcPr>
          <w:p w14:paraId="1721E457">
            <w:pPr>
              <w:spacing w:after="0" w:line="240" w:lineRule="auto"/>
            </w:pPr>
            <w:r>
              <w:t>第8周</w:t>
            </w:r>
          </w:p>
        </w:tc>
        <w:tc>
          <w:tcPr>
            <w:tcW w:w="2045" w:type="dxa"/>
            <w:vAlign w:val="center"/>
          </w:tcPr>
          <w:p w14:paraId="059FD8FE">
            <w:pPr>
              <w:spacing w:after="0" w:line="240" w:lineRule="auto"/>
            </w:pPr>
            <w:r>
              <w:t>步骤14</w:t>
            </w:r>
          </w:p>
        </w:tc>
        <w:tc>
          <w:tcPr>
            <w:tcW w:w="2045" w:type="dxa"/>
            <w:vAlign w:val="center"/>
          </w:tcPr>
          <w:p w14:paraId="3B527E85">
            <w:pPr>
              <w:spacing w:after="0" w:line="240" w:lineRule="auto"/>
            </w:pPr>
            <w:r>
              <w:t>第一轮真实试用</w:t>
            </w:r>
          </w:p>
        </w:tc>
        <w:tc>
          <w:tcPr>
            <w:tcW w:w="2045" w:type="dxa"/>
            <w:vAlign w:val="center"/>
          </w:tcPr>
          <w:p w14:paraId="59C00547">
            <w:pPr>
              <w:spacing w:after="0" w:line="240" w:lineRule="auto"/>
            </w:pPr>
            <w:r>
              <w:t>试用数据、员工反馈</w:t>
            </w:r>
          </w:p>
        </w:tc>
        <w:tc>
          <w:tcPr>
            <w:tcW w:w="2045" w:type="dxa"/>
            <w:vAlign w:val="center"/>
          </w:tcPr>
          <w:p w14:paraId="2022963D">
            <w:pPr>
              <w:spacing w:after="0" w:line="240" w:lineRule="auto"/>
            </w:pPr>
            <w:r>
              <w:t>—</w:t>
            </w:r>
          </w:p>
        </w:tc>
      </w:tr>
      <w:tr w14:paraId="712F7E0D">
        <w:trPr>
          <w:jc w:val="center"/>
        </w:trPr>
        <w:tc>
          <w:tcPr>
            <w:tcW w:w="2045" w:type="dxa"/>
            <w:vAlign w:val="center"/>
          </w:tcPr>
          <w:p w14:paraId="6CE2DCC8">
            <w:pPr>
              <w:spacing w:after="0" w:line="240" w:lineRule="auto"/>
            </w:pPr>
            <w:r>
              <w:t>第9—10周</w:t>
            </w:r>
          </w:p>
        </w:tc>
        <w:tc>
          <w:tcPr>
            <w:tcW w:w="2045" w:type="dxa"/>
            <w:vAlign w:val="center"/>
          </w:tcPr>
          <w:p w14:paraId="539404C9">
            <w:pPr>
              <w:spacing w:after="0" w:line="240" w:lineRule="auto"/>
            </w:pPr>
            <w:r>
              <w:t>步骤15</w:t>
            </w:r>
          </w:p>
        </w:tc>
        <w:tc>
          <w:tcPr>
            <w:tcW w:w="2045" w:type="dxa"/>
            <w:vAlign w:val="center"/>
          </w:tcPr>
          <w:p w14:paraId="60D51D94">
            <w:pPr>
              <w:spacing w:after="0" w:line="240" w:lineRule="auto"/>
            </w:pPr>
            <w:r>
              <w:t>迭代、回归、第二轮试用</w:t>
            </w:r>
          </w:p>
        </w:tc>
        <w:tc>
          <w:tcPr>
            <w:tcW w:w="2045" w:type="dxa"/>
            <w:vAlign w:val="center"/>
          </w:tcPr>
          <w:p w14:paraId="7D18281A">
            <w:pPr>
              <w:spacing w:after="0" w:line="240" w:lineRule="auto"/>
            </w:pPr>
            <w:r>
              <w:t>V3员工试用版</w:t>
            </w:r>
          </w:p>
        </w:tc>
        <w:tc>
          <w:tcPr>
            <w:tcW w:w="2045" w:type="dxa"/>
            <w:vAlign w:val="center"/>
          </w:tcPr>
          <w:p w14:paraId="64ABD7BB">
            <w:pPr>
              <w:spacing w:after="0" w:line="240" w:lineRule="auto"/>
            </w:pPr>
            <w:r>
              <w:t>G6</w:t>
            </w:r>
          </w:p>
        </w:tc>
      </w:tr>
      <w:tr w14:paraId="1DF31725">
        <w:trPr>
          <w:jc w:val="center"/>
        </w:trPr>
        <w:tc>
          <w:tcPr>
            <w:tcW w:w="2045" w:type="dxa"/>
            <w:vAlign w:val="center"/>
          </w:tcPr>
          <w:p w14:paraId="05A016E2">
            <w:pPr>
              <w:spacing w:after="0" w:line="240" w:lineRule="auto"/>
            </w:pPr>
            <w:r>
              <w:t>第11周</w:t>
            </w:r>
          </w:p>
        </w:tc>
        <w:tc>
          <w:tcPr>
            <w:tcW w:w="2045" w:type="dxa"/>
            <w:vAlign w:val="center"/>
          </w:tcPr>
          <w:p w14:paraId="75430C65">
            <w:pPr>
              <w:spacing w:after="0" w:line="240" w:lineRule="auto"/>
            </w:pPr>
            <w:r>
              <w:t>步骤16</w:t>
            </w:r>
          </w:p>
        </w:tc>
        <w:tc>
          <w:tcPr>
            <w:tcW w:w="2045" w:type="dxa"/>
            <w:vAlign w:val="center"/>
          </w:tcPr>
          <w:p w14:paraId="6DAB4AE9">
            <w:pPr>
              <w:spacing w:after="0" w:line="240" w:lineRule="auto"/>
            </w:pPr>
            <w:r>
              <w:t>验收、上线、培训</w:t>
            </w:r>
          </w:p>
        </w:tc>
        <w:tc>
          <w:tcPr>
            <w:tcW w:w="2045" w:type="dxa"/>
            <w:vAlign w:val="center"/>
          </w:tcPr>
          <w:p w14:paraId="3685602B">
            <w:pPr>
              <w:spacing w:after="0" w:line="240" w:lineRule="auto"/>
            </w:pPr>
            <w:r>
              <w:t>验收报告、V1.0</w:t>
            </w:r>
          </w:p>
        </w:tc>
        <w:tc>
          <w:tcPr>
            <w:tcW w:w="2045" w:type="dxa"/>
            <w:vAlign w:val="center"/>
          </w:tcPr>
          <w:p w14:paraId="3999DFB2">
            <w:pPr>
              <w:spacing w:after="0" w:line="240" w:lineRule="auto"/>
            </w:pPr>
            <w:r>
              <w:t>G7</w:t>
            </w:r>
          </w:p>
        </w:tc>
      </w:tr>
      <w:tr w14:paraId="347A733A">
        <w:trPr>
          <w:jc w:val="center"/>
        </w:trPr>
        <w:tc>
          <w:tcPr>
            <w:tcW w:w="2045" w:type="dxa"/>
            <w:vAlign w:val="center"/>
          </w:tcPr>
          <w:p w14:paraId="753DB30A">
            <w:pPr>
              <w:spacing w:after="0" w:line="240" w:lineRule="auto"/>
            </w:pPr>
            <w:r>
              <w:t>第12—13周</w:t>
            </w:r>
          </w:p>
        </w:tc>
        <w:tc>
          <w:tcPr>
            <w:tcW w:w="2045" w:type="dxa"/>
            <w:vAlign w:val="center"/>
          </w:tcPr>
          <w:p w14:paraId="080D0865">
            <w:pPr>
              <w:spacing w:after="0" w:line="240" w:lineRule="auto"/>
            </w:pPr>
            <w:r>
              <w:t>步骤17—18</w:t>
            </w:r>
          </w:p>
        </w:tc>
        <w:tc>
          <w:tcPr>
            <w:tcW w:w="2045" w:type="dxa"/>
            <w:vAlign w:val="center"/>
          </w:tcPr>
          <w:p w14:paraId="0D6C9317">
            <w:pPr>
              <w:spacing w:after="0" w:line="240" w:lineRule="auto"/>
            </w:pPr>
            <w:r>
              <w:t>稳定观察、关闭、续费产品化</w:t>
            </w:r>
          </w:p>
        </w:tc>
        <w:tc>
          <w:tcPr>
            <w:tcW w:w="2045" w:type="dxa"/>
            <w:vAlign w:val="center"/>
          </w:tcPr>
          <w:p w14:paraId="634D2A06">
            <w:pPr>
              <w:spacing w:after="0" w:line="240" w:lineRule="auto"/>
            </w:pPr>
            <w:r>
              <w:t>观察报告、续费方案、资产库</w:t>
            </w:r>
          </w:p>
        </w:tc>
        <w:tc>
          <w:tcPr>
            <w:tcW w:w="2045" w:type="dxa"/>
            <w:vAlign w:val="center"/>
          </w:tcPr>
          <w:p w14:paraId="2EB22E23">
            <w:pPr>
              <w:spacing w:after="0" w:line="240" w:lineRule="auto"/>
            </w:pPr>
            <w:r>
              <w:t>G8</w:t>
            </w:r>
          </w:p>
        </w:tc>
      </w:tr>
    </w:tbl>
    <w:p w14:paraId="35287FE9"/>
    <w:p w14:paraId="29A67BEC">
      <w:pPr>
        <w:pStyle w:val="3"/>
      </w:pPr>
      <w:r>
        <w:t>负责人每天只盯这7件事</w:t>
      </w:r>
    </w:p>
    <w:p w14:paraId="64BBFD6E">
      <w:pPr>
        <w:pStyle w:val="14"/>
      </w:pPr>
      <w:r>
        <w:t>今天推进的是哪个步骤，完成证据是什么。</w:t>
      </w:r>
    </w:p>
    <w:p w14:paraId="4F247F54">
      <w:pPr>
        <w:pStyle w:val="14"/>
      </w:pPr>
      <w:r>
        <w:t>客户欠哪些资料、人员、权限或确认。</w:t>
      </w:r>
    </w:p>
    <w:p w14:paraId="7064AF38">
      <w:pPr>
        <w:pStyle w:val="14"/>
      </w:pPr>
      <w:r>
        <w:t>有没有新增需求，是否影响范围、排期或报价。</w:t>
      </w:r>
    </w:p>
    <w:p w14:paraId="288FA20A">
      <w:pPr>
        <w:pStyle w:val="14"/>
      </w:pPr>
      <w:r>
        <w:t>当前是否满足进入下一关口的硬标准。</w:t>
      </w:r>
    </w:p>
    <w:p w14:paraId="7C50442F">
      <w:pPr>
        <w:pStyle w:val="14"/>
      </w:pPr>
      <w:r>
        <w:t>老板/业务负责人/IT/一线员工有没有分歧。</w:t>
      </w:r>
    </w:p>
    <w:p w14:paraId="39F6D885">
      <w:pPr>
        <w:pStyle w:val="14"/>
      </w:pPr>
      <w:r>
        <w:t>风险是否需要升级到项目群或老板会。</w:t>
      </w:r>
    </w:p>
    <w:p w14:paraId="75FB36E3">
      <w:pPr>
        <w:pStyle w:val="14"/>
      </w:pPr>
      <w:r>
        <w:t>今天结束前谁在什么时间前交付下一动作。</w:t>
      </w:r>
    </w:p>
    <w:p w14:paraId="56C425FF">
      <w:pPr>
        <w:pStyle w:val="3"/>
      </w:pPr>
      <w:r>
        <w:t>文件使用顺序</w:t>
      </w:r>
    </w:p>
    <w:p w14:paraId="34972F4F">
      <w:pPr>
        <w:pStyle w:val="14"/>
      </w:pPr>
      <w:r>
        <w:t>先看本文件，确认项目类型、边界和当前阶段。</w:t>
      </w:r>
    </w:p>
    <w:p w14:paraId="69298E44">
      <w:pPr>
        <w:pStyle w:val="14"/>
      </w:pPr>
      <w:r>
        <w:t>执行时打开《01_全流程执行手册_增强版》，按步骤推进。</w:t>
      </w:r>
    </w:p>
    <w:p w14:paraId="67EBF0E3">
      <w:pPr>
        <w:pStyle w:val="14"/>
      </w:pPr>
      <w:r>
        <w:t>每天使用《02_项目执行工具箱_增强版》记录事实、风险、数据和结论。</w:t>
      </w:r>
    </w:p>
    <w:p w14:paraId="6F6059D1">
      <w:pPr>
        <w:pStyle w:val="14"/>
      </w:pPr>
      <w:r>
        <w:t>开会、访谈、推进、处理客户不配合时，使用《03_项目负责人话术与异常处理手册》。</w:t>
      </w:r>
    </w:p>
    <w:p w14:paraId="4BE5B773">
      <w:pPr>
        <w:pStyle w:val="14"/>
      </w:pPr>
      <w:r>
        <w:t>对外交付或复盘时，使用《04_交付物模板与复盘资产化清单》。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1C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2026-07-13T12:40:47Z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42A9543F15DBBA7D4F6C546AE6D751B8_42</vt:lpwstr>
  </property>
</Properties>
</file>