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  <w:jc w:val="center"/>
      </w:pPr>
      <w:r>
        <w:rPr>
          <w:rFonts w:ascii="STHeiti" w:hAnsi="STHeiti" w:eastAsia="STHeiti"/>
          <w:b/>
          <w:i w:val="0"/>
          <w:color w:val="1F4E78"/>
          <w:sz w:val="40"/>
        </w:rPr>
        <w:t>案例与复制资产沉淀</w:t>
      </w:r>
    </w:p>
    <w:p>
      <w:pPr>
        <w:spacing w:after="200"/>
        <w:jc w:val="center"/>
      </w:pPr>
      <w:r>
        <w:rPr>
          <w:rFonts w:ascii="STHeiti" w:hAnsi="STHeiti" w:eastAsia="STHeiti"/>
          <w:b w:val="0"/>
          <w:i w:val="0"/>
          <w:color w:val="666666"/>
          <w:sz w:val="20"/>
        </w:rPr>
        <w:t>可编辑工作表单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A. 项目摘要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客户类型（可匿名）：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行业/业务场景：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项目起因：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试点范围：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交付周期：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客户投入与元序投入：  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B. 可复用方法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适用条件：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不适用条件：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诊断时必须问的问题：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需要客户准备的资料：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推荐流程与人机分工：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常见异常与处理方式：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可复用提示词、知识库结构或 SOP 位置：  __________________________________________________</w:t>
      </w: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C. 证据边界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7D9"/>
          <w:left w:val="single" w:sz="6" w:space="0" w:color="B8C7D9"/>
          <w:bottom w:val="single" w:sz="6" w:space="0" w:color="B8C7D9"/>
          <w:right w:val="single" w:sz="6" w:space="0" w:color="B8C7D9"/>
          <w:insideH w:val="single" w:sz="6" w:space="0" w:color="B8C7D9"/>
          <w:insideV w:val="single" w:sz="6" w:space="0" w:color="B8C7D9"/>
        </w:tblBorders>
      </w:tblPr>
      <w:tblGrid>
        <w:gridCol w:w="2410"/>
        <w:gridCol w:w="2410"/>
        <w:gridCol w:w="2410"/>
        <w:gridCol w:w="2410"/>
      </w:tblGrid>
      <w:tr>
        <w:trPr>
          <w:trHeight w:val="369" w:hRule="atLeast"/>
          <w:cantSplit/>
          <w:tblHeader w:val="true"/>
        </w:trPr>
        <w:tc>
          <w:tcPr>
            <w:tcW w:type="dxa" w:w="29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证据</w:t>
            </w:r>
          </w:p>
        </w:tc>
        <w:tc>
          <w:tcPr>
            <w:tcW w:type="dxa" w:w="18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已有/缺失</w:t>
            </w:r>
          </w:p>
        </w:tc>
        <w:tc>
          <w:tcPr>
            <w:tcW w:type="dxa" w:w="18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是否可对外使用</w:t>
            </w:r>
          </w:p>
        </w:tc>
        <w:tc>
          <w:tcPr>
            <w:tcW w:type="dxa" w:w="29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STHeiti" w:hAnsi="STHeiti" w:eastAsia="STHeiti"/>
                <w:b/>
                <w:i w:val="0"/>
                <w:color w:val="FFFFFF"/>
                <w:sz w:val="18"/>
              </w:rPr>
              <w:t>授权/来源说明</w:t>
            </w:r>
          </w:p>
        </w:tc>
      </w:tr>
      <w:tr>
        <w:trPr>
          <w:trHeight w:val="482" w:hRule="atLeast"/>
          <w:cantSplit/>
        </w:trPr>
        <w:tc>
          <w:tcPr>
            <w:tcW w:type="dxa" w:w="29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客户原话</w:t>
            </w:r>
          </w:p>
        </w:tc>
        <w:tc>
          <w:tcPr>
            <w:tcW w:type="dxa" w:w="18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是/否/待确认</w:t>
            </w:r>
          </w:p>
        </w:tc>
        <w:tc>
          <w:tcPr>
            <w:tcW w:type="dxa" w:w="29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9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前后数据</w:t>
            </w:r>
          </w:p>
        </w:tc>
        <w:tc>
          <w:tcPr>
            <w:tcW w:type="dxa" w:w="18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是/否/待确认</w:t>
            </w:r>
          </w:p>
        </w:tc>
        <w:tc>
          <w:tcPr>
            <w:tcW w:type="dxa" w:w="29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9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过程记录</w:t>
            </w:r>
          </w:p>
        </w:tc>
        <w:tc>
          <w:tcPr>
            <w:tcW w:type="dxa" w:w="18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是/否/待确认</w:t>
            </w:r>
          </w:p>
        </w:tc>
        <w:tc>
          <w:tcPr>
            <w:tcW w:type="dxa" w:w="29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9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截图/样本</w:t>
            </w:r>
          </w:p>
        </w:tc>
        <w:tc>
          <w:tcPr>
            <w:tcW w:type="dxa" w:w="18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是/否/待确认</w:t>
            </w:r>
          </w:p>
        </w:tc>
        <w:tc>
          <w:tcPr>
            <w:tcW w:type="dxa" w:w="29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  <w:tr>
        <w:trPr>
          <w:trHeight w:val="482" w:hRule="atLeast"/>
          <w:cantSplit/>
        </w:trPr>
        <w:tc>
          <w:tcPr>
            <w:tcW w:type="dxa" w:w="29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客户名称/Logo</w:t>
            </w:r>
          </w:p>
        </w:tc>
        <w:tc>
          <w:tcPr>
            <w:tcW w:type="dxa" w:w="18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  <w:t>是/否/待确认</w:t>
            </w:r>
          </w:p>
        </w:tc>
        <w:tc>
          <w:tcPr>
            <w:tcW w:type="dxa" w:w="2945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STHeiti" w:hAnsi="STHeiti" w:eastAsia="STHeiti"/>
                <w:b w:val="0"/>
                <w:i w:val="0"/>
                <w:color w:val="00000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80"/>
      </w:pPr>
      <w:r>
        <w:rPr>
          <w:rFonts w:ascii="STHeiti" w:hAnsi="STHeiti" w:eastAsia="STHeiti"/>
          <w:b/>
          <w:i w:val="0"/>
          <w:color w:val="1F4E78"/>
          <w:sz w:val="30"/>
        </w:rPr>
        <w:t>D. 复制建议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最接近的下一类客户：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可标准化成的服务包：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仍需人工定制的部分：  __________________________________________________</w:t>
      </w:r>
    </w:p>
    <w:p>
      <w:pPr>
        <w:pStyle w:val="ListBullet"/>
        <w:spacing w:after="80" w:line="288" w:lineRule="auto"/>
      </w:pPr>
      <w:r>
        <w:rPr>
          <w:rFonts w:ascii="STHeiti" w:hAnsi="STHeiti" w:eastAsia="STHeiti"/>
          <w:b w:val="0"/>
          <w:i w:val="0"/>
          <w:color w:val="000000"/>
          <w:sz w:val="21"/>
        </w:rPr>
        <w:t>下一步验证假设：  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THeiti" w:hAnsi="STHeiti" w:eastAsia="STHeiti"/>
        <w:b w:val="0"/>
        <w:i w:val="0"/>
        <w:color w:val="666666"/>
        <w:sz w:val="17"/>
      </w:rPr>
      <w:t>元序智能 · 案例与复制资产沉淀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案例与复制资产沉淀</dc:title>
  <dc:subject>元序智能业务型FDE项目管理工具包</dc:subject>
  <dc:creator>元序智能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