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 Unicode MS" w:hAnsi="Arial Unicode MS" w:eastAsia="Arial Unicode MS"/>
          <w:b/>
          <w:color w:val="1F4D78"/>
          <w:sz w:val="36"/>
        </w:rPr>
        <w:t>表单C｜AI技术岗位画像确认表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D3使用｜30分钟确认会｜老板签字冻结V1.0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岗位名称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AI工作流与Agent技术工程师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V1.0</w:t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确认日期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确认人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确认内容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岗位使命</w:t>
            </w:r>
          </w:p>
        </w:tc>
        <w:tc>
          <w:tcPr>
            <w:tcW w:type="dxa" w:w="68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阶段结果（第7/30/60/90天）</w:t>
            </w:r>
          </w:p>
        </w:tc>
        <w:tc>
          <w:tcPr>
            <w:tcW w:type="dxa" w:w="68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三项核心任务</w:t>
            </w:r>
          </w:p>
        </w:tc>
        <w:tc>
          <w:tcPr>
            <w:tcW w:type="dxa" w:w="68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必须能力与可培养能力</w:t>
            </w:r>
          </w:p>
        </w:tc>
        <w:tc>
          <w:tcPr>
            <w:tcW w:type="dxa" w:w="68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必须展示的作品证据</w:t>
            </w:r>
          </w:p>
        </w:tc>
        <w:tc>
          <w:tcPr>
            <w:tcW w:type="dxa" w:w="68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一票否决项</w:t>
            </w:r>
          </w:p>
        </w:tc>
        <w:tc>
          <w:tcPr>
            <w:tcW w:type="dxa" w:w="68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薪资/地点/出差</w:t>
            </w:r>
          </w:p>
        </w:tc>
        <w:tc>
          <w:tcPr>
            <w:tcW w:type="dxa" w:w="68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能力权重确认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能力组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建议权重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最终权重</w:t>
            </w:r>
          </w:p>
        </w:tc>
        <w:tc>
          <w:tcPr>
            <w:tcW w:type="dxa" w:w="33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老板确认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工作流与Agent实现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45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  <w:tc>
          <w:tcPr>
            <w:tcW w:type="dxa" w:w="33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API、数据与知识库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25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  <w:tc>
          <w:tcPr>
            <w:tcW w:type="dxa" w:w="33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调试、稳定性、文档与协作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30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  <w:tc>
          <w:tcPr>
            <w:tcW w:type="dxa" w:w="33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表单C｜AI技术岗位画像确认表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