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 Unicode MS" w:hAnsi="Arial Unicode MS" w:eastAsia="Arial Unicode MS"/>
          <w:b/>
          <w:color w:val="1F4D78"/>
          <w:sz w:val="44"/>
        </w:rPr>
        <w:t>表单G｜技术试岗任务书与评分表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 w:val="0"/>
          <w:color w:val="5A646E"/>
          <w:sz w:val="21"/>
        </w:rPr>
        <w:t>D11发出任务；D12—D13评审｜候选人与评委各一份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候选人编号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姓名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发出时间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提交截止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EE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任务：根据已确认需求与脱敏招聘材料，搭建“候选人资料结构化与面试追问生成”工作流或Agent原型。建议4—8小时。</w:t>
            </w:r>
          </w:p>
        </w:tc>
      </w:tr>
    </w:tbl>
    <w:p/>
    <w:p>
      <w:pPr>
        <w:pStyle w:val="Heading1"/>
      </w:pPr>
      <w:r>
        <w:t>候选人必须提交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技术方案图：触发、输入、处理节点、分支、输出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可运行原型及运行方式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平台、模型、API、数据库及依赖清单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关键提示词、Schema或字段设计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至少5条测试数据及结果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超时、空值、格式错误、模型失败的处理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日志、重试、人工审核、权限与隐私方案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部署/配置说明和操作文档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已知限制及下一轮优化计划</w:t>
      </w:r>
    </w:p>
    <w:p>
      <w:pPr>
        <w:pStyle w:val="Heading1"/>
      </w:pPr>
      <w:r>
        <w:t>现场压力测试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1. 现场修改一个字段或节点并重新运行。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2. API超时、限流或返回格式变化时如何处理？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3. 模型输出不符合Schema时如何重试或回退？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4. 如何查看日志并定位一次失败执行？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5. 如果数据量扩大10倍，瓶颈在哪里？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keepNext/>
        <w:spacing w:before="80" w:after="60"/>
      </w:pPr>
      <w:r>
        <w:rPr>
          <w:rFonts w:ascii="Arial Unicode MS" w:hAnsi="Arial Unicode MS" w:eastAsia="Arial Unicode MS"/>
          <w:b/>
          <w:color w:val="1F4D78"/>
          <w:sz w:val="20"/>
        </w:rPr>
        <w:t>6. 交给另一名技术人员维护，需要哪些文档？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pStyle w:val="Heading1"/>
      </w:pPr>
      <w:r>
        <w:t>评委评分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证据/备注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工作流完整性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Agent/模型设计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API与数据集成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原型可运行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异常处理与稳定性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测试与调试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文档与可维护性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47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4F6F9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80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评委综合记录（现场修改表现、失败处理、可维护性）</w:t>
            </w:r>
          </w:p>
          <w:p>
            <w:pPr>
              <w:spacing w:after="60"/>
            </w:pPr>
            <w:r>
              <w:rPr>
                <w:rFonts w:ascii="Arial Unicode MS" w:hAnsi="Arial Unicode MS" w:eastAsia="Arial Unicode MS"/>
                <w:b w:val="0"/>
                <w:color w:val="5A646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 Unicode MS" w:hAnsi="Arial Unicode MS" w:eastAsia="Arial Unicode MS"/>
                <w:b w:val="0"/>
                <w:color w:val="5A646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 Unicode MS" w:hAnsi="Arial Unicode MS" w:eastAsia="Arial Unicode MS"/>
                <w:b w:val="0"/>
                <w:color w:val="5A646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 Unicode MS" w:hAnsi="Arial Unicode MS" w:eastAsia="Arial Unicode MS"/>
                <w:b w:val="0"/>
                <w:color w:val="5A646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EE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总分：________/100　评委签字：________________　建议：□终面　□待比较　□不进入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5A646E"/>
        <w:sz w:val="16"/>
      </w:rPr>
      <w:t>AI工作流与Agent技术人员招聘试点｜内部使用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5A646E"/>
        <w:sz w:val="16"/>
      </w:rPr>
      <w:t>表单G｜技术试岗任务书与评分表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