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E1236">
      <w:pPr>
        <w:jc w:val="center"/>
      </w:pPr>
      <w:r>
        <w:rPr>
          <w:b/>
          <w:sz w:val="44"/>
        </w:rPr>
        <w:t>03_项目负责人话术与异常处理手册</w:t>
      </w:r>
    </w:p>
    <w:p w14:paraId="34707ABC">
      <w:pPr>
        <w:jc w:val="center"/>
      </w:pPr>
      <w:r>
        <w:rPr>
          <w:color w:val="5A5A5A"/>
          <w:sz w:val="24"/>
        </w:rPr>
        <w:t>访谈、老板沟通、客户不配合、变更和续费推进</w:t>
      </w:r>
    </w:p>
    <w:p w14:paraId="59EED22D"/>
    <w:p w14:paraId="7C442096">
      <w:pPr>
        <w:pStyle w:val="3"/>
      </w:pPr>
      <w:r>
        <w:t>一、售前与首次沟通话术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6AD5084A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0859336">
            <w:pPr>
              <w:spacing w:after="0" w:line="240" w:lineRule="auto"/>
            </w:pPr>
            <w:r>
              <w:rPr>
                <w:b/>
              </w:rPr>
              <w:t>场景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B22CE04">
            <w:pPr>
              <w:spacing w:after="0" w:line="240" w:lineRule="auto"/>
            </w:pPr>
            <w:r>
              <w:rPr>
                <w:b/>
              </w:rPr>
              <w:t>建议话术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7F1B0A6">
            <w:pPr>
              <w:spacing w:after="0" w:line="240" w:lineRule="auto"/>
            </w:pPr>
            <w:r>
              <w:rPr>
                <w:b/>
              </w:rPr>
              <w:t>目的</w:t>
            </w:r>
          </w:p>
        </w:tc>
      </w:tr>
      <w:tr w14:paraId="1464A722">
        <w:trPr>
          <w:jc w:val="center"/>
        </w:trPr>
        <w:tc>
          <w:tcPr>
            <w:tcW w:w="3408" w:type="dxa"/>
            <w:vAlign w:val="center"/>
          </w:tcPr>
          <w:p w14:paraId="50DFE269">
            <w:pPr>
              <w:spacing w:after="0" w:line="240" w:lineRule="auto"/>
            </w:pPr>
            <w:r>
              <w:t>客户说想了解AI</w:t>
            </w:r>
          </w:p>
        </w:tc>
        <w:tc>
          <w:tcPr>
            <w:tcW w:w="3408" w:type="dxa"/>
            <w:vAlign w:val="center"/>
          </w:tcPr>
          <w:p w14:paraId="7782B63A">
            <w:pPr>
              <w:spacing w:after="0" w:line="240" w:lineRule="auto"/>
            </w:pPr>
            <w:r>
              <w:t>我先不急着推荐工具。我们先判断三个东西：业务目标是否明确、流程是否稳定、数据是否能验证。如果这三个不成立，直接上AI大概率会变成演示。</w:t>
            </w:r>
          </w:p>
        </w:tc>
        <w:tc>
          <w:tcPr>
            <w:tcW w:w="3408" w:type="dxa"/>
            <w:vAlign w:val="center"/>
          </w:tcPr>
          <w:p w14:paraId="4CD332BA">
            <w:pPr>
              <w:spacing w:after="0" w:line="240" w:lineRule="auto"/>
            </w:pPr>
            <w:r>
              <w:t>拉回业务问题</w:t>
            </w:r>
          </w:p>
        </w:tc>
      </w:tr>
      <w:tr w14:paraId="015ABB6B">
        <w:trPr>
          <w:jc w:val="center"/>
        </w:trPr>
        <w:tc>
          <w:tcPr>
            <w:tcW w:w="3408" w:type="dxa"/>
            <w:vAlign w:val="center"/>
          </w:tcPr>
          <w:p w14:paraId="11509C09">
            <w:pPr>
              <w:spacing w:after="0" w:line="240" w:lineRule="auto"/>
            </w:pPr>
            <w:r>
              <w:t>客户问能不能保证效果</w:t>
            </w:r>
          </w:p>
        </w:tc>
        <w:tc>
          <w:tcPr>
            <w:tcW w:w="3408" w:type="dxa"/>
            <w:vAlign w:val="center"/>
          </w:tcPr>
          <w:p w14:paraId="25870A66">
            <w:pPr>
              <w:spacing w:after="0" w:line="240" w:lineRule="auto"/>
            </w:pPr>
            <w:r>
              <w:t>我不能在没诊断前承诺结果。我们可以先用小场景做试点，用基线和试用数据判断是否值得继续投入。</w:t>
            </w:r>
          </w:p>
        </w:tc>
        <w:tc>
          <w:tcPr>
            <w:tcW w:w="3408" w:type="dxa"/>
            <w:vAlign w:val="center"/>
          </w:tcPr>
          <w:p w14:paraId="3598CFE7">
            <w:pPr>
              <w:spacing w:after="0" w:line="240" w:lineRule="auto"/>
            </w:pPr>
            <w:r>
              <w:t>控制预期</w:t>
            </w:r>
          </w:p>
        </w:tc>
      </w:tr>
      <w:tr w14:paraId="0A6472F5">
        <w:trPr>
          <w:jc w:val="center"/>
        </w:trPr>
        <w:tc>
          <w:tcPr>
            <w:tcW w:w="3408" w:type="dxa"/>
            <w:vAlign w:val="center"/>
          </w:tcPr>
          <w:p w14:paraId="76E21FC2">
            <w:pPr>
              <w:spacing w:after="0" w:line="240" w:lineRule="auto"/>
            </w:pPr>
            <w:r>
              <w:t>客户想全公司都做</w:t>
            </w:r>
          </w:p>
        </w:tc>
        <w:tc>
          <w:tcPr>
            <w:tcW w:w="3408" w:type="dxa"/>
            <w:vAlign w:val="center"/>
          </w:tcPr>
          <w:p w14:paraId="139DCE42">
            <w:pPr>
              <w:spacing w:after="0" w:line="240" w:lineRule="auto"/>
            </w:pPr>
            <w:r>
              <w:t>全公司做可以作为方向，但第一期建议只选一个部门、一个岗位、一个核心流程。先做出可验证样板，再复制。</w:t>
            </w:r>
          </w:p>
        </w:tc>
        <w:tc>
          <w:tcPr>
            <w:tcW w:w="3408" w:type="dxa"/>
            <w:vAlign w:val="center"/>
          </w:tcPr>
          <w:p w14:paraId="67C48869">
            <w:pPr>
              <w:spacing w:after="0" w:line="240" w:lineRule="auto"/>
            </w:pPr>
            <w:r>
              <w:t>缩小范围</w:t>
            </w:r>
          </w:p>
        </w:tc>
      </w:tr>
      <w:tr w14:paraId="7B43DF65">
        <w:trPr>
          <w:jc w:val="center"/>
        </w:trPr>
        <w:tc>
          <w:tcPr>
            <w:tcW w:w="3408" w:type="dxa"/>
            <w:vAlign w:val="center"/>
          </w:tcPr>
          <w:p w14:paraId="0AAD6792">
            <w:pPr>
              <w:spacing w:after="0" w:line="240" w:lineRule="auto"/>
            </w:pPr>
            <w:r>
              <w:t>客户只想培训</w:t>
            </w:r>
          </w:p>
        </w:tc>
        <w:tc>
          <w:tcPr>
            <w:tcW w:w="3408" w:type="dxa"/>
            <w:vAlign w:val="center"/>
          </w:tcPr>
          <w:p w14:paraId="4C0DD167">
            <w:pPr>
              <w:spacing w:after="0" w:line="240" w:lineRule="auto"/>
            </w:pPr>
            <w:r>
              <w:t>如果只是建立认知，可以先做培训；如果要业务结果，需要进入诊断和试点，两者交付物不一样。</w:t>
            </w:r>
          </w:p>
        </w:tc>
        <w:tc>
          <w:tcPr>
            <w:tcW w:w="3408" w:type="dxa"/>
            <w:vAlign w:val="center"/>
          </w:tcPr>
          <w:p w14:paraId="7AF503B6">
            <w:pPr>
              <w:spacing w:after="0" w:line="240" w:lineRule="auto"/>
            </w:pPr>
            <w:r>
              <w:t>项目分型</w:t>
            </w:r>
          </w:p>
        </w:tc>
      </w:tr>
    </w:tbl>
    <w:p w14:paraId="3BDEF215"/>
    <w:p w14:paraId="218BA075">
      <w:pPr>
        <w:pStyle w:val="3"/>
      </w:pPr>
      <w:r>
        <w:t>二、老板沟通四次会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0CB85D5E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0161CE4">
            <w:pPr>
              <w:spacing w:after="0" w:line="240" w:lineRule="auto"/>
            </w:pPr>
            <w:r>
              <w:rPr>
                <w:b/>
              </w:rPr>
              <w:t>会议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3732592">
            <w:pPr>
              <w:spacing w:after="0" w:line="240" w:lineRule="auto"/>
            </w:pPr>
            <w:r>
              <w:rPr>
                <w:b/>
              </w:rPr>
              <w:t>时间点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30FA007">
            <w:pPr>
              <w:spacing w:after="0" w:line="240" w:lineRule="auto"/>
            </w:pPr>
            <w:r>
              <w:rPr>
                <w:b/>
              </w:rPr>
              <w:t>汇报重点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67E2C64">
            <w:pPr>
              <w:spacing w:after="0" w:line="240" w:lineRule="auto"/>
            </w:pPr>
            <w:r>
              <w:rPr>
                <w:b/>
              </w:rPr>
              <w:t>必须确认</w:t>
            </w:r>
          </w:p>
        </w:tc>
      </w:tr>
      <w:tr w14:paraId="2551A660">
        <w:trPr>
          <w:jc w:val="center"/>
        </w:trPr>
        <w:tc>
          <w:tcPr>
            <w:tcW w:w="2556" w:type="dxa"/>
            <w:vAlign w:val="center"/>
          </w:tcPr>
          <w:p w14:paraId="7384110C">
            <w:pPr>
              <w:spacing w:after="0" w:line="240" w:lineRule="auto"/>
            </w:pPr>
            <w:r>
              <w:t>启动会</w:t>
            </w:r>
          </w:p>
        </w:tc>
        <w:tc>
          <w:tcPr>
            <w:tcW w:w="2556" w:type="dxa"/>
            <w:vAlign w:val="center"/>
          </w:tcPr>
          <w:p w14:paraId="7794F31A">
            <w:pPr>
              <w:spacing w:after="0" w:line="240" w:lineRule="auto"/>
            </w:pPr>
            <w:r>
              <w:t>步骤03</w:t>
            </w:r>
          </w:p>
        </w:tc>
        <w:tc>
          <w:tcPr>
            <w:tcW w:w="2556" w:type="dxa"/>
            <w:vAlign w:val="center"/>
          </w:tcPr>
          <w:p w14:paraId="14708ABF">
            <w:pPr>
              <w:spacing w:after="0" w:line="240" w:lineRule="auto"/>
            </w:pPr>
            <w:r>
              <w:t>项目目标、边界、不做事项、角色和节奏</w:t>
            </w:r>
          </w:p>
        </w:tc>
        <w:tc>
          <w:tcPr>
            <w:tcW w:w="2556" w:type="dxa"/>
            <w:vAlign w:val="center"/>
          </w:tcPr>
          <w:p w14:paraId="458B6749">
            <w:pPr>
              <w:spacing w:after="0" w:line="240" w:lineRule="auto"/>
            </w:pPr>
            <w:r>
              <w:t>老板/业务负责人/IT/一线代表到位</w:t>
            </w:r>
          </w:p>
        </w:tc>
      </w:tr>
      <w:tr w14:paraId="387060BF">
        <w:trPr>
          <w:jc w:val="center"/>
        </w:trPr>
        <w:tc>
          <w:tcPr>
            <w:tcW w:w="2556" w:type="dxa"/>
            <w:vAlign w:val="center"/>
          </w:tcPr>
          <w:p w14:paraId="7334C8E5">
            <w:pPr>
              <w:spacing w:after="0" w:line="240" w:lineRule="auto"/>
            </w:pPr>
            <w:r>
              <w:t>诊断会</w:t>
            </w:r>
          </w:p>
        </w:tc>
        <w:tc>
          <w:tcPr>
            <w:tcW w:w="2556" w:type="dxa"/>
            <w:vAlign w:val="center"/>
          </w:tcPr>
          <w:p w14:paraId="56F57F95">
            <w:pPr>
              <w:spacing w:after="0" w:line="240" w:lineRule="auto"/>
            </w:pPr>
            <w:r>
              <w:t>步骤07</w:t>
            </w:r>
          </w:p>
        </w:tc>
        <w:tc>
          <w:tcPr>
            <w:tcW w:w="2556" w:type="dxa"/>
            <w:vAlign w:val="center"/>
          </w:tcPr>
          <w:p w14:paraId="209BE8FD">
            <w:pPr>
              <w:spacing w:after="0" w:line="240" w:lineRule="auto"/>
            </w:pPr>
            <w:r>
              <w:t>真实流程、问题原因、基线数据、非AI问题</w:t>
            </w:r>
          </w:p>
        </w:tc>
        <w:tc>
          <w:tcPr>
            <w:tcW w:w="2556" w:type="dxa"/>
            <w:vAlign w:val="center"/>
          </w:tcPr>
          <w:p w14:paraId="4CD1A72C">
            <w:pPr>
              <w:spacing w:after="0" w:line="240" w:lineRule="auto"/>
            </w:pPr>
            <w:r>
              <w:t>是否认同问题判断和验收口径</w:t>
            </w:r>
          </w:p>
        </w:tc>
      </w:tr>
      <w:tr w14:paraId="54F8A840">
        <w:trPr>
          <w:jc w:val="center"/>
        </w:trPr>
        <w:tc>
          <w:tcPr>
            <w:tcW w:w="2556" w:type="dxa"/>
            <w:vAlign w:val="center"/>
          </w:tcPr>
          <w:p w14:paraId="78957090">
            <w:pPr>
              <w:spacing w:after="0" w:line="240" w:lineRule="auto"/>
            </w:pPr>
            <w:r>
              <w:t>方案会</w:t>
            </w:r>
          </w:p>
        </w:tc>
        <w:tc>
          <w:tcPr>
            <w:tcW w:w="2556" w:type="dxa"/>
            <w:vAlign w:val="center"/>
          </w:tcPr>
          <w:p w14:paraId="7163924A">
            <w:pPr>
              <w:spacing w:after="0" w:line="240" w:lineRule="auto"/>
            </w:pPr>
            <w:r>
              <w:t>步骤08—11</w:t>
            </w:r>
          </w:p>
        </w:tc>
        <w:tc>
          <w:tcPr>
            <w:tcW w:w="2556" w:type="dxa"/>
            <w:vAlign w:val="center"/>
          </w:tcPr>
          <w:p w14:paraId="16A6FF69">
            <w:pPr>
              <w:spacing w:after="0" w:line="240" w:lineRule="auto"/>
            </w:pPr>
            <w:r>
              <w:t>核心场景、V1范围、人机边界、成本风险</w:t>
            </w:r>
          </w:p>
        </w:tc>
        <w:tc>
          <w:tcPr>
            <w:tcW w:w="2556" w:type="dxa"/>
            <w:vAlign w:val="center"/>
          </w:tcPr>
          <w:p w14:paraId="23E3EB2E">
            <w:pPr>
              <w:spacing w:after="0" w:line="240" w:lineRule="auto"/>
            </w:pPr>
            <w:r>
              <w:t>是否同意只做一个核心场景</w:t>
            </w:r>
          </w:p>
        </w:tc>
      </w:tr>
      <w:tr w14:paraId="7C267A38">
        <w:trPr>
          <w:jc w:val="center"/>
        </w:trPr>
        <w:tc>
          <w:tcPr>
            <w:tcW w:w="2556" w:type="dxa"/>
            <w:vAlign w:val="center"/>
          </w:tcPr>
          <w:p w14:paraId="06E54F6D">
            <w:pPr>
              <w:spacing w:after="0" w:line="240" w:lineRule="auto"/>
            </w:pPr>
            <w:r>
              <w:t>验收会</w:t>
            </w:r>
          </w:p>
        </w:tc>
        <w:tc>
          <w:tcPr>
            <w:tcW w:w="2556" w:type="dxa"/>
            <w:vAlign w:val="center"/>
          </w:tcPr>
          <w:p w14:paraId="3CAC3795">
            <w:pPr>
              <w:spacing w:after="0" w:line="240" w:lineRule="auto"/>
            </w:pPr>
            <w:r>
              <w:t>步骤16</w:t>
            </w:r>
          </w:p>
        </w:tc>
        <w:tc>
          <w:tcPr>
            <w:tcW w:w="2556" w:type="dxa"/>
            <w:vAlign w:val="center"/>
          </w:tcPr>
          <w:p w14:paraId="407ADE9C">
            <w:pPr>
              <w:spacing w:after="0" w:line="240" w:lineRule="auto"/>
            </w:pPr>
            <w:r>
              <w:t>前后数据、使用情况、质量风险、经济价值</w:t>
            </w:r>
          </w:p>
        </w:tc>
        <w:tc>
          <w:tcPr>
            <w:tcW w:w="2556" w:type="dxa"/>
            <w:vAlign w:val="center"/>
          </w:tcPr>
          <w:p w14:paraId="6BEA6E7A">
            <w:pPr>
              <w:spacing w:after="0" w:line="240" w:lineRule="auto"/>
            </w:pPr>
            <w:r>
              <w:t>通过/有条件通过/继续试用/不通过</w:t>
            </w:r>
          </w:p>
        </w:tc>
      </w:tr>
    </w:tbl>
    <w:p w14:paraId="188333DB"/>
    <w:p w14:paraId="3EC4496C">
      <w:pPr>
        <w:pStyle w:val="3"/>
        <w:tabs>
          <w:tab w:val="left" w:pos="4328"/>
        </w:tabs>
        <w:rPr>
          <w:rFonts w:hint="eastAsia" w:eastAsiaTheme="majorEastAsia"/>
          <w:lang w:eastAsia="zh-CN"/>
        </w:rPr>
      </w:pPr>
    </w:p>
    <w:p w14:paraId="0BC8CC72">
      <w:pPr>
        <w:rPr>
          <w:rFonts w:hint="eastAsia"/>
          <w:lang w:eastAsia="zh-CN"/>
        </w:rPr>
      </w:pPr>
      <w:bookmarkStart w:id="0" w:name="_GoBack"/>
      <w:bookmarkEnd w:id="0"/>
    </w:p>
    <w:p w14:paraId="73831F93">
      <w:pPr>
        <w:pStyle w:val="3"/>
      </w:pPr>
      <w:r>
        <w:t>三、客户不配合处理规则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B741358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6A9D8DF">
            <w:pPr>
              <w:spacing w:after="0" w:line="240" w:lineRule="auto"/>
            </w:pPr>
            <w:r>
              <w:rPr>
                <w:b/>
              </w:rPr>
              <w:t>情况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DADA9F2">
            <w:pPr>
              <w:spacing w:after="0" w:line="240" w:lineRule="auto"/>
            </w:pPr>
            <w:r>
              <w:rPr>
                <w:b/>
              </w:rPr>
              <w:t>第一次处理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2997A000">
            <w:pPr>
              <w:spacing w:after="0" w:line="240" w:lineRule="auto"/>
            </w:pPr>
            <w:r>
              <w:rPr>
                <w:b/>
              </w:rPr>
              <w:t>第二次处理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6E1A5E20">
            <w:pPr>
              <w:spacing w:after="0" w:line="240" w:lineRule="auto"/>
            </w:pPr>
            <w:r>
              <w:rPr>
                <w:b/>
              </w:rPr>
              <w:t>第三次处理</w:t>
            </w:r>
          </w:p>
        </w:tc>
      </w:tr>
      <w:tr w14:paraId="22CFB529">
        <w:trPr>
          <w:jc w:val="center"/>
        </w:trPr>
        <w:tc>
          <w:tcPr>
            <w:tcW w:w="2556" w:type="dxa"/>
            <w:vAlign w:val="center"/>
          </w:tcPr>
          <w:p w14:paraId="08023169">
            <w:pPr>
              <w:spacing w:after="0" w:line="240" w:lineRule="auto"/>
            </w:pPr>
            <w:r>
              <w:t>不提供资料</w:t>
            </w:r>
          </w:p>
        </w:tc>
        <w:tc>
          <w:tcPr>
            <w:tcW w:w="2556" w:type="dxa"/>
            <w:vAlign w:val="center"/>
          </w:tcPr>
          <w:p w14:paraId="0BC9E382">
            <w:pPr>
              <w:spacing w:after="0" w:line="240" w:lineRule="auto"/>
            </w:pPr>
            <w:r>
              <w:t>提醒资料用途、格式、截止时间</w:t>
            </w:r>
          </w:p>
        </w:tc>
        <w:tc>
          <w:tcPr>
            <w:tcW w:w="2556" w:type="dxa"/>
            <w:vAlign w:val="center"/>
          </w:tcPr>
          <w:p w14:paraId="375F8A5E">
            <w:pPr>
              <w:spacing w:after="0" w:line="240" w:lineRule="auto"/>
            </w:pPr>
            <w:r>
              <w:t>项目群发风险提醒，交付周期顺延</w:t>
            </w:r>
          </w:p>
        </w:tc>
        <w:tc>
          <w:tcPr>
            <w:tcW w:w="2556" w:type="dxa"/>
            <w:vAlign w:val="center"/>
          </w:tcPr>
          <w:p w14:paraId="107BDAAC">
            <w:pPr>
              <w:spacing w:after="0" w:line="240" w:lineRule="auto"/>
            </w:pPr>
            <w:r>
              <w:t>召开暂停/改范围会议</w:t>
            </w:r>
          </w:p>
        </w:tc>
      </w:tr>
      <w:tr w14:paraId="42630423">
        <w:trPr>
          <w:jc w:val="center"/>
        </w:trPr>
        <w:tc>
          <w:tcPr>
            <w:tcW w:w="2556" w:type="dxa"/>
            <w:vAlign w:val="center"/>
          </w:tcPr>
          <w:p w14:paraId="65730B47">
            <w:pPr>
              <w:spacing w:after="0" w:line="240" w:lineRule="auto"/>
            </w:pPr>
            <w:r>
              <w:t>负责人不确认</w:t>
            </w:r>
          </w:p>
        </w:tc>
        <w:tc>
          <w:tcPr>
            <w:tcW w:w="2556" w:type="dxa"/>
            <w:vAlign w:val="center"/>
          </w:tcPr>
          <w:p w14:paraId="39CF0F70">
            <w:pPr>
              <w:spacing w:after="0" w:line="240" w:lineRule="auto"/>
            </w:pPr>
            <w:r>
              <w:t>发送待确认清单和影响说明</w:t>
            </w:r>
          </w:p>
        </w:tc>
        <w:tc>
          <w:tcPr>
            <w:tcW w:w="2556" w:type="dxa"/>
            <w:vAlign w:val="center"/>
          </w:tcPr>
          <w:p w14:paraId="24B17681">
            <w:pPr>
              <w:spacing w:after="0" w:line="240" w:lineRule="auto"/>
            </w:pPr>
            <w:r>
              <w:t>升级给老板/决策人</w:t>
            </w:r>
          </w:p>
        </w:tc>
        <w:tc>
          <w:tcPr>
            <w:tcW w:w="2556" w:type="dxa"/>
            <w:vAlign w:val="center"/>
          </w:tcPr>
          <w:p w14:paraId="5123E246">
            <w:pPr>
              <w:spacing w:after="0" w:line="240" w:lineRule="auto"/>
            </w:pPr>
            <w:r>
              <w:t>暂停进入下一关口</w:t>
            </w:r>
          </w:p>
        </w:tc>
      </w:tr>
      <w:tr w14:paraId="0456A5D9">
        <w:trPr>
          <w:jc w:val="center"/>
        </w:trPr>
        <w:tc>
          <w:tcPr>
            <w:tcW w:w="2556" w:type="dxa"/>
            <w:vAlign w:val="center"/>
          </w:tcPr>
          <w:p w14:paraId="32D86A19">
            <w:pPr>
              <w:spacing w:after="0" w:line="240" w:lineRule="auto"/>
            </w:pPr>
            <w:r>
              <w:t>员工不参与试用</w:t>
            </w:r>
          </w:p>
        </w:tc>
        <w:tc>
          <w:tcPr>
            <w:tcW w:w="2556" w:type="dxa"/>
            <w:vAlign w:val="center"/>
          </w:tcPr>
          <w:p w14:paraId="3A78BD6E">
            <w:pPr>
              <w:spacing w:after="0" w:line="240" w:lineRule="auto"/>
            </w:pPr>
            <w:r>
              <w:t>请业务负责人重新指定人员</w:t>
            </w:r>
          </w:p>
        </w:tc>
        <w:tc>
          <w:tcPr>
            <w:tcW w:w="2556" w:type="dxa"/>
            <w:vAlign w:val="center"/>
          </w:tcPr>
          <w:p w14:paraId="3C58874B">
            <w:pPr>
              <w:spacing w:after="0" w:line="240" w:lineRule="auto"/>
            </w:pPr>
            <w:r>
              <w:t>说明本轮试用无效风险</w:t>
            </w:r>
          </w:p>
        </w:tc>
        <w:tc>
          <w:tcPr>
            <w:tcW w:w="2556" w:type="dxa"/>
            <w:vAlign w:val="center"/>
          </w:tcPr>
          <w:p w14:paraId="21537F58">
            <w:pPr>
              <w:spacing w:after="0" w:line="240" w:lineRule="auto"/>
            </w:pPr>
            <w:r>
              <w:t>调整项目目标或暂停</w:t>
            </w:r>
          </w:p>
        </w:tc>
      </w:tr>
      <w:tr w14:paraId="3C752EE9">
        <w:trPr>
          <w:jc w:val="center"/>
        </w:trPr>
        <w:tc>
          <w:tcPr>
            <w:tcW w:w="2556" w:type="dxa"/>
            <w:vAlign w:val="center"/>
          </w:tcPr>
          <w:p w14:paraId="61F0A59D">
            <w:pPr>
              <w:spacing w:after="0" w:line="240" w:lineRule="auto"/>
            </w:pPr>
            <w:r>
              <w:t>IT不给权限</w:t>
            </w:r>
          </w:p>
        </w:tc>
        <w:tc>
          <w:tcPr>
            <w:tcW w:w="2556" w:type="dxa"/>
            <w:vAlign w:val="center"/>
          </w:tcPr>
          <w:p w14:paraId="12801BD9">
            <w:pPr>
              <w:spacing w:after="0" w:line="240" w:lineRule="auto"/>
            </w:pPr>
            <w:r>
              <w:t>明确最小权限和安全边界</w:t>
            </w:r>
          </w:p>
        </w:tc>
        <w:tc>
          <w:tcPr>
            <w:tcW w:w="2556" w:type="dxa"/>
            <w:vAlign w:val="center"/>
          </w:tcPr>
          <w:p w14:paraId="7E682444">
            <w:pPr>
              <w:spacing w:after="0" w:line="240" w:lineRule="auto"/>
            </w:pPr>
            <w:r>
              <w:t>提供替代方案和影响评估</w:t>
            </w:r>
          </w:p>
        </w:tc>
        <w:tc>
          <w:tcPr>
            <w:tcW w:w="2556" w:type="dxa"/>
            <w:vAlign w:val="center"/>
          </w:tcPr>
          <w:p w14:paraId="68BBF08A">
            <w:pPr>
              <w:spacing w:after="0" w:line="240" w:lineRule="auto"/>
            </w:pPr>
            <w:r>
              <w:t>接口相关范围延后或另报价</w:t>
            </w:r>
          </w:p>
        </w:tc>
      </w:tr>
      <w:tr w14:paraId="4BAA6262">
        <w:trPr>
          <w:jc w:val="center"/>
        </w:trPr>
        <w:tc>
          <w:tcPr>
            <w:tcW w:w="2556" w:type="dxa"/>
            <w:vAlign w:val="center"/>
          </w:tcPr>
          <w:p w14:paraId="437C80C7">
            <w:pPr>
              <w:spacing w:after="0" w:line="240" w:lineRule="auto"/>
            </w:pPr>
            <w:r>
              <w:t>频繁新增需求</w:t>
            </w:r>
          </w:p>
        </w:tc>
        <w:tc>
          <w:tcPr>
            <w:tcW w:w="2556" w:type="dxa"/>
            <w:vAlign w:val="center"/>
          </w:tcPr>
          <w:p w14:paraId="713E35DD">
            <w:pPr>
              <w:spacing w:after="0" w:line="240" w:lineRule="auto"/>
            </w:pPr>
            <w:r>
              <w:t>记录进变更台账</w:t>
            </w:r>
          </w:p>
        </w:tc>
        <w:tc>
          <w:tcPr>
            <w:tcW w:w="2556" w:type="dxa"/>
            <w:vAlign w:val="center"/>
          </w:tcPr>
          <w:p w14:paraId="2D75995A">
            <w:pPr>
              <w:spacing w:after="0" w:line="240" w:lineRule="auto"/>
            </w:pPr>
            <w:r>
              <w:t>评估对排期/成本/验收影响</w:t>
            </w:r>
          </w:p>
        </w:tc>
        <w:tc>
          <w:tcPr>
            <w:tcW w:w="2556" w:type="dxa"/>
            <w:vAlign w:val="center"/>
          </w:tcPr>
          <w:p w14:paraId="68E50491">
            <w:pPr>
              <w:spacing w:after="0" w:line="240" w:lineRule="auto"/>
            </w:pPr>
            <w:r>
              <w:t>签变更单后执行</w:t>
            </w:r>
          </w:p>
        </w:tc>
      </w:tr>
    </w:tbl>
    <w:p w14:paraId="0A0A7598"/>
    <w:p w14:paraId="38B663DC">
      <w:r>
        <w:t>标准提醒句：客户未在约定时间内提供资料、人员、权限或确认，本阶段时间自动顺延；连续两次未配合，项目暂停并召开风险确认会。</w:t>
      </w:r>
    </w:p>
    <w:p w14:paraId="14F34662">
      <w:pPr>
        <w:pStyle w:val="3"/>
      </w:pPr>
      <w:r>
        <w:t>四、需求变更话术</w:t>
      </w:r>
    </w:p>
    <w:p w14:paraId="69B6F3D8">
      <w:pPr>
        <w:pStyle w:val="16"/>
      </w:pPr>
      <w:r>
        <w:t>“这个需求可以讨论，但它已经超出当前V1范围。我们先记录到变更台账，评估对排期、成本和验收的影响，再决定是本期做、二期做，还是不做。”</w:t>
      </w:r>
    </w:p>
    <w:p w14:paraId="049D9AFB">
      <w:pPr>
        <w:pStyle w:val="16"/>
      </w:pPr>
      <w:r>
        <w:t>“当前阶段最重要的是验证核心价值，如果现在同时加多个功能，反而会影响上线和验收。”</w:t>
      </w:r>
    </w:p>
    <w:p w14:paraId="45A7BB26">
      <w:pPr>
        <w:pStyle w:val="16"/>
      </w:pPr>
      <w:r>
        <w:t>“我建议这个需求进入二期，因为它依赖第一期的使用数据和流程稳定性。”</w:t>
      </w:r>
    </w:p>
    <w:p w14:paraId="60880F6D">
      <w:pPr>
        <w:pStyle w:val="3"/>
      </w:pPr>
      <w:r>
        <w:t>五、试用和验收话术</w:t>
      </w:r>
    </w:p>
    <w:p w14:paraId="5D03BF82">
      <w:pPr>
        <w:pStyle w:val="16"/>
      </w:pPr>
      <w:r>
        <w:t>“试用不是演示，必须让真实员工独立完成真实任务。我们观察的是使用行为、耗时、错误、修改和拒用原因。”</w:t>
      </w:r>
    </w:p>
    <w:p w14:paraId="28C518E6">
      <w:pPr>
        <w:pStyle w:val="16"/>
      </w:pPr>
      <w:r>
        <w:t>“验收只按立项时确认的指标看，不临时换口径。新增价值可以记录，但不替代原验收标准。”</w:t>
      </w:r>
    </w:p>
    <w:p w14:paraId="7D1869A9">
      <w:pPr>
        <w:pStyle w:val="16"/>
      </w:pPr>
      <w:r>
        <w:t>“如果数据不足，我们不强行验收，继续补试用；如果风险没清掉，也不强行上线。”</w:t>
      </w:r>
    </w:p>
    <w:p w14:paraId="12CE9247">
      <w:pPr>
        <w:pStyle w:val="3"/>
      </w:pPr>
      <w:r>
        <w:t>六、续费/二期推进话术</w:t>
      </w:r>
    </w:p>
    <w:p w14:paraId="744010EE">
      <w:pPr>
        <w:pStyle w:val="16"/>
      </w:pPr>
      <w:r>
        <w:t>“一期证明的是这个场景能跑通、能被员工使用、能产生可衡量改善。二期可以选择扩人数、扩部门、扩流程或进入持续运营。”</w:t>
      </w:r>
    </w:p>
    <w:p w14:paraId="735F861C">
      <w:pPr>
        <w:pStyle w:val="16"/>
      </w:pPr>
      <w:r>
        <w:t>“我建议续费不要只买维护，而是买月度优化：样本更新、错误库复盘、知识库维护、流程调优和新场景评分。”</w:t>
      </w:r>
    </w:p>
    <w:p w14:paraId="1BFBC170">
      <w:pPr>
        <w:pStyle w:val="16"/>
      </w:pPr>
      <w:r>
        <w:t>“下一阶段我们不直接复制，而是用同一套评分方法重新判断哪个场景最值得做。”</w:t>
      </w:r>
    </w:p>
    <w:sectPr>
      <w:pgSz w:w="12240" w:h="15840"/>
      <w:pgMar w:top="1162" w:right="1008" w:bottom="116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1E9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PingFang SC" w:hAnsi="PingFang SC" w:eastAsia="PingFang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王利</cp:lastModifiedBy>
  <dcterms:modified xsi:type="dcterms:W3CDTF">2026-07-13T13:54:24Z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23FDFD8A0CF4FA88907D546A2084D8A9_42</vt:lpwstr>
  </property>
</Properties>
</file>