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F4FC4">
      <w:pPr>
        <w:spacing w:before="1150" w:after="230"/>
        <w:ind w:firstLine="2661" w:firstLineChars="700"/>
        <w:jc w:val="both"/>
      </w:pPr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8"/>
          <w:szCs w:val="38"/>
        </w:rPr>
        <w:t>总目录与执行总览</w:t>
      </w:r>
    </w:p>
    <w:p w14:paraId="2176A6D0">
      <w:pPr>
        <w:spacing w:after="260"/>
        <w:jc w:val="center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4F6475"/>
          <w:sz w:val="24"/>
          <w:szCs w:val="24"/>
        </w:rPr>
        <w:t>九阶段唯一主线、业务定位、产品结构和统一评审规则</w:t>
      </w:r>
    </w:p>
    <w:p w14:paraId="7ACE58A7">
      <w:pPr>
        <w:spacing w:after="180"/>
        <w:jc w:val="center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6B7280"/>
          <w:sz w:val="19"/>
          <w:szCs w:val="19"/>
        </w:rPr>
        <w:t>合并执行版 V2.0｜2026年7月22日</w:t>
      </w:r>
    </w:p>
    <w:p w14:paraId="4884353B">
      <w:pPr>
        <w:pStyle w:val="2"/>
        <w:keepNext/>
        <w:spacing w:before="220" w:after="130"/>
      </w:pPr>
      <w:r>
        <w:rPr>
          <w:rFonts w:hint="eastAsia" w:cs="Arial Unicode MS"/>
          <w:b/>
          <w:bCs/>
          <w:i w:val="0"/>
          <w:iCs w:val="0"/>
          <w:color w:val="1F4E78"/>
          <w:sz w:val="30"/>
          <w:szCs w:val="30"/>
          <w:lang w:val="en-US" w:eastAsia="zh-CN"/>
        </w:rPr>
        <w:t>一</w:t>
      </w:r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  <w:t>、元序智能的业务定位与边界</w:t>
      </w:r>
    </w:p>
    <w:p w14:paraId="0718BE2C">
      <w:pPr>
        <w:keepNext w:val="0"/>
        <w:spacing w:before="0" w:after="90" w:line="315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元序智能定位为“企业AI市场增长系统提供者”：以良策积累的实体企业IP方法、客户场景和业务经验为入口，为实体企业、创始人IP和一人公司（OPC）搭建知识库、内容工作流、线索承接和经营复盘系统。</w:t>
      </w:r>
    </w:p>
    <w:p w14:paraId="029DE8F8">
      <w:pPr>
        <w:pStyle w:val="3"/>
        <w:keepNext/>
        <w:spacing w:before="170" w:after="100"/>
      </w:pPr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25"/>
          <w:szCs w:val="25"/>
        </w:rPr>
        <w:t>不是做什么</w:t>
      </w:r>
    </w:p>
    <w:p w14:paraId="35D94654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不是只讲工具的AI培训公司。</w:t>
      </w:r>
    </w:p>
    <w:p w14:paraId="1AC0C75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不是通用软件代理商。</w:t>
      </w:r>
    </w:p>
    <w:p w14:paraId="3C5C342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不是数字人或短视频代运营公司。</w:t>
      </w:r>
    </w:p>
    <w:p w14:paraId="26C3C694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不是一开始就承诺全公司自动化。</w:t>
      </w:r>
    </w:p>
    <w:p w14:paraId="790F74B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OPC是渠道与试验场，不是唯一客户身份。</w:t>
      </w:r>
    </w:p>
    <w:p w14:paraId="7E00D587">
      <w:pPr>
        <w:pStyle w:val="3"/>
        <w:keepNext/>
        <w:spacing w:before="170" w:after="100"/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25"/>
          <w:szCs w:val="25"/>
        </w:rPr>
      </w:pPr>
    </w:p>
    <w:p w14:paraId="15EA8898">
      <w:pPr>
        <w:pStyle w:val="3"/>
        <w:keepNext/>
        <w:spacing w:before="170" w:after="100"/>
      </w:pPr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25"/>
          <w:szCs w:val="25"/>
        </w:rPr>
        <w:t>首个验证闭环</w:t>
      </w:r>
    </w:p>
    <w:tbl>
      <w:tblPr>
        <w:tblStyle w:val="11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6"/>
      </w:tblGrid>
      <w:tr w14:paraId="5D5A26F9">
        <w:trPr>
          <w:cantSplit/>
        </w:trPr>
        <w:tc>
          <w:tcPr>
            <w:tcW w:w="90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E3DBCF">
            <w:pPr>
              <w:keepNext w:val="0"/>
              <w:spacing w:before="0" w:after="0" w:line="315" w:lineRule="auto"/>
              <w:jc w:val="both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1F4E78"/>
                <w:sz w:val="21"/>
                <w:szCs w:val="21"/>
              </w:rPr>
              <w:t>最小闭环：</w:t>
            </w: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21"/>
                <w:szCs w:val="21"/>
              </w:rPr>
              <w:t>企业资料 → 知识库 → 选题/脚本 → 人工审核 → 发布/分发 → 线索收集 → 周度复盘。首批项目也可以从销售、交付、客服或内部管理中的单岗位高频流程切入。</w:t>
            </w:r>
          </w:p>
        </w:tc>
      </w:tr>
    </w:tbl>
    <w:p w14:paraId="1F5EB3E8">
      <w:pPr>
        <w:pStyle w:val="2"/>
        <w:keepNext/>
        <w:spacing w:before="220" w:after="130"/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</w:pPr>
    </w:p>
    <w:p w14:paraId="64584AC2">
      <w:pPr>
        <w:pStyle w:val="2"/>
        <w:keepNext/>
        <w:spacing w:before="220" w:after="130"/>
        <w:rPr>
          <w:rFonts w:hint="eastAsia" w:cs="Arial Unicode MS"/>
          <w:b/>
          <w:bCs/>
          <w:i w:val="0"/>
          <w:iCs w:val="0"/>
          <w:color w:val="1F4E78"/>
          <w:sz w:val="30"/>
          <w:szCs w:val="30"/>
          <w:lang w:val="en-US" w:eastAsia="zh-CN"/>
        </w:rPr>
      </w:pPr>
    </w:p>
    <w:p w14:paraId="729E3AD3">
      <w:pPr>
        <w:pStyle w:val="2"/>
        <w:keepNext/>
        <w:spacing w:before="220" w:after="130"/>
      </w:pPr>
      <w:r>
        <w:rPr>
          <w:rFonts w:hint="eastAsia" w:cs="Arial Unicode MS"/>
          <w:b/>
          <w:bCs/>
          <w:i w:val="0"/>
          <w:iCs w:val="0"/>
          <w:color w:val="1F4E78"/>
          <w:sz w:val="30"/>
          <w:szCs w:val="30"/>
          <w:lang w:val="en-US" w:eastAsia="zh-CN"/>
        </w:rPr>
        <w:t>二</w:t>
      </w:r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  <w:t>、九阶段总路线</w:t>
      </w:r>
    </w:p>
    <w:tbl>
      <w:tblPr>
        <w:tblStyle w:val="11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2079"/>
        <w:gridCol w:w="3721"/>
        <w:gridCol w:w="2606"/>
      </w:tblGrid>
      <w:tr w14:paraId="29711E67">
        <w:trPr>
          <w:cantSplit/>
          <w:tblHeader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7DA09C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9CFD2F">
            <w:pPr>
              <w:spacing w:after="0" w:line="260" w:lineRule="auto"/>
              <w:ind w:firstLine="360" w:firstLineChars="200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要解决的问题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996CCC">
            <w:pPr>
              <w:spacing w:after="0" w:line="260" w:lineRule="auto"/>
              <w:ind w:firstLine="1441" w:firstLineChars="800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核心交付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A123BE">
            <w:pPr>
              <w:spacing w:after="0" w:line="260" w:lineRule="auto"/>
              <w:ind w:firstLine="540" w:firstLineChars="300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不通过会怎样</w:t>
            </w:r>
          </w:p>
        </w:tc>
      </w:tr>
      <w:tr w14:paraId="1252D648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A7C0A5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01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9D58FD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合作立项与企业准入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B763DB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01A_项目立项书模板.docx、01B_企业配合与责任清单.xlsx、01C_数据保密与案例授权要点模板.docx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F8139C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  <w:tr w14:paraId="10210ED5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9F91F6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02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451D9B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企业AI诊断与事实还原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BFE25E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02A_高管访谈提纲.docx、02B_业务部门访谈与流程采集表.docx、02C_AI机会场景池.xlsx、02D_企业AI诊断报告模板.docx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64D19B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  <w:tr w14:paraId="3155EFB9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8EB281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03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779E41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场景筛选与主场景立项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3E5744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03A_场景评分与优先级.xlsx、03B_主场景立项卡.docx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2D99D0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  <w:tr w14:paraId="1CE30C84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39469C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04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5F74F8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现状、目标流程与人机分工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A29C9E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04A_现状流程采集模板.docx、04B_目标流程与人机分工模板.docx、04C_权限风险与异常升级表.xlsx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9F267D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  <w:tr w14:paraId="44DBC8EA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327D46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05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D02688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最小原型与技术协同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9735BF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05A_原型实验记录表.xlsx、05B_原型评审报告模板.docx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0C28B4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  <w:tr w14:paraId="4ECE2E14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B88CBC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06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7ED9E0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正式试点、培训与受控上线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DDD6B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06A_基线指标与周度迭代.xlsx、06C_培训与上线确认单.docx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1B6AB8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  <w:tr w14:paraId="581432DC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083DFE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07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E7AB23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四层验收与上线决策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6D127D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07A_四层验收表.xlsx、07B_项目验收报告模板.docx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E8DC05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  <w:tr w14:paraId="54FB9E56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2D1106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08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26BF3A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模板资产化与产品化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A3A8B3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08A_标准化与资产拆分清单.xlsx、08B_案例复盘模板.docx、08C_产品模板卡.docx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8A9925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  <w:tr w14:paraId="033F7049">
        <w:trPr>
          <w:cantSplit/>
        </w:trPr>
        <w:tc>
          <w:tcPr>
            <w:tcW w:w="65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958A2C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09</w:t>
            </w:r>
          </w:p>
        </w:tc>
        <w:tc>
          <w:tcPr>
            <w:tcW w:w="2079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1548F4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年度运营、ROI复盘与规模复制</w:t>
            </w:r>
          </w:p>
        </w:tc>
        <w:tc>
          <w:tcPr>
            <w:tcW w:w="3721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4C10C5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09A_月度运营与季度复盘.xlsx、09B_变更需求单模板.docx、09C_季度价值复盘与续费方案模板.docx</w:t>
            </w:r>
          </w:p>
        </w:tc>
        <w:tc>
          <w:tcPr>
            <w:tcW w:w="260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B326F9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停在本阶段整改，不进入下一阶段</w:t>
            </w:r>
          </w:p>
        </w:tc>
      </w:tr>
    </w:tbl>
    <w:p w14:paraId="4971D46F">
      <w:pPr>
        <w:pStyle w:val="2"/>
        <w:keepNext/>
        <w:spacing w:before="220" w:after="130"/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</w:pPr>
    </w:p>
    <w:p w14:paraId="52E673FD">
      <w:pPr>
        <w:pStyle w:val="2"/>
        <w:keepNext/>
        <w:spacing w:before="220" w:after="130"/>
      </w:pPr>
      <w:r>
        <w:rPr>
          <w:rFonts w:hint="eastAsia" w:cs="Arial Unicode MS"/>
          <w:b/>
          <w:bCs/>
          <w:i w:val="0"/>
          <w:iCs w:val="0"/>
          <w:color w:val="1F4E78"/>
          <w:sz w:val="30"/>
          <w:szCs w:val="30"/>
          <w:lang w:val="en-US" w:eastAsia="zh-CN"/>
        </w:rPr>
        <w:t>三</w:t>
      </w:r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  <w:t>、统一评审规则</w:t>
      </w:r>
    </w:p>
    <w:p w14:paraId="6B7ED60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每阶段先完成模板，再开评审会；不能用口头说明代替交付物。</w:t>
      </w:r>
    </w:p>
    <w:p w14:paraId="621E968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所有“必须项”满足、总分≥80且无红线，才算通过。</w:t>
      </w:r>
    </w:p>
    <w:p w14:paraId="7C36EC7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70—79分只能有条件通过：缺口必须写明责任人、完成日期和验证方式，关闭后复审。</w:t>
      </w:r>
    </w:p>
    <w:p w14:paraId="675CAAE5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低于70分、触发红线或没有关键责任人，一律不进入下一阶段。</w:t>
      </w:r>
    </w:p>
    <w:p w14:paraId="5F4EF7F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任何涉及隐私、商业秘密、财务、法律、对外发送、合同承诺或不可逆动作，必须保留人工审批。</w:t>
      </w:r>
    </w:p>
    <w:p w14:paraId="6EE216E0">
      <w:pPr>
        <w:pStyle w:val="2"/>
        <w:keepNext/>
        <w:spacing w:before="220" w:after="130"/>
      </w:pPr>
      <w:r>
        <w:rPr>
          <w:rFonts w:hint="eastAsia" w:cs="Arial Unicode MS"/>
          <w:b/>
          <w:bCs/>
          <w:i w:val="0"/>
          <w:iCs w:val="0"/>
          <w:color w:val="1F4E78"/>
          <w:sz w:val="30"/>
          <w:szCs w:val="30"/>
          <w:lang w:val="en-US" w:eastAsia="zh-CN"/>
        </w:rPr>
        <w:t>四</w:t>
      </w:r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  <w:t>、产品与收入结构</w:t>
      </w:r>
    </w:p>
    <w:tbl>
      <w:tblPr>
        <w:tblStyle w:val="11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2700"/>
        <w:gridCol w:w="2556"/>
      </w:tblGrid>
      <w:tr w14:paraId="1044BABF">
        <w:trPr>
          <w:cantSplit/>
          <w:tblHeader/>
        </w:trPr>
        <w:tc>
          <w:tcPr>
            <w:tcW w:w="16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017803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产品层级</w:t>
            </w:r>
          </w:p>
        </w:tc>
        <w:tc>
          <w:tcPr>
            <w:tcW w:w="2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542621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适合客户</w:t>
            </w:r>
          </w:p>
        </w:tc>
        <w:tc>
          <w:tcPr>
            <w:tcW w:w="27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10F148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核心结果</w:t>
            </w:r>
          </w:p>
        </w:tc>
        <w:tc>
          <w:tcPr>
            <w:tcW w:w="25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F2E586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收费逻辑</w:t>
            </w:r>
          </w:p>
        </w:tc>
      </w:tr>
      <w:tr w14:paraId="15B38DEC">
        <w:trPr>
          <w:cantSplit/>
        </w:trPr>
        <w:tc>
          <w:tcPr>
            <w:tcW w:w="16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84D507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AI诊断</w:t>
            </w:r>
          </w:p>
        </w:tc>
        <w:tc>
          <w:tcPr>
            <w:tcW w:w="2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B16B4A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问题很多但不知道先做什么</w:t>
            </w:r>
          </w:p>
        </w:tc>
        <w:tc>
          <w:tcPr>
            <w:tcW w:w="27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F96448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事实地图、场景池、主场景建议</w:t>
            </w:r>
          </w:p>
        </w:tc>
        <w:tc>
          <w:tcPr>
            <w:tcW w:w="25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7DCCF3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按诊断范围与访谈深度</w:t>
            </w:r>
          </w:p>
        </w:tc>
      </w:tr>
      <w:tr w14:paraId="6EB71994">
        <w:trPr>
          <w:cantSplit/>
        </w:trPr>
        <w:tc>
          <w:tcPr>
            <w:tcW w:w="16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328740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单场景试点</w:t>
            </w:r>
          </w:p>
        </w:tc>
        <w:tc>
          <w:tcPr>
            <w:tcW w:w="2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6894F0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已有明确岗位和Owner</w:t>
            </w:r>
          </w:p>
        </w:tc>
        <w:tc>
          <w:tcPr>
            <w:tcW w:w="27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ABEA8F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一个可验收的小闭环</w:t>
            </w:r>
          </w:p>
        </w:tc>
        <w:tc>
          <w:tcPr>
            <w:tcW w:w="25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034AFF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按周期、样本、集成和风险</w:t>
            </w:r>
          </w:p>
        </w:tc>
      </w:tr>
      <w:tr w14:paraId="5AFBC0E7">
        <w:trPr>
          <w:cantSplit/>
        </w:trPr>
        <w:tc>
          <w:tcPr>
            <w:tcW w:w="16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ED7859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多部门改造</w:t>
            </w:r>
          </w:p>
        </w:tc>
        <w:tc>
          <w:tcPr>
            <w:tcW w:w="2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5D37FB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首个试点已经通过</w:t>
            </w:r>
          </w:p>
        </w:tc>
        <w:tc>
          <w:tcPr>
            <w:tcW w:w="27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593E72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工作流固化与部门复制</w:t>
            </w:r>
          </w:p>
        </w:tc>
        <w:tc>
          <w:tcPr>
            <w:tcW w:w="25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F904B4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按模块与复制范围</w:t>
            </w:r>
          </w:p>
        </w:tc>
      </w:tr>
      <w:tr w14:paraId="0507CD7D">
        <w:trPr>
          <w:cantSplit/>
        </w:trPr>
        <w:tc>
          <w:tcPr>
            <w:tcW w:w="16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B9E4C1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年度运营</w:t>
            </w:r>
          </w:p>
        </w:tc>
        <w:tc>
          <w:tcPr>
            <w:tcW w:w="2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AF494E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需要持续更新和复盘</w:t>
            </w:r>
          </w:p>
        </w:tc>
        <w:tc>
          <w:tcPr>
            <w:tcW w:w="27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3377E4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采用、质量、ROI与版本运营</w:t>
            </w:r>
          </w:p>
        </w:tc>
        <w:tc>
          <w:tcPr>
            <w:tcW w:w="25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0D84F4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年度订阅＋专家服务</w:t>
            </w:r>
          </w:p>
        </w:tc>
      </w:tr>
    </w:tbl>
    <w:p w14:paraId="6CFDEB95">
      <w:pPr>
        <w:pStyle w:val="2"/>
        <w:keepNext/>
        <w:spacing w:before="220" w:after="130"/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</w:pPr>
    </w:p>
    <w:p w14:paraId="0A9C5493">
      <w:pPr>
        <w:pStyle w:val="2"/>
        <w:keepNext/>
        <w:spacing w:before="220" w:after="130"/>
      </w:pPr>
      <w:r>
        <w:rPr>
          <w:rFonts w:hint="eastAsia" w:cs="Arial Unicode MS"/>
          <w:b/>
          <w:bCs/>
          <w:i w:val="0"/>
          <w:iCs w:val="0"/>
          <w:color w:val="1F4E78"/>
          <w:sz w:val="30"/>
          <w:szCs w:val="30"/>
          <w:lang w:val="en-US" w:eastAsia="zh-CN"/>
        </w:rPr>
        <w:t>五</w:t>
      </w:r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  <w:t>、90天内部验证路线</w:t>
      </w:r>
    </w:p>
    <w:tbl>
      <w:tblPr>
        <w:tblStyle w:val="11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200"/>
        <w:gridCol w:w="3456"/>
      </w:tblGrid>
      <w:tr w14:paraId="3E110837">
        <w:trPr>
          <w:cantSplit/>
          <w:tblHeader/>
        </w:trPr>
        <w:tc>
          <w:tcPr>
            <w:tcW w:w="14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ADAB45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4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2CDD4E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关键动作</w:t>
            </w:r>
          </w:p>
        </w:tc>
        <w:tc>
          <w:tcPr>
            <w:tcW w:w="34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shd w:val="clear" w:color="auto" w:fill="1F4E7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6388DA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合格证据</w:t>
            </w:r>
          </w:p>
        </w:tc>
      </w:tr>
      <w:tr w14:paraId="4BFF9FC2">
        <w:trPr>
          <w:cantSplit/>
        </w:trPr>
        <w:tc>
          <w:tcPr>
            <w:tcW w:w="14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C1BD3C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第1个月</w:t>
            </w:r>
          </w:p>
        </w:tc>
        <w:tc>
          <w:tcPr>
            <w:tcW w:w="4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A4C23A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访谈10个客户；选3个差异化试点；完成基线和数据规则</w:t>
            </w:r>
          </w:p>
        </w:tc>
        <w:tc>
          <w:tcPr>
            <w:tcW w:w="34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1A5566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3张合格主场景立项卡，且Owner/样本/基线齐全</w:t>
            </w:r>
          </w:p>
        </w:tc>
      </w:tr>
      <w:tr w14:paraId="6508239F">
        <w:trPr>
          <w:cantSplit/>
        </w:trPr>
        <w:tc>
          <w:tcPr>
            <w:tcW w:w="14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1D5C29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第2个月</w:t>
            </w:r>
          </w:p>
        </w:tc>
        <w:tc>
          <w:tcPr>
            <w:tcW w:w="4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4FD2C7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完成最小闭环；用真实案例迭代；每周复盘</w:t>
            </w:r>
          </w:p>
        </w:tc>
        <w:tc>
          <w:tcPr>
            <w:tcW w:w="34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121F1A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每个试点有固定评测集、真实使用记录和问题闭环</w:t>
            </w:r>
          </w:p>
        </w:tc>
      </w:tr>
      <w:tr w14:paraId="144C93F4">
        <w:trPr>
          <w:cantSplit/>
        </w:trPr>
        <w:tc>
          <w:tcPr>
            <w:tcW w:w="14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ABD593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第3个月</w:t>
            </w:r>
          </w:p>
        </w:tc>
        <w:tc>
          <w:tcPr>
            <w:tcW w:w="4200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F122BA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前后对比；验证独立付费；形成标准产品；停止弱功能</w:t>
            </w:r>
          </w:p>
        </w:tc>
        <w:tc>
          <w:tcPr>
            <w:tcW w:w="3456" w:type="dxa"/>
            <w:tcBorders>
              <w:top w:val="single" w:color="C9D2DC" w:sz="4" w:space="0"/>
              <w:left w:val="single" w:color="C9D2DC" w:sz="4" w:space="0"/>
              <w:bottom w:val="single" w:color="C9D2DC" w:sz="4" w:space="0"/>
              <w:right w:val="single" w:color="C9D2DC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C95C1F">
            <w:pPr>
              <w:spacing w:after="0" w:line="260" w:lineRule="auto"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i w:val="0"/>
                <w:iCs w:val="0"/>
                <w:color w:val="111111"/>
                <w:sz w:val="18"/>
                <w:szCs w:val="18"/>
              </w:rPr>
              <w:t>至少1个可公开或可脱敏案例；明确适合/不适合客户和报价变量</w:t>
            </w:r>
          </w:p>
        </w:tc>
      </w:tr>
    </w:tbl>
    <w:p w14:paraId="082FF5F6">
      <w:pPr>
        <w:pStyle w:val="2"/>
        <w:keepNext/>
        <w:spacing w:before="220" w:after="130"/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</w:pPr>
    </w:p>
    <w:p w14:paraId="72383AA0">
      <w:pPr>
        <w:pStyle w:val="2"/>
        <w:keepNext/>
        <w:spacing w:before="220" w:after="130"/>
      </w:pPr>
      <w:r>
        <w:rPr>
          <w:rFonts w:hint="eastAsia" w:cs="Arial Unicode MS"/>
          <w:b/>
          <w:bCs/>
          <w:i w:val="0"/>
          <w:iCs w:val="0"/>
          <w:color w:val="1F4E78"/>
          <w:sz w:val="30"/>
          <w:szCs w:val="30"/>
          <w:lang w:val="en-US" w:eastAsia="zh-CN"/>
        </w:rPr>
        <w:t>六</w:t>
      </w:r>
      <w:bookmarkStart w:id="0" w:name="_GoBack"/>
      <w:bookmarkEnd w:id="0"/>
      <w:r>
        <w:rPr>
          <w:rFonts w:ascii="Arial Unicode MS" w:hAnsi="Arial Unicode MS" w:eastAsia="Arial Unicode MS" w:cs="Arial Unicode MS"/>
          <w:b/>
          <w:bCs/>
          <w:i w:val="0"/>
          <w:iCs w:val="0"/>
          <w:color w:val="1F4E78"/>
          <w:sz w:val="30"/>
          <w:szCs w:val="30"/>
        </w:rPr>
        <w:t>、打开文件后的正确使用顺序</w:t>
      </w:r>
    </w:p>
    <w:p w14:paraId="097EE9F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先打开本总目录，确认当前处于哪个阶段。</w:t>
      </w:r>
    </w:p>
    <w:p w14:paraId="1D45C2D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再打开该阶段的“阶段实施手册”，先看前面的为什么、常见说法、缺失信息和完整范例。</w:t>
      </w:r>
    </w:p>
    <w:p w14:paraId="024A89C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按手册逐步执行，并填写同文件夹的模板。浅绿色第一条是填写范例。</w:t>
      </w:r>
    </w:p>
    <w:p w14:paraId="3032659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阶段结束后按评分表开评审会；没有通过就留在本阶段整改。</w:t>
      </w:r>
    </w:p>
    <w:p w14:paraId="0612A2E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111111"/>
          <w:sz w:val="21"/>
          <w:szCs w:val="21"/>
        </w:rPr>
        <w:t>通过后在00A项目主控台更新负责人、日期、状态、证据和决策。</w:t>
      </w:r>
    </w:p>
    <w:sectPr>
      <w:headerReference r:id="rId3" w:type="default"/>
      <w:footerReference r:id="rId4" w:type="default"/>
      <w:pgSz w:w="11906" w:h="16838"/>
      <w:pgMar w:top="1185" w:right="1162" w:bottom="1185" w:left="1219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A7F09">
    <w:pPr>
      <w:jc w:val="center"/>
    </w:pPr>
    <w:r>
      <w:rPr>
        <w:rFonts w:ascii="Arial Unicode MS" w:hAnsi="Arial Unicode MS" w:eastAsia="Arial Unicode MS" w:cs="Arial Unicode MS"/>
        <w:b w:val="0"/>
        <w:bCs w:val="0"/>
        <w:i w:val="0"/>
        <w:iCs w:val="0"/>
        <w:color w:val="6B7280"/>
        <w:sz w:val="16"/>
        <w:szCs w:val="16"/>
      </w:rPr>
      <w:t xml:space="preserve">总目录与执行总览  ·  </w:t>
    </w:r>
    <w:r>
      <w:rPr>
        <w:rFonts w:ascii="Arial" w:hAnsi="Arial" w:eastAsia="Arial" w:cs="Arial"/>
        <w:color w:val="6B7280"/>
        <w:sz w:val="16"/>
        <w:szCs w:val="16"/>
      </w:rPr>
      <w:fldChar w:fldCharType="begin"/>
    </w:r>
    <w:r>
      <w:rPr>
        <w:rFonts w:ascii="Arial" w:hAnsi="Arial" w:eastAsia="Arial" w:cs="Arial"/>
        <w:color w:val="6B7280"/>
        <w:sz w:val="16"/>
        <w:szCs w:val="16"/>
      </w:rPr>
      <w:instrText xml:space="preserve">PAGE</w:instrText>
    </w:r>
    <w:r>
      <w:rPr>
        <w:rFonts w:ascii="Arial" w:hAnsi="Arial" w:eastAsia="Arial" w:cs="Arial"/>
        <w:color w:val="6B7280"/>
        <w:sz w:val="16"/>
        <w:szCs w:val="16"/>
      </w:rPr>
      <w:fldChar w:fldCharType="separate"/>
    </w:r>
    <w:r>
      <w:rPr>
        <w:rFonts w:ascii="Arial" w:hAnsi="Arial" w:eastAsia="Arial" w:cs="Arial"/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C643C">
    <w:pPr>
      <w:pBdr>
        <w:bottom w:val="single" w:color="1F4E78" w:sz="4" w:space="4"/>
      </w:pBdr>
    </w:pPr>
    <w:r>
      <w:rPr>
        <w:rFonts w:ascii="Arial Unicode MS" w:hAnsi="Arial Unicode MS" w:eastAsia="Arial Unicode MS" w:cs="Arial Unicode MS"/>
        <w:b w:val="0"/>
        <w:bCs w:val="0"/>
        <w:i w:val="0"/>
        <w:iCs w:val="0"/>
        <w:color w:val="1F4E78"/>
        <w:sz w:val="17"/>
        <w:szCs w:val="17"/>
      </w:rPr>
      <w:t>元序智能｜企业AI入企改造项目交付包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5BEE6"/>
    <w:multiLevelType w:val="singleLevel"/>
    <w:tmpl w:val="F7B5BEE6"/>
    <w:lvl w:ilvl="0" w:tentative="0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EE72C25"/>
    <w:rsid w:val="3EF8937E"/>
    <w:rsid w:val="3F6D5B0B"/>
    <w:rsid w:val="3F776B62"/>
    <w:rsid w:val="4EBFEBAA"/>
    <w:rsid w:val="5B27674A"/>
    <w:rsid w:val="5FF3FF51"/>
    <w:rsid w:val="69EB691A"/>
    <w:rsid w:val="74A7B606"/>
    <w:rsid w:val="771BBC06"/>
    <w:rsid w:val="7D477731"/>
    <w:rsid w:val="7FFDD16F"/>
    <w:rsid w:val="7FFFDA1B"/>
    <w:rsid w:val="966DB349"/>
    <w:rsid w:val="97F6B12B"/>
    <w:rsid w:val="9C3DE5E3"/>
    <w:rsid w:val="AF79D795"/>
    <w:rsid w:val="AFDD5025"/>
    <w:rsid w:val="BDB8C305"/>
    <w:rsid w:val="BDDD1D16"/>
    <w:rsid w:val="D9B3A17C"/>
    <w:rsid w:val="DF5E52A9"/>
    <w:rsid w:val="DFF91C95"/>
    <w:rsid w:val="E9FDF18B"/>
    <w:rsid w:val="EF393232"/>
    <w:rsid w:val="F7B0CD13"/>
    <w:rsid w:val="FB3EE3AA"/>
    <w:rsid w:val="FBEA79B6"/>
    <w:rsid w:val="FECD3A84"/>
    <w:rsid w:val="FEEE752C"/>
    <w:rsid w:val="FF1CEB5A"/>
    <w:rsid w:val="FFEF9F01"/>
    <w:rsid w:val="FFFF6B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Unicode MS" w:hAnsi="Arial Unicode MS" w:eastAsia="Arial Unicode MS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Arial Unicode MS" w:cs="Arial Unicode MS"/>
      <w:color w:val="111111"/>
      <w:sz w:val="21"/>
      <w:szCs w:val="21"/>
    </w:rPr>
  </w:style>
  <w:style w:type="paragraph" w:styleId="2">
    <w:name w:val="heading 1"/>
    <w:next w:val="1"/>
    <w:qFormat/>
    <w:uiPriority w:val="0"/>
    <w:pPr>
      <w:keepNext/>
      <w:spacing w:after="90" w:line="315" w:lineRule="auto"/>
      <w:outlineLvl w:val="0"/>
    </w:pPr>
    <w:rPr>
      <w:rFonts w:ascii="Arial Unicode MS" w:hAnsi="Arial Unicode MS" w:eastAsia="Arial Unicode MS" w:cs="Arial Unicode MS"/>
      <w:b/>
      <w:bCs/>
      <w:color w:val="1F4E78"/>
      <w:sz w:val="30"/>
      <w:szCs w:val="30"/>
    </w:rPr>
  </w:style>
  <w:style w:type="paragraph" w:styleId="3">
    <w:name w:val="heading 2"/>
    <w:next w:val="1"/>
    <w:qFormat/>
    <w:uiPriority w:val="0"/>
    <w:pPr>
      <w:keepNext/>
      <w:spacing w:after="90" w:line="315" w:lineRule="auto"/>
      <w:outlineLvl w:val="1"/>
    </w:pPr>
    <w:rPr>
      <w:rFonts w:ascii="Arial Unicode MS" w:hAnsi="Arial Unicode MS" w:eastAsia="Arial Unicode MS" w:cs="Arial Unicode MS"/>
      <w:b/>
      <w:bCs/>
      <w:color w:val="1F4E78"/>
      <w:sz w:val="25"/>
      <w:szCs w:val="25"/>
    </w:rPr>
  </w:style>
  <w:style w:type="paragraph" w:styleId="4">
    <w:name w:val="heading 3"/>
    <w:next w:val="1"/>
    <w:qFormat/>
    <w:uiPriority w:val="0"/>
    <w:pPr>
      <w:keepNext/>
      <w:spacing w:after="90" w:line="315" w:lineRule="auto"/>
      <w:outlineLvl w:val="2"/>
    </w:pPr>
    <w:rPr>
      <w:rFonts w:ascii="Arial Unicode MS" w:hAnsi="Arial Unicode MS" w:eastAsia="Arial Unicode MS" w:cs="Arial Unicode MS"/>
      <w:b/>
      <w:bCs/>
      <w:color w:val="365F91"/>
      <w:sz w:val="22"/>
      <w:szCs w:val="22"/>
    </w:rPr>
  </w:style>
  <w:style w:type="paragraph" w:styleId="5">
    <w:name w:val="heading 4"/>
    <w:next w:val="1"/>
    <w:qFormat/>
    <w:uiPriority w:val="0"/>
    <w:pPr>
      <w:spacing w:after="90" w:line="315" w:lineRule="auto"/>
    </w:pPr>
    <w:rPr>
      <w:rFonts w:ascii="Arial Unicode MS" w:hAnsi="Arial Unicode MS" w:eastAsia="Arial Unicode MS" w:cs="Arial Unicode MS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after="90" w:line="315" w:lineRule="auto"/>
    </w:pPr>
    <w:rPr>
      <w:rFonts w:ascii="Arial Unicode MS" w:hAnsi="Arial Unicode MS" w:eastAsia="Arial Unicode MS" w:cs="Arial Unicode MS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90" w:line="315" w:lineRule="auto"/>
    </w:pPr>
    <w:rPr>
      <w:rFonts w:ascii="Arial Unicode MS" w:hAnsi="Arial Unicode MS" w:eastAsia="Arial Unicode MS" w:cs="Arial Unicode MS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 Unicode MS"/>
      <w:color w:val="111111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 Unicode MS"/>
      <w:color w:val="111111"/>
      <w:sz w:val="20"/>
      <w:szCs w:val="20"/>
    </w:rPr>
  </w:style>
  <w:style w:type="paragraph" w:styleId="10">
    <w:name w:val="Title"/>
    <w:qFormat/>
    <w:uiPriority w:val="0"/>
    <w:pPr>
      <w:spacing w:after="90" w:line="315" w:lineRule="auto"/>
    </w:pPr>
    <w:rPr>
      <w:rFonts w:ascii="Arial Unicode MS" w:hAnsi="Arial Unicode MS" w:eastAsia="Arial Unicode MS" w:cs="Arial Unicode MS"/>
      <w:color w:val="111111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90" w:line="315" w:lineRule="auto"/>
    </w:pPr>
    <w:rPr>
      <w:rFonts w:ascii="Arial Unicode MS" w:hAnsi="Arial Unicode MS" w:eastAsia="Arial Unicode MS" w:cs="Arial Unicode MS"/>
      <w:color w:val="111111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34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2026-07-23T10:13:16Z</dcterms:created>
  <dc:creator>元序智能</dc:creator>
  <dc:description>九阶段唯一主线、业务定位、产品结构和统一评审规则</dc:description>
  <cp:lastModifiedBy>王利</cp:lastModifiedBy>
  <dcterms:modified xsi:type="dcterms:W3CDTF">2026-07-23T10:16:45Z</dcterms:modified>
  <dc:title>总目录与执行总览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A7F90277B3BA4A21AA6C616A53E8D300_42</vt:lpwstr>
  </property>
</Properties>
</file>