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/>
          <w:color w:val="174A70"/>
          <w:sz w:val="28"/>
        </w:rPr>
        <w:t>企业AI入企项目负责人</w:t>
      </w:r>
    </w:p>
    <w:p>
      <w:pPr>
        <w:pStyle w:val="Title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全流程实操手册</w:t>
      </w:r>
    </w:p>
    <w:p>
      <w:pPr>
        <w:keepNext w:val="0"/>
        <w:spacing w:after="240" w:line="276" w:lineRule="auto"/>
        <w:jc w:val="center"/>
      </w:pPr>
      <w:r>
        <w:rPr>
          <w:rFonts w:ascii="Arial Unicode MS" w:hAnsi="Arial Unicode MS" w:eastAsia="Arial Unicode MS"/>
          <w:b/>
          <w:color w:val="2E75B6"/>
          <w:sz w:val="24"/>
        </w:rPr>
        <w:t>18个执行步骤｜65个工作日标准项目</w:t>
      </w:r>
    </w:p>
    <w:p>
      <w:pPr>
        <w:pStyle w:val="Heading1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步骤01｜客户首次接触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时间节点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商务期第1—2天｜0.5—1天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参与人员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老板或业务决策人；必要时业务负责人参加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下一步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步骤02：客户准入与AI落地条件评估</w:t>
            </w:r>
          </w:p>
        </w:tc>
      </w:tr>
    </w:tbl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开始条件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已获得企业名称、联系人和需求来源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已约定首次沟通时间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知道客户大致为何关注AI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所需工具与模板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客户接触记录表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首次沟通提问清单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会议纪要工具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具体执行动作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1. 会前发送沟通目的、时长和参会建议。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2. 先了解主营业务、客户、收入来源和当前经营重点，不先推销AI方案。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3. 询问为什么现在考虑AI，希望改善增收、降本、提效还是控风险。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4. 确认谁能决定、谁负责推进、谁会实际使用。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5. 确认愿意投入的资料、人员、时间和预算信号。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6. 复述你的理解，请客户纠正，并约定下一次动作。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完成标准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能用三句话说明企业、问题方向和合作意愿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已识别决策人和潜在项目负责人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已约定下一次沟通或资料提交时间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完成证据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客户接触记录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首次沟通纪要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待提交资料清单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A33131"/>
          <w:sz w:val="20"/>
        </w:rPr>
        <w:t>异常处理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只有AI兴趣、无业务问题：转为认知沟通，不进入项目。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无决策人或负责人：要求补齐后再继续。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要求当场承诺效果：说明需诊断后才能判断。</w:t>
      </w:r>
    </w:p>
    <w:p>
      <w:pPr>
        <w:pStyle w:val="Heading1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步骤02｜客户准入与AI落地条件评估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时间节点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商务期第3—5天｜1—2天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参与人员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AI项目负责人、客户决策人、业务负责人、IT/数据联系人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下一步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通过：步骤03；未通过：补齐或停止</w:t>
            </w:r>
          </w:p>
        </w:tc>
      </w:tr>
    </w:tbl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开始条件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首次沟通信息完整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客户同意提供基础资料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可以接触业务负责人或真实使用者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所需工具与模板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客户准入评估表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企业AI成熟度评分表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资料缺口清单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具体执行动作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1. 评估老板是否有明确业务目标和流程改变意愿。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2. 确认业务负责人是否承担场景、规则和指标责任。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3. 确认一线人员是否愿意接受访谈和真实试用。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4. 检查资料是否真实、合法、可取得、可脱敏。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5. 检查流程是否稳定、正确结果是否可判断。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6. 确认预算、时间、权限和内部协调条件。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7. 将客户归为可试点、补齐后试点、只培训或暂不合作。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完成标准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业务目标、负责人、使用者、资料和验收意愿五项成立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关键缺口有责任人和截止时间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准入结论得到客户确认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完成证据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客户准入评估表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成熟度评分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准入决定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A33131"/>
          <w:sz w:val="20"/>
        </w:rPr>
        <w:t>异常处理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缺一项关键条件：不承诺正式项目。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资料无法合法使用：暂停数据类方案。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员工明显抵触且老板不推动：先做组织准备。</w:t>
      </w:r>
    </w:p>
    <w:p>
      <w:pPr>
        <w:pStyle w:val="Heading1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步骤03｜正式启动项目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时间节点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D1｜0.5天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参与人员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老板/决策人、业务负责人、IT/数据负责人、使用者代表、AI项目负责人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下一步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步骤04：老板与业务负责人访谈</w:t>
            </w:r>
          </w:p>
        </w:tc>
      </w:tr>
    </w:tbl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开始条件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合同、付款和项目边界确认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客户与我方负责人到位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基础资料和权限路径明确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所需工具与模板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项目启动清单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项目通讯录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会议节奏表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项目文件夹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具体执行动作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1. 说明项目目标、范围、不做事项和预期结果。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2. 确认各角色职责、决策权限和确认时限。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3. 统一13周基准计划、例会和汇报方式。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4. 确认资料、数据、权限和系统接口负责人。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5. 确认需求变更、风险升级和暂停机制。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6. 建立项目文件夹、版本命名和台账。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完成标准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所有关键角色知道自己负责什么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资料、确认和会议节奏有明确日期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G0（启动关口）通过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完成证据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启动会纪要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项目成员与责任表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启动清单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A33131"/>
          <w:sz w:val="20"/>
        </w:rPr>
        <w:t>异常处理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关键负责人缺席：不得宣布正式启动。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资料或权限路径不清：启动计时暂缓。</w:t>
      </w:r>
    </w:p>
    <w:p>
      <w:pPr>
        <w:pStyle w:val="Heading1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步骤04｜老板与业务负责人访谈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时间节点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D1—D2｜1.5天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参与人员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老板/决策人、业务负责人、AI项目负责人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下一步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步骤05：一线访谈与现场观察</w:t>
            </w:r>
          </w:p>
        </w:tc>
      </w:tr>
    </w:tbl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开始条件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项目已正式启动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访谈对象和时间确认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所需工具与模板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老板访谈提纲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业务负责人访谈表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价值链草图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具体执行动作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1. 向老板确认年度经营重点、核心矛盾和项目优先级。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2. 向业务负责人确认部门目标、指标、人员和上下游关系。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3. 询问最近一次真实问题，而非只听抽象判断。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4. 确认不可接受风险和必须保留的人工决定。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5. 确认结果由谁判断、用什么数据验收。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6. 记录老板视角与业务视角不一致的地方，列为待核实。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完成标准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经营目标已落到部门、岗位和指标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业务规则与风险责任人明确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需要现场验证的问题已列清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完成证据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老板访谈记录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业务负责人访谈记录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价值链初稿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A33131"/>
          <w:sz w:val="20"/>
        </w:rPr>
        <w:t>异常处理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老板只谈工具：拉回经营结果。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业务负责人只谈功能：要求提供最近真实案例。</w:t>
      </w:r>
    </w:p>
    <w:p>
      <w:pPr>
        <w:pStyle w:val="Heading1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步骤05｜一线访谈与现场观察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时间节点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D3—D4｜2天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参与人员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2—5名真实执行人员、业务负责人、AI项目负责人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下一步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步骤06：资料、系统与样本盘点</w:t>
            </w:r>
          </w:p>
        </w:tc>
      </w:tr>
    </w:tbl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开始条件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已锁定目标部门和岗位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真实员工与真实任务可安排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所需工具与模板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员工访谈表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真实任务观察表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计时工具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合规录音/截图工具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具体执行动作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1. 让员工讲最近一次真实任务，不先问想要什么AI功能。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2. 让员工独立完成一次完整任务，不代操作、不提示。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3. 按触发、输入、处理、判断、审核、输出、归档、后续记录。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4. 记录每一步耗时、等待、重复、返工和异常。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5. 记录使用的系统、表格、资料和个人经验。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6. 区分制度流程、口述流程和实际流程。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7. 询问员工担忧、拒用原因和愿意使用的条件。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完成标准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至少完整观察一次真实任务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能画出实际业务流程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找到具体问题节点和人工判断点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完成证据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一线访谈记录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真实任务观察表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原流程草图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A33131"/>
          <w:sz w:val="20"/>
        </w:rPr>
        <w:t>异常处理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员工演示理想流程：要求使用最近真实资料。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无法现场观察：至少进行屏幕共享还原。</w:t>
      </w:r>
    </w:p>
    <w:p>
      <w:pPr>
        <w:pStyle w:val="Heading1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步骤06｜资料、系统与样本盘点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时间节点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D5｜1天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参与人员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业务负责人、执行人员、IT/数据负责人、AI项目负责人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下一步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步骤07：流程分析、原因判断与基线建立</w:t>
            </w:r>
          </w:p>
        </w:tc>
      </w:tr>
    </w:tbl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开始条件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已看过真实任务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客户允许在合规范围内盘点资料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所需工具与模板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资料清单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系统接口清单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样本分类表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数据权限清单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具体执行动作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1. 盘点制度、表格、模板、历史输出和操作说明。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2. 列出系统、接口、账号权限、数据位置和负责人。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3. 按正常、优秀、错误、缺失、冲突、边界分类样本。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4. 为样本记录来源、日期、正确结果和脱敏状态。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5. 确认数据上传、查看、保存、删除和训练使用边界。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6. 列出缺失资料、补充人和截止时间。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完成标准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样本可代表真实任务并有正确结果可核对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系统和权限路径明确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资料缺口不会阻塞下一步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完成证据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资料清单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系统接口清单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初始样本库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权限清单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A33131"/>
          <w:sz w:val="20"/>
        </w:rPr>
        <w:t>异常处理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样本无正确答案：先建立人工标注规则。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权限未批准：不得上传或开发。</w:t>
      </w:r>
    </w:p>
    <w:p>
      <w:pPr>
        <w:pStyle w:val="Heading1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步骤07｜流程分析、原因判断与基线建立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时间节点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D6—D10｜5天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参与人员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AI项目负责人主导，业务负责人和执行人员确认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下一步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步骤08：候选场景评分与核心场景选择</w:t>
            </w:r>
          </w:p>
        </w:tc>
      </w:tr>
    </w:tbl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开始条件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访谈、观察、资料和样本基本齐全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所需工具与模板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业务流程图模板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问题原因表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基线数据表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统计口径说明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具体执行动作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1. D6绘制当前完整流程，标出岗位、系统、资料和交接。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2. D7分析问题位置，将原因分为流程、制度、资料、系统、能力和协作。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3. D8确定基线指标、样本周期、数量、来源和公式。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4. D9测量完整任务耗时、处理量、错误、遗漏、返工和业务结果。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5. D10复核流程、原因和基线，召开诊断评审。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6. 将非AI问题先移交流程或管理改进。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完成标准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问题位置和原因有证据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基线可复算且口径统一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G1（诊断关口）通过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完成证据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原业务流程图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原因清单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正式基线表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诊断结论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A33131"/>
          <w:sz w:val="20"/>
        </w:rPr>
        <w:t>异常处理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只有现象无原因：继续观察。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基线不可取得：修改验收方法或暂停。</w:t>
      </w:r>
    </w:p>
    <w:p>
      <w:pPr>
        <w:pStyle w:val="Heading1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步骤08｜候选场景评分与核心场景选择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时间节点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D11—D13｜3天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参与人员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AI项目负责人、老板/业务负责人、IT代表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下一步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步骤09：项目定义与人机边界</w:t>
            </w:r>
          </w:p>
        </w:tc>
      </w:tr>
    </w:tbl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开始条件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诊断通过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存在多个候选问题或机会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所需工具与模板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场景机会卡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四维场景评分表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付费价值判断表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具体执行动作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1. 把每个问题写成岗位+任务+问题+损失+期望结果。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2. 评分业务价值：增收、降本、提效、控风险。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3. 评分落地条件：资料、规则、使用者、审核和30天验证。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4. 评分技术可行性：输入输出、稳定性、追溯和成本。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5. 评分商业价值：预算、付费、续费和复制空间。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6. 只选择一个核心场景，其余进入机会池。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完成标准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场景高价值、可验证、可审核、可付费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范围足够小且不依赖大量未知条件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G2（立项关口）通过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完成证据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场景机会卡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场景评分表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场景选择结论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A33131"/>
          <w:sz w:val="20"/>
        </w:rPr>
        <w:t>异常处理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最高分场景风险不可控：选择次优安全场景。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各方意见不一：回到证据和指标，不按职位决定。</w:t>
      </w:r>
    </w:p>
    <w:p>
      <w:pPr>
        <w:pStyle w:val="Heading1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步骤09｜项目定义与人机边界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时间节点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D14—D15｜2天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参与人员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AI项目负责人、业务负责人、技术负责人、验收人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下一步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步骤10：编写并冻结PRD</w:t>
            </w:r>
          </w:p>
        </w:tc>
      </w:tr>
    </w:tbl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开始条件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核心场景已确认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所需工具与模板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项目定义卡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人机协作流程图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V1范围与不做清单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停止条件表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具体执行动作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1. 明确目标、使用者、负责人、周期和核心指标。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2. 限定V1为一个岗位、一个场景、一条流程和一类输出。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3. 逐节点标注人工输入、AI处理、自动流转、人工审核和人工决定。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4. 判断当前采用自动化、知识库、工作流、单Agent或多Agent。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5. 写明V1不做事项、依赖、风险和停止条件。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6. 确认下一等级演进需要的数据、权限和系统连接。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完成标准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AI与人责任无歧义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V1范围足以验证核心价值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任何新增内容可判断是否超范围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完成证据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项目定义卡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人机流程图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V1范围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停止条件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A33131"/>
          <w:sz w:val="20"/>
        </w:rPr>
        <w:t>异常处理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范围仍过大：继续删减。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高风险决定无人审核：不得立项。</w:t>
      </w:r>
    </w:p>
    <w:p>
      <w:pPr>
        <w:pStyle w:val="Heading1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步骤10｜编写并冻结PRD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时间节点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D16—D18｜3天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参与人员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AI项目负责人主笔，业务、技术、测试共同评审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下一步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步骤11：技术评审与项目排期</w:t>
            </w:r>
          </w:p>
        </w:tc>
      </w:tr>
    </w:tbl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开始条件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项目定义和人机边界确认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所需工具与模板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PRD模板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输入输出样例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异常清单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验收指标表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具体执行动作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1. D16写用户流程和输入规格。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2. D17写AI处理、输出、事实依据和人工审核规则。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3. D18写异常、权限、数据规则和五类验收指标。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4. 用真实样本制作至少一组输入输出示例。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5. 逐条检查开发是否能做、测试是否能验。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6. 召开PRD评审，记录修改后冻结V1范围。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完成标准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开发人员无需猜需求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测试人员知道合格标准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G3（方案冻结关口）通过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完成证据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PRD确认版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输入输出样例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异常清单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验收指标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A33131"/>
          <w:sz w:val="20"/>
        </w:rPr>
        <w:t>异常处理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业务规则未确认：不得冻结。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评审后新增需求：进入变更台账。</w:t>
      </w:r>
    </w:p>
    <w:p>
      <w:pPr>
        <w:pStyle w:val="Heading1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步骤11｜技术评审与项目排期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时间节点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D19—D20｜2天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参与人员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AI项目负责人、技术负责人、业务负责人、IT/安全负责人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下一步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步骤12：开发V1核心流程版</w:t>
            </w:r>
          </w:p>
        </w:tc>
      </w:tr>
    </w:tbl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开始条件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PRD已确认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所需工具与模板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技术方案表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成本估算表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风险与降级表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项目任务表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具体执行动作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1. 按流程调整、自动化、知识库、工作流、Agent顺序选择最低成本方案。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2. 确认模型、接口、存储、权限、日志和运维责任。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3. 估算开发、运行、审核和维护成本。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4. 为接口失败、模型错误、数据风险设计降级方案。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5. 把任务拆为问题、输入、动作、交付物、负责人、时间和标准。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6. 设置V1、V2、V3、V1.0里程碑和风险缓冲。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完成标准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技术复杂度有业务理由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成本、风险、责任和时间可接受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G4（开发准入关口）通过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完成证据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技术方案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成本表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风险与降级方案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项目排期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A33131"/>
          <w:sz w:val="20"/>
        </w:rPr>
        <w:t>异常处理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技术成本高于价值：降级方案或停止。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接口未确认：不得按已接入估算。</w:t>
      </w:r>
    </w:p>
    <w:p>
      <w:pPr>
        <w:pStyle w:val="Heading1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步骤12｜开发V1核心流程版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时间节点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D21—D30｜10天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参与人员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技术负责人执行，AI项目负责人验收，业务负责人确认规则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下一步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步骤13：内部测试与V2</w:t>
            </w:r>
          </w:p>
        </w:tc>
      </w:tr>
    </w:tbl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开始条件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G4通过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开发环境、样本和接口准备完成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所需工具与模板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开发任务表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版本说明模板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需求变更台账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已知问题清单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具体执行动作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1. D21—22：跑通输入、处理、输出的核心链路。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2. D23—24：处理主要正常样本。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3. D25：统一输出字段、顺序和格式。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4. D26：增加人工审核、修改、通过和退回。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5. D27：处理缺失、冲突、格式错和无法判断。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6. D28：完成权限、日志和结果追溯。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7. D29：完成员工操作入口和使用数据记录。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8. D30：端到端检查，冻结V1并记录已知问题。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完成标准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核心任务端到端跑通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正常样本可处理、输出可检查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具备完整测试条件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完成证据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V1核心流程版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版本说明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已知问题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变更记录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A33131"/>
          <w:sz w:val="20"/>
        </w:rPr>
        <w:t>异常处理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新增需求影响核心目标：评审后改排期。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核心链路未通：不得进入测试。</w:t>
      </w:r>
    </w:p>
    <w:p>
      <w:pPr>
        <w:pStyle w:val="Heading1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步骤13｜内部测试与V2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时间节点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D31—D35｜5天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参与人员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测试人员/AI项目负责人、技术负责人、业务规则确认人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下一步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步骤14：第一轮真实试用</w:t>
            </w:r>
          </w:p>
        </w:tc>
      </w:tr>
    </w:tbl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开始条件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V1冻结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测试环境、样本和用例齐全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所需工具与模板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测试用例表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问题与错误样本库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修复清单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回归测试表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具体执行动作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1. D31测试正常、缺失和格式错误。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2. D32测试冲突、边界、事实和追溯。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3. D33测试稳定、权限、操作和故障降级。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4. 将问题分为P0数据/重大风险、P1核心失败、P2局部、P3体验。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5. D34修复P0/P1并记录版本。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6. D35用原样本和同等级新样本回归，冻结V2。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完成标准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P0/P1清零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关键结论可追溯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普通员工基本能操作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G5（试用准入关口）通过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完成证据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测试结果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错误样本库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修复清单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V2内部测试版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A33131"/>
          <w:sz w:val="20"/>
        </w:rPr>
        <w:t>异常处理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P0/P1未清零：测试周期延长。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修复引入新问题：继续回归。</w:t>
      </w:r>
    </w:p>
    <w:p>
      <w:pPr>
        <w:pStyle w:val="Heading1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步骤14｜第一轮真实试用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时间节点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D36—D40｜5天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参与人员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真实员工、业务负责人、AI项目负责人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下一步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步骤15：迭代、回归与第二轮试用</w:t>
            </w:r>
          </w:p>
        </w:tc>
      </w:tr>
    </w:tbl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开始条件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G5通过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5—15名员工、真实任务和安全要求确认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所需工具与模板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试用计划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员工试用记录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耗时记录表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反馈访谈表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具体执行动作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1. D36培训入口、输入标准、审核、反馈和故障处理。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2. D37—39员工独立完成真实任务，负责人只观察。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3. 分别记录准备、提交、运行、审核、修改和异常耗时。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4. 记录卡住、绕过、重做、不信任和拒绝使用。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5. D40汇总数据，访谈员工并排序问题。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完成标准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真实员工独立完成任务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得到行为、耗时、错误和反馈数据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能解释为什么使用或拒绝使用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完成证据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第一轮试用记录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真实使用数据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员工反馈清单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A33131"/>
          <w:sz w:val="20"/>
        </w:rPr>
        <w:t>异常处理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负责人替员工操作：本轮无效。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样本过于简单：补充同等级真实任务。</w:t>
      </w:r>
    </w:p>
    <w:p>
      <w:pPr>
        <w:pStyle w:val="Heading1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步骤15｜迭代、回归与第二轮试用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时间节点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D41—D50｜10天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参与人员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技术负责人、AI项目负责人、真实员工、业务负责人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下一步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步骤16：验收与正式上线</w:t>
            </w:r>
          </w:p>
        </w:tc>
      </w:tr>
    </w:tbl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开始条件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第一轮问题和数据已整理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所需工具与模板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迭代任务表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回归测试表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第二轮试用表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数据对比表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具体执行动作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1. D41—42修复安全、事实和核心任务问题。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2. D43调整审核、操作和业务流程。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3. D44完成内部回归测试。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4. D45设置修改缓冲并确认第二轮样本。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5. D46—48开展第二轮真实试用。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6. D49检查旧问题、回归问题和采用变化。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7. D50完成前后数据对比并冻结V3。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完成标准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旧问题关闭且未产生重大回归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第二轮数据优于第一轮或能解释差异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G6（验收准入关口）通过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完成证据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迭代记录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回归结果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第二轮试用结果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V3员工试用版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A33131"/>
          <w:sz w:val="20"/>
        </w:rPr>
        <w:t>异常处理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修改无改善：重新判断原因，不能硬验收。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员工仍不采用：处理流程和组织问题。</w:t>
      </w:r>
    </w:p>
    <w:p>
      <w:pPr>
        <w:pStyle w:val="Heading1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步骤16｜验收与正式上线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时间节点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D51—D55｜5天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参与人员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验收人、老板/业务负责人、IT、员工代表、AI项目负责人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下一步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步骤17：上线稳定观察</w:t>
            </w:r>
          </w:p>
        </w:tc>
      </w:tr>
    </w:tbl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开始条件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G6通过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验收数据和上线材料齐全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所需工具与模板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五类验收表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单位经济模型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验收报告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上线检查表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操作手册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具体执行动作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1. D51核验效率和质量。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2. D52核验使用、业务和经济价值。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3. D53编写报告并召开验收会，结论为通过、有条件通过、继续试用或不通过。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4. D54检查入口、权限、审核、反馈、安全、故障和版本责任。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5. D55培训员工并发布V1.0正式上线版。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完成标准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验收口径与立项一致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正式结论有数据支持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G7（上线关口）通过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完成证据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数据对比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经济模型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验收报告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上线检查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V1.0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A33131"/>
          <w:sz w:val="20"/>
        </w:rPr>
        <w:t>异常处理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数据不足：继续试用。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验收不通过：返回相应阶段，不强行上线。</w:t>
      </w:r>
    </w:p>
    <w:p>
      <w:pPr>
        <w:pStyle w:val="Heading1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步骤17｜上线稳定观察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时间节点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D56—D63｜8个工作日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参与人员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AI项目负责人、业务负责人、IT/运维、员工代表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下一步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步骤18：项目关闭、续费与产品化</w:t>
            </w:r>
          </w:p>
        </w:tc>
      </w:tr>
    </w:tbl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开始条件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V1.0上线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支持和故障责任人到位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所需工具与模板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上线观察表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使用与成本日报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问题台账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具体执行动作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1. 每日检查任务量、活跃人数、错误、人工修改和故障。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2. 检查员工是否绕过流程或恢复旧方式。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3. 记录模型、接口、存储、人工审核和支持成本。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4. 第5个观察日进行中期复盘，处理重复问题。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5. 持续核对业务指标，避免只看系统使用量。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6. 第8个观察日形成稳定性结论。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完成标准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持续使用基本稳定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重大问题可控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运维、支持和业务责任明确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完成证据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上线观察记录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使用与成本数据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稳定性结论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A33131"/>
          <w:sz w:val="20"/>
        </w:rPr>
        <w:t>异常处理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使用快速下降：立即访谈原因。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重大风险复发：回退版本或暂停。</w:t>
      </w:r>
    </w:p>
    <w:p>
      <w:pPr>
        <w:pStyle w:val="Heading1"/>
        <w:keepNext w:val="0"/>
        <w:spacing w:after="80" w:line="276" w:lineRule="auto"/>
        <w:jc w:val="center"/>
      </w:pPr>
      <w:r>
        <w:rPr>
          <w:rFonts w:ascii="Arial Unicode MS" w:hAnsi="Arial Unicode MS" w:eastAsia="Arial Unicode MS"/>
          <w:b w:val="0"/>
          <w:color w:val="1E2D38"/>
          <w:sz w:val="20"/>
        </w:rPr>
        <w:t>步骤18｜项目关闭、续费与产品化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时间节点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D64—D65｜2天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参与人员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 w:val="0"/>
                <w:color w:val="1E2D38"/>
                <w:sz w:val="18"/>
              </w:rPr>
              <w:t>老板/业务负责人、AI项目负责人、技术负责人</w:t>
            </w:r>
          </w:p>
        </w:tc>
      </w:tr>
      <w:tr>
        <w:trPr>
          <w:cantSplit/>
        </w:trPr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DDEBF4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下一步</w:t>
            </w:r>
          </w:p>
        </w:tc>
        <w:tc>
          <w:tcPr>
            <w:tcW w:type="dxa" w:w="4874"/>
            <w:tcBorders>
              <w:top w:val="single" w:sz="4" w:color="C8D5DE"/>
              <w:left w:val="single" w:sz="4" w:color="C8D5DE"/>
              <w:bottom w:val="single" w:sz="4" w:color="C8D5DE"/>
              <w:right w:val="single" w:sz="4" w:color="C8D5DE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Lines/>
            </w:pPr>
            <w:r/>
            <w:r>
              <w:rPr>
                <w:rFonts w:ascii="Arial Unicode MS" w:hAnsi="Arial Unicode MS" w:eastAsia="Arial Unicode MS"/>
                <w:b/>
                <w:color w:val="174A70"/>
                <w:sz w:val="18"/>
              </w:rPr>
              <w:t>进入持续运营或启动新的场景准入</w:t>
            </w:r>
          </w:p>
        </w:tc>
      </w:tr>
    </w:tbl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开始条件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上线观察数据齐全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所需工具与模板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项目复盘表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续费方案模板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扩展场景表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产品资产清单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具体执行动作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1. 复盘业务、产品、技术、组织、交付和经济结果。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2. 确认未完成项、运维责任和后续版本。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3. 设计运维、升级、更多席位、部门或流程的续费方案。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4. 扩展场景重新评分，不直接复制。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5. 拆分通用底座、行业模块、企业配置和特殊定制。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6. 归档脱敏案例、模板、错误库、报价和交付数据。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完成标准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项目责任完成移交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客户续费、扩展或停止结论明确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下一项目可复用资产已归档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☐ G8（项目关闭关口）通过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1E2D38"/>
          <w:sz w:val="20"/>
        </w:rPr>
        <w:t>完成证据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项目复盘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续费与扩展方案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标准资产库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项目关闭结论</w:t>
      </w:r>
    </w:p>
    <w:p>
      <w:pPr>
        <w:pStyle w:val="Heading2"/>
        <w:keepNext w:val="0"/>
        <w:spacing w:after="80" w:line="276" w:lineRule="auto"/>
      </w:pPr>
      <w:r>
        <w:rPr>
          <w:rFonts w:ascii="Arial Unicode MS" w:hAnsi="Arial Unicode MS" w:eastAsia="Arial Unicode MS"/>
          <w:b w:val="0"/>
          <w:color w:val="A33131"/>
          <w:sz w:val="20"/>
        </w:rPr>
        <w:t>异常处理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上线仍不稳定：不得关闭。</w:t>
      </w:r>
    </w:p>
    <w:p>
      <w:pPr>
        <w:pStyle w:val="ListBullet"/>
        <w:spacing w:after="40" w:line="269" w:lineRule="auto"/>
      </w:pPr>
      <w:r>
        <w:rPr>
          <w:rFonts w:ascii="Arial Unicode MS" w:hAnsi="Arial Unicode MS" w:eastAsia="Arial Unicode MS"/>
          <w:b w:val="0"/>
          <w:color w:val="1E2D38"/>
          <w:sz w:val="19"/>
        </w:rPr>
        <w:t>无数据证明价值：不包装成功案例。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80" w:bottom="979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667681"/>
        <w:sz w:val="16"/>
      </w:rPr>
      <w:t xml:space="preserve">实操版 V1.0  ｜  第 </w:t>
    </w:r>
    <w:fldSimple w:instr="PAGE"/>
    <w:r>
      <w:rPr>
        <w:rFonts w:ascii="Arial Unicode MS" w:hAnsi="Arial Unicode MS" w:eastAsia="Arial Unicode MS"/>
        <w:b w:val="0"/>
        <w:color w:val="667681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667681"/>
        <w:sz w:val="16"/>
      </w:rPr>
      <w:t>企业AI入企项目负责人｜全流程实操手册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4A7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4A7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4A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74A7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