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04_交付物模板与复盘资产化清单</w:t>
      </w:r>
    </w:p>
    <w:p>
      <w:pPr>
        <w:jc w:val="center"/>
      </w:pPr>
      <w:r>
        <w:rPr>
          <w:color w:val="5A5A5A"/>
          <w:sz w:val="24"/>
        </w:rPr>
        <w:t>每一步留下什么证据，如何转化成案例、续费和产品资产</w:t>
      </w:r>
    </w:p>
    <w:p/>
    <w:p>
      <w:pPr>
        <w:pStyle w:val="Heading1"/>
      </w:pPr>
      <w:r>
        <w:t>关键交付物标准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交付物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生成步骤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最低内容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用途</w:t>
            </w:r>
          </w:p>
        </w:tc>
      </w:tr>
      <w:tr>
        <w:tc>
          <w:tcPr>
            <w:tcW w:type="dxa" w:w="2556"/>
            <w:vAlign w:val="center"/>
          </w:tcPr>
          <w:p>
            <w:r>
              <w:t>客户准入评估表</w:t>
            </w:r>
          </w:p>
        </w:tc>
        <w:tc>
          <w:tcPr>
            <w:tcW w:type="dxa" w:w="2556"/>
            <w:vAlign w:val="center"/>
          </w:tcPr>
          <w:p>
            <w:r>
              <w:t>步骤02</w:t>
            </w:r>
          </w:p>
        </w:tc>
        <w:tc>
          <w:tcPr>
            <w:tcW w:type="dxa" w:w="2556"/>
            <w:vAlign w:val="center"/>
          </w:tcPr>
          <w:p>
            <w:r>
              <w:t>业务目标、负责人、使用者、资料、验收意愿、预算权限、准入结论</w:t>
            </w:r>
          </w:p>
        </w:tc>
        <w:tc>
          <w:tcPr>
            <w:tcW w:type="dxa" w:w="2556"/>
            <w:vAlign w:val="center"/>
          </w:tcPr>
          <w:p>
            <w:r>
              <w:t>决定接不接项目</w:t>
            </w:r>
          </w:p>
        </w:tc>
      </w:tr>
      <w:tr>
        <w:tc>
          <w:tcPr>
            <w:tcW w:type="dxa" w:w="2556"/>
            <w:vAlign w:val="center"/>
          </w:tcPr>
          <w:p>
            <w:r>
              <w:t>项目SOW/边界确认</w:t>
            </w:r>
          </w:p>
        </w:tc>
        <w:tc>
          <w:tcPr>
            <w:tcW w:type="dxa" w:w="2556"/>
            <w:vAlign w:val="center"/>
          </w:tcPr>
          <w:p>
            <w:r>
              <w:t>步骤03</w:t>
            </w:r>
          </w:p>
        </w:tc>
        <w:tc>
          <w:tcPr>
            <w:tcW w:type="dxa" w:w="2556"/>
            <w:vAlign w:val="center"/>
          </w:tcPr>
          <w:p>
            <w:r>
              <w:t>范围、周期、角色、交付物、不做事项、变更规则、顺延规则</w:t>
            </w:r>
          </w:p>
        </w:tc>
        <w:tc>
          <w:tcPr>
            <w:tcW w:type="dxa" w:w="2556"/>
            <w:vAlign w:val="center"/>
          </w:tcPr>
          <w:p>
            <w:r>
              <w:t>保护交付边界</w:t>
            </w:r>
          </w:p>
        </w:tc>
      </w:tr>
      <w:tr>
        <w:tc>
          <w:tcPr>
            <w:tcW w:type="dxa" w:w="2556"/>
            <w:vAlign w:val="center"/>
          </w:tcPr>
          <w:p>
            <w:r>
              <w:t>AI落地诊断报告</w:t>
            </w:r>
          </w:p>
        </w:tc>
        <w:tc>
          <w:tcPr>
            <w:tcW w:type="dxa" w:w="2556"/>
            <w:vAlign w:val="center"/>
          </w:tcPr>
          <w:p>
            <w:r>
              <w:t>步骤07</w:t>
            </w:r>
          </w:p>
        </w:tc>
        <w:tc>
          <w:tcPr>
            <w:tcW w:type="dxa" w:w="2556"/>
            <w:vAlign w:val="center"/>
          </w:tcPr>
          <w:p>
            <w:r>
              <w:t>流程图、问题原因、基线数据、非AI问题、候选场景</w:t>
            </w:r>
          </w:p>
        </w:tc>
        <w:tc>
          <w:tcPr>
            <w:tcW w:type="dxa" w:w="2556"/>
            <w:vAlign w:val="center"/>
          </w:tcPr>
          <w:p>
            <w:r>
              <w:t>推动方案成交和立项</w:t>
            </w:r>
          </w:p>
        </w:tc>
      </w:tr>
      <w:tr>
        <w:tc>
          <w:tcPr>
            <w:tcW w:type="dxa" w:w="2556"/>
            <w:vAlign w:val="center"/>
          </w:tcPr>
          <w:p>
            <w:r>
              <w:t>场景评分与一期建议书</w:t>
            </w:r>
          </w:p>
        </w:tc>
        <w:tc>
          <w:tcPr>
            <w:tcW w:type="dxa" w:w="2556"/>
            <w:vAlign w:val="center"/>
          </w:tcPr>
          <w:p>
            <w:r>
              <w:t>步骤08</w:t>
            </w:r>
          </w:p>
        </w:tc>
        <w:tc>
          <w:tcPr>
            <w:tcW w:type="dxa" w:w="2556"/>
            <w:vAlign w:val="center"/>
          </w:tcPr>
          <w:p>
            <w:r>
              <w:t>候选场景、评分证据、核心场景、为什么先做它</w:t>
            </w:r>
          </w:p>
        </w:tc>
        <w:tc>
          <w:tcPr>
            <w:tcW w:type="dxa" w:w="2556"/>
            <w:vAlign w:val="center"/>
          </w:tcPr>
          <w:p>
            <w:r>
              <w:t>让老板接受小切口</w:t>
            </w:r>
          </w:p>
        </w:tc>
      </w:tr>
      <w:tr>
        <w:tc>
          <w:tcPr>
            <w:tcW w:type="dxa" w:w="2556"/>
            <w:vAlign w:val="center"/>
          </w:tcPr>
          <w:p>
            <w:r>
              <w:t>项目定义卡</w:t>
            </w:r>
          </w:p>
        </w:tc>
        <w:tc>
          <w:tcPr>
            <w:tcW w:type="dxa" w:w="2556"/>
            <w:vAlign w:val="center"/>
          </w:tcPr>
          <w:p>
            <w:r>
              <w:t>步骤09</w:t>
            </w:r>
          </w:p>
        </w:tc>
        <w:tc>
          <w:tcPr>
            <w:tcW w:type="dxa" w:w="2556"/>
            <w:vAlign w:val="center"/>
          </w:tcPr>
          <w:p>
            <w:r>
              <w:t>目标、使用者、指标、V1范围、人机边界、停止条件</w:t>
            </w:r>
          </w:p>
        </w:tc>
        <w:tc>
          <w:tcPr>
            <w:tcW w:type="dxa" w:w="2556"/>
            <w:vAlign w:val="center"/>
          </w:tcPr>
          <w:p>
            <w:r>
              <w:t>防止范围漂移</w:t>
            </w:r>
          </w:p>
        </w:tc>
      </w:tr>
      <w:tr>
        <w:tc>
          <w:tcPr>
            <w:tcW w:type="dxa" w:w="2556"/>
            <w:vAlign w:val="center"/>
          </w:tcPr>
          <w:p>
            <w:r>
              <w:t>PRD确认版</w:t>
            </w:r>
          </w:p>
        </w:tc>
        <w:tc>
          <w:tcPr>
            <w:tcW w:type="dxa" w:w="2556"/>
            <w:vAlign w:val="center"/>
          </w:tcPr>
          <w:p>
            <w:r>
              <w:t>步骤10</w:t>
            </w:r>
          </w:p>
        </w:tc>
        <w:tc>
          <w:tcPr>
            <w:tcW w:type="dxa" w:w="2556"/>
            <w:vAlign w:val="center"/>
          </w:tcPr>
          <w:p>
            <w:r>
              <w:t>用户流程、输入输出、AI处理、审核规则、异常、权限、验收指标</w:t>
            </w:r>
          </w:p>
        </w:tc>
        <w:tc>
          <w:tcPr>
            <w:tcW w:type="dxa" w:w="2556"/>
            <w:vAlign w:val="center"/>
          </w:tcPr>
          <w:p>
            <w:r>
              <w:t>开发和测试依据</w:t>
            </w:r>
          </w:p>
        </w:tc>
      </w:tr>
      <w:tr>
        <w:tc>
          <w:tcPr>
            <w:tcW w:type="dxa" w:w="2556"/>
            <w:vAlign w:val="center"/>
          </w:tcPr>
          <w:p>
            <w:r>
              <w:t>技术方案与排期</w:t>
            </w:r>
          </w:p>
        </w:tc>
        <w:tc>
          <w:tcPr>
            <w:tcW w:type="dxa" w:w="2556"/>
            <w:vAlign w:val="center"/>
          </w:tcPr>
          <w:p>
            <w:r>
              <w:t>步骤11</w:t>
            </w:r>
          </w:p>
        </w:tc>
        <w:tc>
          <w:tcPr>
            <w:tcW w:type="dxa" w:w="2556"/>
            <w:vAlign w:val="center"/>
          </w:tcPr>
          <w:p>
            <w:r>
              <w:t>方案选型、接口、模型、存储、日志、降级、成本、里程碑</w:t>
            </w:r>
          </w:p>
        </w:tc>
        <w:tc>
          <w:tcPr>
            <w:tcW w:type="dxa" w:w="2556"/>
            <w:vAlign w:val="center"/>
          </w:tcPr>
          <w:p>
            <w:r>
              <w:t>控制技术风险</w:t>
            </w:r>
          </w:p>
        </w:tc>
      </w:tr>
      <w:tr>
        <w:tc>
          <w:tcPr>
            <w:tcW w:type="dxa" w:w="2556"/>
            <w:vAlign w:val="center"/>
          </w:tcPr>
          <w:p>
            <w:r>
              <w:t>测试报告</w:t>
            </w:r>
          </w:p>
        </w:tc>
        <w:tc>
          <w:tcPr>
            <w:tcW w:type="dxa" w:w="2556"/>
            <w:vAlign w:val="center"/>
          </w:tcPr>
          <w:p>
            <w:r>
              <w:t>步骤13</w:t>
            </w:r>
          </w:p>
        </w:tc>
        <w:tc>
          <w:tcPr>
            <w:tcW w:type="dxa" w:w="2556"/>
            <w:vAlign w:val="center"/>
          </w:tcPr>
          <w:p>
            <w:r>
              <w:t>测试用例、错误等级、修复记录、回归结果、P0/P1状态</w:t>
            </w:r>
          </w:p>
        </w:tc>
        <w:tc>
          <w:tcPr>
            <w:tcW w:type="dxa" w:w="2556"/>
            <w:vAlign w:val="center"/>
          </w:tcPr>
          <w:p>
            <w:r>
              <w:t>试用准入</w:t>
            </w:r>
          </w:p>
        </w:tc>
      </w:tr>
      <w:tr>
        <w:tc>
          <w:tcPr>
            <w:tcW w:type="dxa" w:w="2556"/>
            <w:vAlign w:val="center"/>
          </w:tcPr>
          <w:p>
            <w:r>
              <w:t>试用数据报告</w:t>
            </w:r>
          </w:p>
        </w:tc>
        <w:tc>
          <w:tcPr>
            <w:tcW w:type="dxa" w:w="2556"/>
            <w:vAlign w:val="center"/>
          </w:tcPr>
          <w:p>
            <w:r>
              <w:t>步骤14—15</w:t>
            </w:r>
          </w:p>
        </w:tc>
        <w:tc>
          <w:tcPr>
            <w:tcW w:type="dxa" w:w="2556"/>
            <w:vAlign w:val="center"/>
          </w:tcPr>
          <w:p>
            <w:r>
              <w:t>真实员工、真实任务、耗时、错误、反馈、采用变化</w:t>
            </w:r>
          </w:p>
        </w:tc>
        <w:tc>
          <w:tcPr>
            <w:tcW w:type="dxa" w:w="2556"/>
            <w:vAlign w:val="center"/>
          </w:tcPr>
          <w:p>
            <w:r>
              <w:t>验收依据</w:t>
            </w:r>
          </w:p>
        </w:tc>
      </w:tr>
      <w:tr>
        <w:tc>
          <w:tcPr>
            <w:tcW w:type="dxa" w:w="2556"/>
            <w:vAlign w:val="center"/>
          </w:tcPr>
          <w:p>
            <w:r>
              <w:t>验收报告</w:t>
            </w:r>
          </w:p>
        </w:tc>
        <w:tc>
          <w:tcPr>
            <w:tcW w:type="dxa" w:w="2556"/>
            <w:vAlign w:val="center"/>
          </w:tcPr>
          <w:p>
            <w:r>
              <w:t>步骤16</w:t>
            </w:r>
          </w:p>
        </w:tc>
        <w:tc>
          <w:tcPr>
            <w:tcW w:type="dxa" w:w="2556"/>
            <w:vAlign w:val="center"/>
          </w:tcPr>
          <w:p>
            <w:r>
              <w:t>效率、质量、使用、业务、经济五类指标和结论</w:t>
            </w:r>
          </w:p>
        </w:tc>
        <w:tc>
          <w:tcPr>
            <w:tcW w:type="dxa" w:w="2556"/>
            <w:vAlign w:val="center"/>
          </w:tcPr>
          <w:p>
            <w:r>
              <w:t>上线和收尾依据</w:t>
            </w:r>
          </w:p>
        </w:tc>
      </w:tr>
      <w:tr>
        <w:tc>
          <w:tcPr>
            <w:tcW w:type="dxa" w:w="2556"/>
            <w:vAlign w:val="center"/>
          </w:tcPr>
          <w:p>
            <w:r>
              <w:t>上线观察报告</w:t>
            </w:r>
          </w:p>
        </w:tc>
        <w:tc>
          <w:tcPr>
            <w:tcW w:type="dxa" w:w="2556"/>
            <w:vAlign w:val="center"/>
          </w:tcPr>
          <w:p>
            <w:r>
              <w:t>步骤17</w:t>
            </w:r>
          </w:p>
        </w:tc>
        <w:tc>
          <w:tcPr>
            <w:tcW w:type="dxa" w:w="2556"/>
            <w:vAlign w:val="center"/>
          </w:tcPr>
          <w:p>
            <w:r>
              <w:t>任务量、活跃、错误、修改、故障、成本、绕用情况</w:t>
            </w:r>
          </w:p>
        </w:tc>
        <w:tc>
          <w:tcPr>
            <w:tcW w:type="dxa" w:w="2556"/>
            <w:vAlign w:val="center"/>
          </w:tcPr>
          <w:p>
            <w:r>
              <w:t>判断是否稳定</w:t>
            </w:r>
          </w:p>
        </w:tc>
      </w:tr>
      <w:tr>
        <w:tc>
          <w:tcPr>
            <w:tcW w:type="dxa" w:w="2556"/>
            <w:vAlign w:val="center"/>
          </w:tcPr>
          <w:p>
            <w:r>
              <w:t>续费与二期方案</w:t>
            </w:r>
          </w:p>
        </w:tc>
        <w:tc>
          <w:tcPr>
            <w:tcW w:type="dxa" w:w="2556"/>
            <w:vAlign w:val="center"/>
          </w:tcPr>
          <w:p>
            <w:r>
              <w:t>步骤18</w:t>
            </w:r>
          </w:p>
        </w:tc>
        <w:tc>
          <w:tcPr>
            <w:tcW w:type="dxa" w:w="2556"/>
            <w:vAlign w:val="center"/>
          </w:tcPr>
          <w:p>
            <w:r>
              <w:t>已证明价值、未完成项、运维内容、扩展场景、报价建议</w:t>
            </w:r>
          </w:p>
        </w:tc>
        <w:tc>
          <w:tcPr>
            <w:tcW w:type="dxa" w:w="2556"/>
            <w:vAlign w:val="center"/>
          </w:tcPr>
          <w:p>
            <w:r>
              <w:t>承接长期合作</w:t>
            </w:r>
          </w:p>
        </w:tc>
      </w:tr>
    </w:tbl>
    <w:p/>
    <w:p>
      <w:pPr>
        <w:pStyle w:val="Heading1"/>
      </w:pPr>
      <w:r>
        <w:t>复盘资产化清单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资产类型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必须沉淀什么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以后怎么用</w:t>
            </w:r>
          </w:p>
        </w:tc>
      </w:tr>
      <w:tr>
        <w:tc>
          <w:tcPr>
            <w:tcW w:type="dxa" w:w="3408"/>
            <w:vAlign w:val="center"/>
          </w:tcPr>
          <w:p>
            <w:r>
              <w:t>行业案例</w:t>
            </w:r>
          </w:p>
        </w:tc>
        <w:tc>
          <w:tcPr>
            <w:tcW w:type="dxa" w:w="3408"/>
            <w:vAlign w:val="center"/>
          </w:tcPr>
          <w:p>
            <w:r>
              <w:t>客户行业、问题、做法、前后数据、客户原话、注意脱敏</w:t>
            </w:r>
          </w:p>
        </w:tc>
        <w:tc>
          <w:tcPr>
            <w:tcW w:type="dxa" w:w="3408"/>
            <w:vAlign w:val="center"/>
          </w:tcPr>
          <w:p>
            <w:r>
              <w:t>销售页、朋友圈、短视频、方案背书</w:t>
            </w:r>
          </w:p>
        </w:tc>
      </w:tr>
      <w:tr>
        <w:tc>
          <w:tcPr>
            <w:tcW w:type="dxa" w:w="3408"/>
            <w:vAlign w:val="center"/>
          </w:tcPr>
          <w:p>
            <w:r>
              <w:t>场景SOP</w:t>
            </w:r>
          </w:p>
        </w:tc>
        <w:tc>
          <w:tcPr>
            <w:tcW w:type="dxa" w:w="3408"/>
            <w:vAlign w:val="center"/>
          </w:tcPr>
          <w:p>
            <w:r>
              <w:t>触发条件、输入、处理、审核、输出、异常</w:t>
            </w:r>
          </w:p>
        </w:tc>
        <w:tc>
          <w:tcPr>
            <w:tcW w:type="dxa" w:w="3408"/>
            <w:vAlign w:val="center"/>
          </w:tcPr>
          <w:p>
            <w:r>
              <w:t>下次同类项目快速复用</w:t>
            </w:r>
          </w:p>
        </w:tc>
      </w:tr>
      <w:tr>
        <w:tc>
          <w:tcPr>
            <w:tcW w:type="dxa" w:w="3408"/>
            <w:vAlign w:val="center"/>
          </w:tcPr>
          <w:p>
            <w:r>
              <w:t>问题话术</w:t>
            </w:r>
          </w:p>
        </w:tc>
        <w:tc>
          <w:tcPr>
            <w:tcW w:type="dxa" w:w="3408"/>
            <w:vAlign w:val="center"/>
          </w:tcPr>
          <w:p>
            <w:r>
              <w:t>客户最常问的问题、真实异议、你的回答</w:t>
            </w:r>
          </w:p>
        </w:tc>
        <w:tc>
          <w:tcPr>
            <w:tcW w:type="dxa" w:w="3408"/>
            <w:vAlign w:val="center"/>
          </w:tcPr>
          <w:p>
            <w:r>
              <w:t>售前成交和内容选题</w:t>
            </w:r>
          </w:p>
        </w:tc>
      </w:tr>
      <w:tr>
        <w:tc>
          <w:tcPr>
            <w:tcW w:type="dxa" w:w="3408"/>
            <w:vAlign w:val="center"/>
          </w:tcPr>
          <w:p>
            <w:r>
              <w:t>样本库</w:t>
            </w:r>
          </w:p>
        </w:tc>
        <w:tc>
          <w:tcPr>
            <w:tcW w:type="dxa" w:w="3408"/>
            <w:vAlign w:val="center"/>
          </w:tcPr>
          <w:p>
            <w:r>
              <w:t>正常、优秀、错误、缺失、冲突、边界样本</w:t>
            </w:r>
          </w:p>
        </w:tc>
        <w:tc>
          <w:tcPr>
            <w:tcW w:type="dxa" w:w="3408"/>
            <w:vAlign w:val="center"/>
          </w:tcPr>
          <w:p>
            <w:r>
              <w:t>测试、训练、演示和交付</w:t>
            </w:r>
          </w:p>
        </w:tc>
      </w:tr>
      <w:tr>
        <w:tc>
          <w:tcPr>
            <w:tcW w:type="dxa" w:w="3408"/>
            <w:vAlign w:val="center"/>
          </w:tcPr>
          <w:p>
            <w:r>
              <w:t>错误库</w:t>
            </w:r>
          </w:p>
        </w:tc>
        <w:tc>
          <w:tcPr>
            <w:tcW w:type="dxa" w:w="3408"/>
            <w:vAlign w:val="center"/>
          </w:tcPr>
          <w:p>
            <w:r>
              <w:t>模型错、流程错、资料错、使用错、权限错</w:t>
            </w:r>
          </w:p>
        </w:tc>
        <w:tc>
          <w:tcPr>
            <w:tcW w:type="dxa" w:w="3408"/>
            <w:vAlign w:val="center"/>
          </w:tcPr>
          <w:p>
            <w:r>
              <w:t>降低下次交付风险</w:t>
            </w:r>
          </w:p>
        </w:tc>
      </w:tr>
      <w:tr>
        <w:tc>
          <w:tcPr>
            <w:tcW w:type="dxa" w:w="3408"/>
            <w:vAlign w:val="center"/>
          </w:tcPr>
          <w:p>
            <w:r>
              <w:t>模板库</w:t>
            </w:r>
          </w:p>
        </w:tc>
        <w:tc>
          <w:tcPr>
            <w:tcW w:type="dxa" w:w="3408"/>
            <w:vAlign w:val="center"/>
          </w:tcPr>
          <w:p>
            <w:r>
              <w:t>PRD、验收、诊断、复盘、续费方案</w:t>
            </w:r>
          </w:p>
        </w:tc>
        <w:tc>
          <w:tcPr>
            <w:tcW w:type="dxa" w:w="3408"/>
            <w:vAlign w:val="center"/>
          </w:tcPr>
          <w:p>
            <w:r>
              <w:t>标准化交付</w:t>
            </w:r>
          </w:p>
        </w:tc>
      </w:tr>
      <w:tr>
        <w:tc>
          <w:tcPr>
            <w:tcW w:type="dxa" w:w="3408"/>
            <w:vAlign w:val="center"/>
          </w:tcPr>
          <w:p>
            <w:r>
              <w:t>报价库</w:t>
            </w:r>
          </w:p>
        </w:tc>
        <w:tc>
          <w:tcPr>
            <w:tcW w:type="dxa" w:w="3408"/>
            <w:vAlign w:val="center"/>
          </w:tcPr>
          <w:p>
            <w:r>
              <w:t>本项目投入、范围变化、客户付费、续费可能</w:t>
            </w:r>
          </w:p>
        </w:tc>
        <w:tc>
          <w:tcPr>
            <w:tcW w:type="dxa" w:w="3408"/>
            <w:vAlign w:val="center"/>
          </w:tcPr>
          <w:p>
            <w:r>
              <w:t>形成报价依据</w:t>
            </w:r>
          </w:p>
        </w:tc>
      </w:tr>
    </w:tbl>
    <w:p/>
    <w:p>
      <w:pPr>
        <w:pStyle w:val="Heading1"/>
      </w:pPr>
      <w:r>
        <w:t>验收报告建议目录</w:t>
      </w:r>
    </w:p>
    <w:p>
      <w:pPr>
        <w:pStyle w:val="ListNumber"/>
      </w:pPr>
      <w:r>
        <w:t>项目背景与一期目标</w:t>
      </w:r>
    </w:p>
    <w:p>
      <w:pPr>
        <w:pStyle w:val="ListNumber"/>
      </w:pPr>
      <w:r>
        <w:t>原流程与基线数据</w:t>
      </w:r>
    </w:p>
    <w:p>
      <w:pPr>
        <w:pStyle w:val="ListNumber"/>
      </w:pPr>
      <w:r>
        <w:t>本期V1.0能力范围</w:t>
      </w:r>
    </w:p>
    <w:p>
      <w:pPr>
        <w:pStyle w:val="ListNumber"/>
      </w:pPr>
      <w:r>
        <w:t>试用过程与使用数据</w:t>
      </w:r>
    </w:p>
    <w:p>
      <w:pPr>
        <w:pStyle w:val="ListNumber"/>
      </w:pPr>
      <w:r>
        <w:t>效率、质量、使用、业务、经济五类指标对比</w:t>
      </w:r>
    </w:p>
    <w:p>
      <w:pPr>
        <w:pStyle w:val="ListNumber"/>
      </w:pPr>
      <w:r>
        <w:t>风险、限制与仍需人工审核的节点</w:t>
      </w:r>
    </w:p>
    <w:p>
      <w:pPr>
        <w:pStyle w:val="ListNumber"/>
      </w:pPr>
      <w:r>
        <w:t>验收结论：通过/有条件通过/继续试用/不通过</w:t>
      </w:r>
    </w:p>
    <w:p>
      <w:pPr>
        <w:pStyle w:val="ListNumber"/>
      </w:pPr>
      <w:r>
        <w:t>上线责任、运维机制与下一阶段建议</w:t>
      </w:r>
    </w:p>
    <w:p>
      <w:pPr>
        <w:pStyle w:val="Heading1"/>
      </w:pPr>
      <w:r>
        <w:t>二期/续费方案建议结构</w:t>
      </w:r>
    </w:p>
    <w:p>
      <w:pPr>
        <w:pStyle w:val="ListNumber"/>
      </w:pPr>
      <w:r>
        <w:t>一期已证明的价值</w:t>
      </w:r>
    </w:p>
    <w:p>
      <w:pPr>
        <w:pStyle w:val="ListNumber"/>
      </w:pPr>
      <w:r>
        <w:t>当前仍存在的问题</w:t>
      </w:r>
    </w:p>
    <w:p>
      <w:pPr>
        <w:pStyle w:val="ListNumber"/>
      </w:pPr>
      <w:r>
        <w:t>持续运维服务包：月度复盘、知识库更新、错误库优化、使用培训、成本监控</w:t>
      </w:r>
    </w:p>
    <w:p>
      <w:pPr>
        <w:pStyle w:val="ListNumber"/>
      </w:pPr>
      <w:r>
        <w:t>扩展方向一：更多使用者/席位</w:t>
      </w:r>
    </w:p>
    <w:p>
      <w:pPr>
        <w:pStyle w:val="ListNumber"/>
      </w:pPr>
      <w:r>
        <w:t>扩展方向二：更多部门/流程</w:t>
      </w:r>
    </w:p>
    <w:p>
      <w:pPr>
        <w:pStyle w:val="ListNumber"/>
      </w:pPr>
      <w:r>
        <w:t>扩展方向三：更深系统集成/自动化</w:t>
      </w:r>
    </w:p>
    <w:p>
      <w:pPr>
        <w:pStyle w:val="ListNumber"/>
      </w:pPr>
      <w:r>
        <w:t>推荐方案、周期、报价和客户配合事项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PingFang SC" w:hAnsi="PingFang SC" w:eastAsia="PingFang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PingFang SC" w:hAnsi="PingFang SC" w:eastAsia="PingFang S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PingFang SC" w:hAnsi="PingFang SC" w:eastAsia="PingFang SC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PingFang SC" w:hAnsi="PingFang SC" w:eastAsia="PingFang SC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