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A5B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December 2013</w:t>
      </w:r>
    </w:p>
    <w:p w:rsidR="00000000" w:rsidRDefault="002C3A5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27/12/2013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2C3A5B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2C3A5B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27/12/2013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2C3A5B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</w:t>
      </w:r>
      <w:r>
        <w:rPr>
          <w:rFonts w:ascii="Arial" w:hAnsi="Arial" w:cs="Arial"/>
          <w:b/>
          <w:bCs/>
          <w:color w:val="000000"/>
          <w:sz w:val="16"/>
          <w:szCs w:val="16"/>
        </w:rPr>
        <w:t>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2C3A5B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2C3A5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27/12/2013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2C3A5B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2C3A5B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2C3A5B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77,588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75,065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87,111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83,619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97%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2C3A5B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93%</w:t>
      </w:r>
    </w:p>
    <w:p w:rsidR="00000000" w:rsidRDefault="002C3A5B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78,492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75,907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85,953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97%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report </w:t>
      </w:r>
      <w:r>
        <w:rPr>
          <w:rFonts w:ascii="Arial" w:hAnsi="Arial" w:cs="Arial"/>
          <w:color w:val="000000"/>
          <w:sz w:val="16"/>
          <w:szCs w:val="16"/>
        </w:rPr>
        <w:t>is compiled from data on the last working Friday in December 2013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2C3A5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27/12/2013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</w:t>
      </w:r>
      <w:r>
        <w:rPr>
          <w:rFonts w:ascii="Arial" w:hAnsi="Arial" w:cs="Arial"/>
          <w:color w:val="000000"/>
          <w:sz w:val="16"/>
          <w:szCs w:val="16"/>
        </w:rPr>
        <w:t>mal Accommodation (CNA), or uncrowded capacity, is the Prison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</w:t>
      </w:r>
      <w:r>
        <w:rPr>
          <w:rFonts w:ascii="Arial" w:hAnsi="Arial" w:cs="Arial"/>
          <w:color w:val="000000"/>
          <w:sz w:val="16"/>
          <w:szCs w:val="16"/>
        </w:rPr>
        <w:t>l of all certified accommodation in an establishment except, normally: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 units.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</w:t>
      </w:r>
      <w:r>
        <w:rPr>
          <w:rFonts w:ascii="Arial" w:hAnsi="Arial" w:cs="Arial"/>
          <w:color w:val="000000"/>
          <w:sz w:val="16"/>
          <w:szCs w:val="16"/>
        </w:rPr>
        <w:t xml:space="preserve">can hold taking into account control,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the Deputy Director of Custody on the basis of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</w:t>
      </w:r>
      <w:r>
        <w:rPr>
          <w:rFonts w:ascii="Arial" w:hAnsi="Arial" w:cs="Arial"/>
          <w:color w:val="000000"/>
          <w:sz w:val="16"/>
          <w:szCs w:val="16"/>
        </w:rPr>
        <w:t>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classes of prisoner i.e. b</w:t>
      </w:r>
      <w:r>
        <w:rPr>
          <w:rFonts w:ascii="Arial" w:hAnsi="Arial" w:cs="Arial"/>
          <w:color w:val="000000"/>
          <w:sz w:val="16"/>
          <w:szCs w:val="16"/>
        </w:rPr>
        <w:t xml:space="preserve">y sex, age, security category, conviction status, single cell risk assessment and also due to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>Governing governors and Controllers and Directors of contracted out prisons must</w:t>
      </w:r>
      <w:r>
        <w:rPr>
          <w:rFonts w:ascii="Arial" w:hAnsi="Arial" w:cs="Arial"/>
          <w:color w:val="000000"/>
          <w:sz w:val="16"/>
          <w:szCs w:val="16"/>
        </w:rPr>
        <w:t xml:space="preserve"> ensure that the approved operational 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2C3A5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000000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C3A5B"/>
    <w:rsid w:val="002C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gisaacs</dc:creator>
  <cp:keywords/>
  <dc:description/>
  <cp:lastModifiedBy>gisaacs</cp:lastModifiedBy>
  <cp:revision>2</cp:revision>
  <dcterms:created xsi:type="dcterms:W3CDTF">2014-01-10T10:07:00Z</dcterms:created>
  <dcterms:modified xsi:type="dcterms:W3CDTF">2014-01-10T10:07:00Z</dcterms:modified>
</cp:coreProperties>
</file>