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right"/>
      </w:pPr>
      <w:r>
        <w:rPr>
          <w:rFonts w:ascii="Calibri" w:hAnsi="Calibri"/>
          <w:b w:val="0"/>
          <w:i w:val="0"/>
          <w:color w:val="555555"/>
          <w:sz w:val="18"/>
        </w:rPr>
        <w:t xml:space="preserve">Commission de Transformation Digitale  —  </w:t>
      </w:r>
      <w:r>
        <w:rPr>
          <w:rFonts w:ascii="Calibri" w:hAnsi="Calibri"/>
          <w:b/>
          <w:i w:val="0"/>
          <w:color w:val="1F4E79"/>
          <w:sz w:val="18"/>
        </w:rPr>
        <w:t>Audit académique &amp; pédagogique</w:t>
      </w:r>
    </w:p>
    <w:p>
      <w:pPr>
        <w:spacing w:before="40" w:after="0" w:line="240" w:lineRule="auto"/>
        <w:jc w:val="center"/>
      </w:pPr>
      <w:r>
        <w:rPr>
          <w:rFonts w:ascii="Calibri" w:hAnsi="Calibri"/>
          <w:b/>
          <w:i w:val="0"/>
          <w:color w:val="1F4E79"/>
          <w:sz w:val="22"/>
        </w:rPr>
        <w:t>COMMISSION DE TRANSFORMATION DIGITALE</w:t>
      </w:r>
    </w:p>
    <w:p>
      <w:pPr>
        <w:spacing w:before="0" w:after="80" w:line="240" w:lineRule="auto"/>
        <w:jc w:val="center"/>
      </w:pPr>
      <w:r>
        <w:rPr>
          <w:rFonts w:ascii="Calibri" w:hAnsi="Calibri"/>
          <w:b w:val="0"/>
          <w:i/>
          <w:color w:val="555555"/>
          <w:sz w:val="20"/>
        </w:rPr>
        <w:t>Groupe d'Établissements d'Enseignement Supérieur — Mauritanie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4E79"/>
          <w:sz w:val="36"/>
        </w:rPr>
        <w:t>DOCUMENT D'AUDIT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4E79"/>
          <w:sz w:val="22"/>
        </w:rPr>
        <w:t>Diagnostic &amp; Recueil des Besoins — Volet Académique et Pédagogique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/>
          <w:color w:val="555555"/>
          <w:sz w:val="18"/>
        </w:rPr>
        <w:t>Périmètre : scolarité, enseignement, évaluations et examens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1F4E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Établissement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1F4E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Date / Réf.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val="clear" w:color="auto" w:fill="1F4E79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A.  Identification de l'établissement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Dénomination officielle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Statut (public / privé / mixte) — Tutelle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Nombre d'étudiants / d'enseignants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Nombre de facultés ou départements — Sites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Filières et niveaux proposés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Langues d'enseignement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Interlocuteurs rencontrés (DG, DSI, chefs de service académiques)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Nom &amp; Prénom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Fonction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Signature</w:t>
            </w: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1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2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3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4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val="clear" w:color="auto" w:fill="1F4E79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B.  Diagnostic global de la digitalisation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 w:val="0"/>
          <w:i/>
          <w:color w:val="555555"/>
          <w:sz w:val="18"/>
        </w:rPr>
        <w:t>Section pivot : oriente la suite de l'audit (vers évaluation de l'existant, recueil des besoins, ou les deux).</w:t>
      </w: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B.1  Niveau global de digitalisation académique/pédagogique (une seule réponse)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Aucune solution numérique — tout fonctionne sur papier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Très partielle — quelques fichiers Excel/Word isolés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Partielle — quelques logiciels en place, non intégrés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Mixte — certains processus digitalisés, d'autres sur papier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Avancée — la plupart des processus digitalisés, système fragmenté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Intégrée — système d'information académique unifié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B.2  Plateformes pédagogiques en place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LMS (Moodle, Google Classroom, autre)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Outils de visioconférence (Zoom, Teams, Meet)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ENT / Portail étudiant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Application mobile étudiants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Aucune plateforme pédagogique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B.3  Inventaire des solutions numériques académiques en place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Aucune solution numérique en place — passer directement à la Section C2.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Nom de la solution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/ Domaine couvert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Éditeur / Fournisseur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Année de mise en service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val="clear" w:color="auto" w:fill="1F4E79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C1.  Évaluation des solutions existantes (si applicable)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 w:val="0"/>
          <w:i/>
          <w:color w:val="555555"/>
          <w:sz w:val="18"/>
        </w:rPr>
        <w:t>À renseigner uniquement si l'établissement dispose déjà de solutions. Objectif : conserver, faire évoluer ou remplacer.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Critère d'évaluation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 Faible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 Élevé</w:t>
            </w:r>
          </w:p>
        </w:tc>
        <w:tc>
          <w:tcPr>
            <w:tcW w:type="dxa" w:w="13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N/A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Couverture fonctionnelle (besoin métier couvert)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Performance, rapidité et fiabilité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Ergonomie et facilité d'utilisation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Sécurité des données et des accès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Capacité d'évolution et interopérabilité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Qualité du support et de la documentation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9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sz w:val="20"/>
        </w:rPr>
        <w:t>C1.1  Principales forces des solutions actuelles :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80" w:after="40" w:line="240" w:lineRule="auto"/>
      </w:pPr>
      <w:r>
        <w:rPr>
          <w:rFonts w:ascii="Calibri" w:hAnsi="Calibri"/>
          <w:b/>
          <w:i w:val="0"/>
          <w:sz w:val="20"/>
        </w:rPr>
        <w:t>C1.2  Principales faiblesses ou dysfonctionnements :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C1.3  Position de l'établissement sur le devenir des solutions existantes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À conserver en l'état — satisfaisantes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À faire évoluer / compléter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À remplacer progressivement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À remplacer en urgence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Arbitrage par la Commission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val="clear" w:color="auto" w:fill="1F4E79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C2.  Recueil des besoins — Volet académique et pédagogique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 w:val="0"/>
          <w:i/>
          <w:color w:val="555555"/>
          <w:sz w:val="18"/>
        </w:rPr>
        <w:t>Pour chaque processus, indiquer la situation actuelle et la priorité de digitalisation (H = Haute, M = Moyenne, B = Basse).</w:t>
      </w:r>
    </w:p>
    <w:p>
      <w:pPr>
        <w:spacing w:before="12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Scolarité et gestion des étudiants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Processus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Aucune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Papier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Excel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Logiciel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Mixte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Inscriptions / Réinscriptions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Dossiers étudiants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Attestations &amp; diplômes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Emplois du temps &amp; affectation des salles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Suivi de l'assiduité / absences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Pré-inscription / admission en ligne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Portail étudiant (espace personnel : notes, EDT, documents)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Suivi de la progression (passages, redoublements, exclusions)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Justificatifs d'absence avec circuit de validation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</w:tbl>
    <w:p>
      <w:pPr>
        <w:spacing w:before="12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Pédagogie et enseignement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Processus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Aucune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Papier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Excel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Logiciel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Mixte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Programmes, syllabus et supports de cours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Plateforme e-learning (LMS)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Cours hybrides / visioconférence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Travaux dirigés et travaux pratiques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Suivi des stages et mémoires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Pointage des séances effectivement tenues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Suivi des charges horaires des enseignants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Portail enseignant (espace personnel)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</w:tbl>
    <w:p>
      <w:pPr>
        <w:spacing w:before="12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Évaluations et examens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Processus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Aucune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Papier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Excel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Logiciel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Mixte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Planification &amp; convocations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Saisie et calcul des notes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Délibérations &amp; jurys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Publication des résultats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Recours et archivage des copies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Anonymat des copies à la saisie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Sessions de rattrapage et compensation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Pondérations CC / TP / Examen paramétrables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</w:tbl>
    <w:p>
      <w:pPr>
        <w:spacing w:before="12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Vacations et paiements enseignants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Processus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Aucune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Papier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Excel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Logiciel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Mixte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Calcul des vacations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Génération des états de paiement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Heures supplémentaires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Export bancaire pour virements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</w:tbl>
    <w:p>
      <w:pPr>
        <w:spacing w:before="12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Réclamations et vie étudiante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Processus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Aucune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Papier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Excel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Logiciel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Mixte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Dépôt de réclamations en ligne (notes, absences)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Périodes d'ouverture des réclamations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Traitement et suivi du circuit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</w:tbl>
    <w:p>
      <w:pPr>
        <w:spacing w:before="12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Communication et 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Processus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Aucune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Papier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Excel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Logiciel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Mixte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Notifications internes (intra-application)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Notifications email / SMS sortantes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Tableaux de bord direction (statistiques)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Génération automatique d'attestations et relevés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</w:tbl>
    <w:p>
      <w:pPr>
        <w:spacing w:before="12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Sécurité, traçabilité et multi-établissement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Processus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Aucune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Papier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Excel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Logiciel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Mixte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Comptes individuels et rôles (direction, scolarité, enseignant, étudiant)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Journal des modifications (qui a modifié quoi, quand)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Gestion multi-établissement (isolation des données par site)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H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M  </w:t>
            </w:r>
            <w:r>
              <w:rPr>
                <w:rFonts w:ascii="Segoe UI Symbol" w:hAnsi="Segoe UI Symbol"/>
                <w:b w:val="0"/>
                <w:i w:val="0"/>
                <w:sz w:val="22"/>
              </w:rPr>
              <w:t>☐</w:t>
            </w:r>
            <w:r>
              <w:rPr>
                <w:rFonts w:ascii="Calibri" w:hAnsi="Calibri"/>
                <w:b/>
                <w:i w:val="0"/>
                <w:sz w:val="18"/>
              </w:rPr>
              <w:t xml:space="preserve">B  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sz w:val="20"/>
        </w:rPr>
        <w:t>C2.1  3 besoins les plus critiques à couvrir en priorité (classer 1, 2, 3) :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80" w:after="40" w:line="240" w:lineRule="auto"/>
      </w:pPr>
      <w:r>
        <w:rPr>
          <w:rFonts w:ascii="Calibri" w:hAnsi="Calibri"/>
          <w:b/>
          <w:i w:val="0"/>
          <w:sz w:val="20"/>
        </w:rPr>
        <w:t>C2.2  Tâches manuelles à automatiser en priorité :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val="clear" w:color="auto" w:fill="1F4E79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D.  Site web et présence en ligne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 w:val="0"/>
          <w:i/>
          <w:color w:val="555555"/>
          <w:sz w:val="18"/>
        </w:rPr>
        <w:t>Vitrine numérique de l'établissement — communication externe, attractivité, relation candidats.</w:t>
      </w: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D.1  État du site web institutionnel (une seule réponse)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Site web à jour — refonte de moins de 3 ans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Site existant mais ancien — refonte de plus de 3 ans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Site en cours de refonte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Pas de site web institutionnel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D.2  Caractéristiques du site web (cocher tout ce qui s'applique)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Responsive mobile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Multilingue (FR / AR / EN)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Catalogue des formations à jour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Calendrier universitaire publié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Annuaire enseignants / responsables consultable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Formulaire de pré-candidature en ligne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Lien vers portails (étudiant, enseignant)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Mentions légales / politique RGPD affichées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Statistiques de fréquentation suivies (Analytics)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D.3  Présence sur les réseaux sociaux (cocher tout ce qui s'applique)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Facebook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LinkedIn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Instagram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YouTube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TikTok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X (Twitter)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WhatsApp Business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Aucune présence sur les réseaux sociaux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D.4  Technologies utilisées (si applicable)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CMS / Plateforme utilisée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55555"/>
                <w:sz w:val="16"/>
              </w:rPr>
              <w:t>(ex. WordPress, Drupal, Strapi, Next.js, développement sur mesure)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Hébergement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55555"/>
                <w:sz w:val="16"/>
              </w:rPr>
              <w:t>(prestataire / on-premise / cloud)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6F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Prestataire de maintenance / agence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55555"/>
                <w:sz w:val="16"/>
              </w:rPr>
              <w:t>(nom, contact)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val="clear" w:color="auto" w:fill="1F4E79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E.  Contraintes et environnement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E.1  Connexion Internet sur les sites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Très bonne / bonne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Moyenne — coupures fréquentes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Faible / pas de connexion sur certains sites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E.2  Compétences IT internes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DSI structurée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Quelques techniciens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Une seule personne en charge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Pas de compétences internes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E.3  Préférences linguistiques pour les interfaces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Français uniquement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Bilingue français / arabe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Trilingue français / arabe / anglais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sz w:val="20"/>
        </w:rPr>
        <w:t>E.4  Budget prévisionnel ou sources de financement identifiées :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80" w:after="40" w:line="240" w:lineRule="auto"/>
      </w:pPr>
      <w:r>
        <w:rPr>
          <w:rFonts w:ascii="Calibri" w:hAnsi="Calibri"/>
          <w:b/>
          <w:i w:val="0"/>
          <w:sz w:val="20"/>
        </w:rPr>
        <w:t>E.5  Délai souhaité pour les premiers résultats / déploiement complet :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val="clear" w:color="auto" w:fill="1F4E79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F.  Synthèse — Réservé à la Commission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 w:val="0"/>
          <w:i/>
          <w:color w:val="555555"/>
          <w:sz w:val="18"/>
        </w:rPr>
        <w:t>À renseigner par la Commission à l'issue de l'audit. Base de la recommandation au Groupe.</w:t>
      </w: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F.1  Niveau de maturité digitale constaté (volet académique/pédagogique)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Niveau 1 — Inexistant (tout manuel)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Niveau 2 — Émergent (outils bureautiques isolés)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Niveau 3 — En construction (logiciels partiels)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Niveau 4 — Structuré (système partiellement intégré)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Niveau 5 — Mature (SI académique unifié)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color w:val="1F4E79"/>
          <w:sz w:val="20"/>
        </w:rPr>
        <w:t>F.2  Orientation recommandée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Nouvelle solution complète à concevoir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Évolution / complétion des solutions existantes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Refonte partielle (remplacement de modules)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Mutualisation avec d'autres établissements du Groupe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Mise à niveau préalable de l'infrastructure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Segoe UI Symbol" w:hAnsi="Segoe UI Symbol"/>
                <w:b w:val="0"/>
                <w:i w:val="0"/>
                <w:sz w:val="22"/>
              </w:rPr>
              <w:t xml:space="preserve">☐  </w:t>
            </w:r>
            <w:r>
              <w:rPr>
                <w:rFonts w:ascii="Calibri" w:hAnsi="Calibri"/>
                <w:b w:val="0"/>
                <w:i w:val="0"/>
                <w:sz w:val="20"/>
              </w:rPr>
              <w:t>Étude complémentaire nécessaire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/>
          <w:b/>
          <w:i w:val="0"/>
          <w:sz w:val="20"/>
        </w:rPr>
        <w:t>F.3  Axes prioritaires retenus et recommandations :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p>
      <w:pPr>
        <w:spacing w:before="40" w:after="40" w:line="240" w:lineRule="auto"/>
      </w:pP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val="clear" w:color="auto" w:fill="1F4E79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G.  Validation et signatures</w:t>
            </w:r>
          </w:p>
        </w:tc>
      </w:tr>
    </w:tbl>
    <w:p>
      <w:pPr>
        <w:spacing w:before="40" w:after="40" w:line="240" w:lineRule="auto"/>
      </w:pPr>
      <w:r>
        <w:rPr>
          <w:rFonts w:ascii="Calibri" w:hAnsi="Calibri"/>
          <w:b w:val="0"/>
          <w:i/>
          <w:color w:val="555555"/>
          <w:sz w:val="18"/>
        </w:rPr>
        <w:t>Les soussignés certifient que les informations renseignées dans le présent document reflètent fidèlement la situation de l'établissement à la date d'audit.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POUR L'ÉTABLISSEMENT</w:t>
            </w:r>
          </w:p>
        </w:tc>
        <w:tc>
          <w:tcPr>
            <w:tcW w:type="dxa" w:w="49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POUR LA COMMISSION</w:t>
            </w:r>
          </w:p>
        </w:tc>
      </w:tr>
      <w:tr>
        <w:tc>
          <w:tcPr>
            <w:tcW w:type="dxa" w:w="49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80" w:after="2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Nom, Fonction :</w:t>
            </w:r>
          </w:p>
        </w:tc>
        <w:tc>
          <w:tcPr>
            <w:tcW w:type="dxa" w:w="49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80" w:after="2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Président / Rapporteur :</w:t>
            </w:r>
          </w:p>
        </w:tc>
      </w:tr>
      <w:tr>
        <w:tc>
          <w:tcPr>
            <w:tcW w:type="dxa" w:w="49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80" w:after="2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Date :</w:t>
            </w:r>
          </w:p>
        </w:tc>
        <w:tc>
          <w:tcPr>
            <w:tcW w:type="dxa" w:w="49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80" w:after="2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Date :</w:t>
            </w:r>
          </w:p>
        </w:tc>
      </w:tr>
      <w:tr>
        <w:tc>
          <w:tcPr>
            <w:tcW w:type="dxa" w:w="49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80" w:after="2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Signature &amp; cachet :</w:t>
            </w:r>
          </w:p>
        </w:tc>
        <w:tc>
          <w:tcPr>
            <w:tcW w:type="dxa" w:w="49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before="80" w:after="2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Signatures :</w:t>
            </w:r>
          </w:p>
        </w:tc>
      </w:tr>
    </w:tbl>
    <w:sectPr w:rsidR="00FC693F" w:rsidRPr="0006063C" w:rsidSect="00034616">
      <w:pgSz w:w="12240" w:h="15840"/>
      <w:pgMar w:top="737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