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Calibri" w:hAnsi="Calibri"/>
          <w:b/>
          <w:color w:val="1F4E79"/>
          <w:sz w:val="28"/>
        </w:rPr>
        <w:t>Questionnaire d'audit du Système d'Information</w:t>
      </w:r>
    </w:p>
    <w:p>
      <w:pPr>
        <w:spacing w:before="0" w:after="80" w:line="240" w:lineRule="auto"/>
        <w:jc w:val="center"/>
      </w:pPr>
      <w:r>
        <w:rPr>
          <w:rFonts w:ascii="Calibri" w:hAnsi="Calibri"/>
          <w:b w:val="0"/>
          <w:i/>
          <w:color w:val="555555"/>
          <w:sz w:val="20"/>
        </w:rPr>
        <w:t>État des lieux des outils de gestion — Établissements supérieurs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81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18"/>
              </w:rPr>
              <w:t>Établissement :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1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18"/>
              </w:rPr>
              <w:t>Date de l'audit :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81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18"/>
              </w:rPr>
              <w:t>Répondant :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1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18"/>
              </w:rPr>
              <w:t>Fonction :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>
      <w:pPr>
        <w:spacing w:before="80" w:after="40" w:line="240" w:lineRule="auto"/>
        <w:jc w:val="center"/>
      </w:pPr>
      <w:r>
        <w:rPr>
          <w:rFonts w:ascii="Calibri" w:hAnsi="Calibri"/>
          <w:b w:val="0"/>
          <w:i/>
          <w:color w:val="555555"/>
          <w:sz w:val="18"/>
        </w:rPr>
        <w:t>Cochez pour chaque question :  ☐ Oui   ☐ Partiellement   ☐ Non   |   Observations en colonne libre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2E75B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2E75B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2E75B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Oui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2E75B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Partiel.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2E75B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Non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2E75B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Observations</w:t>
            </w:r>
          </w:p>
        </w:tc>
      </w:tr>
      <w:tr>
        <w:tc>
          <w:tcPr>
            <w:tcW w:type="dxa" w:w="9922"/>
            <w:gridSpan w:val="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  Axe 1 — Pilotage informatique de l'établissement</w:t>
            </w: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1.1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Une personne est désignée pour piloter l'informatique de l'établissement (DSI, responsable IT ou prestataire)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1.2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Existe-t-il un plan ou une feuille de route pour l'informatique de l'établissement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1.3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Un budget annuel est-il prévu pour les outils numériques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9922"/>
            <w:gridSpan w:val="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  Axe 2 — Sécurité des données</w:t>
            </w: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2.1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Les données sont-elles sauvegardées régulièrement (quotidien / hebdomadaire)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2.2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Une sauvegarde est-elle stockée à l'extérieur de l'établissement (cloud, autre site)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2.3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Chaque utilisateur a-t-il son propre compte (pas de compte partagé)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2.4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Les droits d'accès sont-ils définis selon les fonctions (direction, scolarité, enseignant, étudiant)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2.5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Un mécanisme existe-t-il pour bloquer / débloquer un compte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2.6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L'établissement est-il en conformité avec la réglementation sur les données personnelles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9922"/>
            <w:gridSpan w:val="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  Axe 3 — Traçabilité des actions</w:t>
            </w: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3.1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Les modifications importantes (notes, inscriptions…) sont-elles enregistrées avec l'auteur et la date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3.2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Peut-on consulter l'historique d'un dossier étudiant ou d'une note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3.3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Existe-t-il une protection contre la suppression ou la modification frauduleuse de l'historique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9922"/>
            <w:gridSpan w:val="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  Axe 4 — Référentiels académiques</w:t>
            </w: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4.1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Le catalogue des filières, départements et modules est-il géré dans un outil informatique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4.2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Le programme est-il rattaché à une année universitaire (versioning par année)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4.3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Les semestres, semaines et créneaux horaires sont-ils paramétrables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4.4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Le référentiel des salles existe-t-il (capacité, équipement)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4.5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Le calendrier prend-il en compte les périodes spécifiques (Ramadan, jours fériés locaux)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9922"/>
            <w:gridSpan w:val="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  Axe 5 — Pré-inscriptions et admissions</w:t>
            </w: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5.1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Les candidats peuvent-ils pré-déposer leur dossier en ligne (formulaire web)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5.2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Chaque candidat reçoit-il un lien personnel sécurisé pour suivre sa candidature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5.3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Le passage de la candidature à l'inscription définitive est-il géré dans le même outil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5.4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L'import en masse d'étudiants (depuis un fichier Excel) est-il possible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9922"/>
            <w:gridSpan w:val="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  Axe 6 — Vie étudiante et scolarité</w:t>
            </w: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6.1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Le dossier de chaque étudiant est-il centralisé (état civil, parcours, documents)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6.2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Peut-on rechercher un étudiant selon plusieurs critères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6.3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La progression de l'étudiant est-elle suivie d'une année / d'un semestre à l'autre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6.4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Les étudiants ont-ils un espace personnel (notes, EDT, absences, documents)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9922"/>
            <w:gridSpan w:val="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  Axe 7 — Emplois du temps</w:t>
            </w: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7.1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Les emplois du temps sont-ils conçus dans un outil dédié (pas Excel)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7.2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L'outil détecte-t-il automatiquement les conflits (enseignant, salle, groupe occupés en même temps)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7.3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Les séances de rattrapage et modifications de dernière minute sont-elles gérées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7.4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Les emplois du temps sont-ils archivés par semaine / année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7.5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Les enseignants et étudiants peuvent-ils consulter leur EDT en ligne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9922"/>
            <w:gridSpan w:val="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  Axe 8 — Enseignants et paiement des vacations</w:t>
            </w: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8.1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L'annuaire des enseignants distingue-t-il permanents / vacataires / contractuels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8.2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Les charges horaires de chaque enseignant sont-elles suivies dans le système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8.3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Les états de paiement des vacations sont-ils générés automatiquement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8.4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Les heures supplémentaires sont-elles calculées automatiquement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8.5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Un export bancaire pour les virements existe-t-il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9922"/>
            <w:gridSpan w:val="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  Axe 9 — Présences et absences</w:t>
            </w: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9.1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Le pointage de présence des enseignants est-il fait (séance effectivement tenue)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9.2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Les absences des étudiants sont-elles saisies par séance / par salle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9.3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Les justificatifs d'absence (médicaux, administratifs) sont-ils gérés avec un circuit de validation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9.4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Les enseignants peuvent-ils saisir les absences depuis leur espace personnel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9.5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Des alertes automatiques sont-elles envoyées au-delà d'un seuil d'absences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9922"/>
            <w:gridSpan w:val="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  Axe 10 — Notes, évaluations et délibérations</w:t>
            </w: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10.1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Les enseignants saisissent-ils les notes depuis leur espace personnel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10.2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La saisie anonyme des copies (anonymat préservé) est-elle possible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10.3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Les sessions normale et de rattrapage sont-elles distinguées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10.4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Les pondérations CC / TP / Examen sont-elles paramétrables par module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10.5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Les moyennes (module, semestre, année) sont-elles calculées automatiquement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10.6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Les procès-verbaux de délibération sont-ils générés automatiquement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10.7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Les décisions du jury (rachat, passage, redoublement) sont-elles tracées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9922"/>
            <w:gridSpan w:val="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  Axe 11 — Stages et insertion professionnelle</w:t>
            </w: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11.1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Les conventions de stage sont-elles gérées dans un outil informatique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11.2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Le circuit de validation d'une convention est-il suivi (brouillon → soumise → terminée)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11.3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La distinction stage / Projet de Fin d'Études (PFE) existe-t-elle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11.4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Les tuteurs (académique + entreprise) sont-ils enregistrés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11.5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L'évaluation finale prend-elle en compte plusieurs notes (entreprise, rapport, soutenance)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11.6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Le jury de soutenance est-il composé de plusieurs membres tracés dans l'outil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9922"/>
            <w:gridSpan w:val="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  Axe 12 — Réclamations étudiantes</w:t>
            </w: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12.1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Les étudiants peuvent-ils déposer une réclamation (absence, note, autre) depuis leur espace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12.2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Les périodes d'ouverture des réclamations sont-elles paramétrables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12.3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La réclamation est-elle reliée à l'objet concerné (séance, note, session)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12.4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Le traitement suit-il un circuit (soumise → en cours → acceptée / rejetée)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12.5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Les enseignants concernés voient-ils les réclamations qui les concernent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9922"/>
            <w:gridSpan w:val="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  Axe 13 — Documents, communication et tableaux de bord</w:t>
            </w: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13.1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Les attestations, relevés de notes et autres documents sont-ils générés automatiquement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13.2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Les étudiants peuvent-ils télécharger leurs documents depuis leur espace personnel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13.3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Des notifications internes sont-elles envoyées aux utilisateurs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13.4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Les notifications par e-mail ou SMS sont-elles possibles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13.5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La direction dispose-t-elle de tableaux de bord (statistiques globales, par filière, par enseignant)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13.6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Les exports pour la tutelle / ministère sont-ils possibles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13.7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La signature électronique des documents officiels est-elle utilisée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9922"/>
            <w:gridSpan w:val="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  Axe 14 — Site web et présence numérique</w:t>
            </w: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14.1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Le site web institutionnel est-il à jour (refonte récente, contenu actualisé)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14.2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Le site est-il consultable correctement sur smartphone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14.3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Le site est-il disponible en plusieurs langues (FR / AR / EN selon contexte)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14.4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Le catalogue des formations en ligne est-il à jour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14.5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Un formulaire de pré-candidature est-il accessible directement depuis le site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14.6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L'établissement est-il présent sur les réseaux sociaux (Facebook, LinkedIn)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14.7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Les statistiques de fréquentation du site sont-elles suivies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trHeight w:val="255"/>
        </w:trPr>
        <w:tc>
          <w:tcPr>
            <w:tcW w:type="dxa" w:w="51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14.8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Les mentions légales et politique de confidentialité (RGPD) sont-elles affichées ?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56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sz w:val="24"/>
              </w:rPr>
              <w:t>☐</w:t>
            </w:r>
          </w:p>
        </w:tc>
        <w:tc>
          <w:tcPr>
            <w:tcW w:type="dxa" w:w="209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</w:p>
        </w:tc>
      </w:tr>
    </w:tbl>
    <w:p>
      <w:pPr>
        <w:spacing w:before="160" w:after="0" w:line="240" w:lineRule="auto"/>
        <w:jc w:val="right"/>
      </w:pPr>
      <w:r>
        <w:rPr>
          <w:rFonts w:ascii="Calibri" w:hAnsi="Calibri"/>
          <w:b w:val="0"/>
          <w:i/>
          <w:color w:val="555555"/>
          <w:sz w:val="18"/>
        </w:rPr>
        <w:t>Signature du répondant : _______________________________</w:t>
      </w:r>
    </w:p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