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ALKEM  |  AI MASTERCLASS</w:t>
      </w:r>
    </w:p>
    <w:p>
      <w:pPr>
        <w:pStyle w:val="Title"/>
        <w:spacing w:before="720"/>
      </w:pPr>
      <w:r>
        <w:t>GenAI for Patient-Centric Healthcare</w:t>
      </w:r>
    </w:p>
    <w:p>
      <w:pPr>
        <w:pStyle w:val="Heading1"/>
      </w:pPr>
      <w:r>
        <w:rPr>
          <w:color w:val="0F766E"/>
        </w:rPr>
        <w:t>Participant Workbook</w:t>
      </w:r>
    </w:p>
    <w:p>
      <w:r>
        <w:t>A practical workbook for doctors, pharmacists, medical affairs, pharmacovigilance, research, quality, and healthcare leadership.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1008"/>
        </w:trPr>
        <w:tc>
          <w:tcPr>
            <w:tcW w:type="dxa" w:w="5184"/>
            <w:shd w:fill="EFF6FF"/>
            <w:tcBorders>
              <w:top w:val="single" w:sz="6" w:color="0891B2"/>
              <w:left w:val="single" w:sz="6" w:color="0891B2"/>
              <w:bottom w:val="single" w:sz="6" w:color="0891B2"/>
              <w:right w:val="single" w:sz="6" w:color="0891B2"/>
              <w:insideH w:val="single" w:sz="6" w:color="0891B2"/>
              <w:insideV w:val="single" w:sz="6" w:color="0891B2"/>
            </w:tcBorders>
            <w:vAlign w:val="center"/>
          </w:tcPr>
          <w:p>
            <w:r>
              <w:rPr>
                <w:b/>
                <w:color w:val="0F766E"/>
                <w:sz w:val="32"/>
              </w:rPr>
              <w:t>60 min</w:t>
              <w:br/>
            </w:r>
            <w:r>
              <w:t>Concise theory and medical demonstrations</w:t>
            </w:r>
          </w:p>
        </w:tc>
        <w:tc>
          <w:tcPr>
            <w:tcW w:type="dxa" w:w="5184"/>
            <w:shd w:fill="EFF6FF"/>
            <w:tcBorders>
              <w:top w:val="single" w:sz="6" w:color="0891B2"/>
              <w:left w:val="single" w:sz="6" w:color="0891B2"/>
              <w:bottom w:val="single" w:sz="6" w:color="0891B2"/>
              <w:right w:val="single" w:sz="6" w:color="0891B2"/>
              <w:insideH w:val="single" w:sz="6" w:color="0891B2"/>
              <w:insideV w:val="single" w:sz="6" w:color="0891B2"/>
            </w:tcBorders>
            <w:vAlign w:val="center"/>
          </w:tcPr>
          <w:p>
            <w:r>
              <w:rPr>
                <w:b/>
                <w:color w:val="0F766E"/>
                <w:sz w:val="32"/>
              </w:rPr>
              <w:t>90 min</w:t>
              <w:br/>
            </w:r>
            <w:r>
              <w:t>Six case-based labs with verification</w:t>
            </w:r>
          </w:p>
        </w:tc>
      </w:tr>
      <w:tr>
        <w:trPr>
          <w:trHeight w:val="1008"/>
        </w:trPr>
        <w:tc>
          <w:tcPr>
            <w:tcW w:type="dxa" w:w="5184"/>
            <w:shd w:fill="EFF6FF"/>
            <w:tcBorders>
              <w:top w:val="single" w:sz="6" w:color="0891B2"/>
              <w:left w:val="single" w:sz="6" w:color="0891B2"/>
              <w:bottom w:val="single" w:sz="6" w:color="0891B2"/>
              <w:right w:val="single" w:sz="6" w:color="0891B2"/>
              <w:insideH w:val="single" w:sz="6" w:color="0891B2"/>
              <w:insideV w:val="single" w:sz="6" w:color="0891B2"/>
            </w:tcBorders>
            <w:vAlign w:val="center"/>
          </w:tcPr>
          <w:p>
            <w:r>
              <w:rPr>
                <w:b/>
                <w:color w:val="0F766E"/>
                <w:sz w:val="32"/>
              </w:rPr>
              <w:t>4 pillars</w:t>
              <w:br/>
            </w:r>
            <w:r>
              <w:t>Patient • Clinical • Pharma/Research • Governance</w:t>
            </w:r>
          </w:p>
        </w:tc>
        <w:tc>
          <w:tcPr>
            <w:tcW w:type="dxa" w:w="5184"/>
            <w:shd w:fill="FFF7ED"/>
            <w:tcBorders>
              <w:top w:val="single" w:sz="6" w:color="C2410C"/>
              <w:left w:val="single" w:sz="6" w:color="C2410C"/>
              <w:bottom w:val="single" w:sz="6" w:color="C2410C"/>
              <w:right w:val="single" w:sz="6" w:color="C2410C"/>
              <w:insideH w:val="single" w:sz="6" w:color="C2410C"/>
              <w:insideV w:val="single" w:sz="6" w:color="C2410C"/>
            </w:tcBorders>
            <w:vAlign w:val="center"/>
          </w:tcPr>
          <w:p>
            <w:r>
              <w:rPr>
                <w:b/>
                <w:color w:val="C2410C"/>
                <w:sz w:val="32"/>
              </w:rPr>
              <w:t>Safety</w:t>
              <w:br/>
            </w:r>
            <w:r>
              <w:t>Synthetic data • bounded task • qualified human decision</w:t>
            </w:r>
          </w:p>
        </w:tc>
      </w:tr>
    </w:tbl>
    <w:p/>
    <w:p>
      <w:r>
        <w:rPr>
          <w:b/>
        </w:rPr>
        <w:t xml:space="preserve">Important: </w:t>
      </w:r>
      <w:r>
        <w:t>Every case, image, name, and value in this kit is synthetic. The materials are for education, not diagnosis, prescribing, treatment, regulatory submission, or autonomous decision-making.</w:t>
      </w:r>
    </w:p>
    <w:p>
      <w:r>
        <w:br w:type="page"/>
      </w:r>
    </w:p>
    <w:p>
      <w:pPr>
        <w:pStyle w:val="Heading1"/>
      </w:pPr>
      <w:r>
        <w:t>1. Four-pillar map and learning outcomes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960"/>
        <w:gridCol w:w="4824"/>
      </w:tblGrid>
      <w:tr>
        <w:trPr>
          <w:tblHeader w:val="true"/>
        </w:trPr>
        <w:tc>
          <w:tcPr>
            <w:tcW w:type="dxa" w:w="3456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Pillar</w:t>
            </w:r>
          </w:p>
        </w:tc>
        <w:tc>
          <w:tcPr>
            <w:tcW w:type="dxa" w:w="3456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56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Medical examples</w:t>
            </w:r>
          </w:p>
        </w:tc>
      </w:tr>
      <w:tr>
        <w:tc>
          <w:tcPr>
            <w:tcW w:type="dxa" w:w="165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01 Patient engagement</w:t>
            </w:r>
          </w:p>
        </w:tc>
        <w:tc>
          <w:tcPr>
            <w:tcW w:type="dxa" w:w="396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Make information clearer and actionable.</w:t>
            </w:r>
          </w:p>
        </w:tc>
        <w:tc>
          <w:tcPr>
            <w:tcW w:type="dxa" w:w="482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Prescription explanation; discharge teach-back; multilingual counselling</w:t>
            </w:r>
          </w:p>
        </w:tc>
      </w:tr>
      <w:tr>
        <w:tc>
          <w:tcPr>
            <w:tcW w:type="dxa" w:w="165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02 Clinical workflow</w:t>
            </w:r>
          </w:p>
        </w:tc>
        <w:tc>
          <w:tcPr>
            <w:tcW w:type="dxa" w:w="396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Structure information while clinicians retain decisions.</w:t>
            </w:r>
          </w:p>
        </w:tc>
        <w:tc>
          <w:tcPr>
            <w:tcW w:type="dxa" w:w="482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Image observation boundary; red flags; documentation</w:t>
            </w:r>
          </w:p>
        </w:tc>
      </w:tr>
      <w:tr>
        <w:tc>
          <w:tcPr>
            <w:tcW w:type="dxa" w:w="165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03 Pharma and research</w:t>
            </w:r>
          </w:p>
        </w:tc>
        <w:tc>
          <w:tcPr>
            <w:tcW w:type="dxa" w:w="396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Improve traceability and preparation.</w:t>
            </w:r>
          </w:p>
        </w:tc>
        <w:tc>
          <w:tcPr>
            <w:tcW w:type="dxa" w:w="482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PV intake; evidence search; medical information</w:t>
            </w:r>
          </w:p>
        </w:tc>
      </w:tr>
      <w:tr>
        <w:tc>
          <w:tcPr>
            <w:tcW w:type="dxa" w:w="165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04 Responsible AI</w:t>
            </w:r>
          </w:p>
        </w:tc>
        <w:tc>
          <w:tcPr>
            <w:tcW w:type="dxa" w:w="396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Match controls to risk and implementation.</w:t>
            </w:r>
          </w:p>
        </w:tc>
        <w:tc>
          <w:tcPr>
            <w:tcW w:type="dxa" w:w="482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Risk tier; data boundary; monitoring; stop rule</w:t>
            </w:r>
          </w:p>
        </w:tc>
      </w:tr>
    </w:tbl>
    <w:p>
      <w:pPr>
        <w:pStyle w:val="Heading2"/>
      </w:pPr>
      <w:r>
        <w:t>By the end, I can…</w:t>
      </w:r>
    </w:p>
    <w:p>
      <w:r>
        <w:t>□ frame a bounded healthcare task and name prohibited actions</w:t>
      </w:r>
    </w:p>
    <w:p>
      <w:r>
        <w:t>□ select a tool by workflow fit, data boundary, evidence, and reviewer</w:t>
      </w:r>
    </w:p>
    <w:p>
      <w:r>
        <w:t>□ use synthetic prescriptions and medical images safely in demonstrations</w:t>
      </w:r>
    </w:p>
    <w:p>
      <w:r>
        <w:t>□ verify source fidelity, citations, missingness, uncertainty, and escalation</w:t>
      </w:r>
    </w:p>
    <w:p>
      <w:r>
        <w:t>□ design a measurable, reversible 30-day pilot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Borders>
              <w:top w:val="single" w:sz="10" w:color="C2410C"/>
              <w:left w:val="single" w:sz="10" w:color="C2410C"/>
              <w:bottom w:val="single" w:sz="10" w:color="C2410C"/>
              <w:right w:val="single" w:sz="10" w:color="C2410C"/>
              <w:insideH w:val="single" w:sz="10" w:color="C2410C"/>
              <w:insideV w:val="single" w:sz="10" w:color="C2410C"/>
            </w:tcBorders>
          </w:tcPr>
          <w:p>
            <w:r>
              <w:rPr>
                <w:b/>
                <w:color w:val="C2410C"/>
              </w:rPr>
              <w:t>My safety contract</w:t>
              <w:br/>
            </w:r>
            <w:r>
              <w:t>Use synthetic or approved data. Do not delegate diagnosis, prescribing, safety, regulatory, publication, or governance decisions. Record accept, edit, reject, or escalate.</w:t>
            </w:r>
          </w:p>
        </w:tc>
      </w:tr>
    </w:tbl>
    <w:p>
      <w:r>
        <w:br w:type="page"/>
      </w:r>
    </w:p>
    <w:p>
      <w:pPr>
        <w:pStyle w:val="Heading1"/>
      </w:pPr>
      <w:r>
        <w:t>2. Workflow-first prompt canvas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816"/>
        <w:gridCol w:w="5184"/>
      </w:tblGrid>
      <w:tr>
        <w:trPr>
          <w:tblHeader w:val="true"/>
        </w:trPr>
        <w:tc>
          <w:tcPr>
            <w:tcW w:type="dxa" w:w="3456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3456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3456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My draft</w:t>
            </w:r>
          </w:p>
        </w:tc>
      </w:tr>
      <w:tr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381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Who is the model assisting?</w:t>
            </w:r>
          </w:p>
        </w:tc>
        <w:tc>
          <w:tcPr>
            <w:tcW w:type="dxa" w:w="51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Context</w:t>
            </w:r>
          </w:p>
        </w:tc>
        <w:tc>
          <w:tcPr>
            <w:tcW w:type="dxa" w:w="381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Audience, setting, approved data, and source?</w:t>
            </w:r>
          </w:p>
        </w:tc>
        <w:tc>
          <w:tcPr>
            <w:tcW w:type="dxa" w:w="51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381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One bounded action?</w:t>
            </w:r>
          </w:p>
        </w:tc>
        <w:tc>
          <w:tcPr>
            <w:tcW w:type="dxa" w:w="51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Constraints</w:t>
            </w:r>
          </w:p>
        </w:tc>
        <w:tc>
          <w:tcPr>
            <w:tcW w:type="dxa" w:w="381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What must not be invented or decided?</w:t>
            </w:r>
          </w:p>
        </w:tc>
        <w:tc>
          <w:tcPr>
            <w:tcW w:type="dxa" w:w="51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381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What exact structure is useful?</w:t>
            </w:r>
          </w:p>
        </w:tc>
        <w:tc>
          <w:tcPr>
            <w:tcW w:type="dxa" w:w="51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Verify</w:t>
            </w:r>
          </w:p>
        </w:tc>
        <w:tc>
          <w:tcPr>
            <w:tcW w:type="dxa" w:w="381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What source checks and escalation are required?</w:t>
            </w:r>
          </w:p>
        </w:tc>
        <w:tc>
          <w:tcPr>
            <w:tcW w:type="dxa" w:w="51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</w:tbl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10" w:color="0891B2"/>
              <w:left w:val="single" w:sz="10" w:color="0891B2"/>
              <w:bottom w:val="single" w:sz="10" w:color="0891B2"/>
              <w:right w:val="single" w:sz="10" w:color="0891B2"/>
              <w:insideH w:val="single" w:sz="10" w:color="0891B2"/>
              <w:insideV w:val="single" w:sz="10" w:color="0891B2"/>
            </w:tcBorders>
          </w:tcPr>
          <w:p>
            <w:r>
              <w:rPr>
                <w:b/>
                <w:color w:val="0891B2"/>
              </w:rPr>
              <w:t>Prompt quality check</w:t>
              <w:br/>
            </w:r>
            <w:r>
              <w:t>A confident tone is not evidence. A safer prompt keeps source facts, assumptions, interpretation, missing data, and human decisions separate.</w:t>
            </w:r>
          </w:p>
        </w:tc>
      </w:tr>
    </w:tbl>
    <w:p>
      <w:r>
        <w:br w:type="page"/>
      </w:r>
    </w:p>
    <w:p>
      <w:pPr>
        <w:pStyle w:val="Heading1"/>
      </w:pPr>
      <w:r>
        <w:t>Lab 1 — Prescription extraction and explanation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856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15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3 min</w:t>
            </w:r>
          </w:p>
        </w:tc>
        <w:tc>
          <w:tcPr>
            <w:tcW w:type="dxa" w:w="885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Orient to the source and boundary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6 min</w:t>
            </w:r>
          </w:p>
        </w:tc>
        <w:tc>
          <w:tcPr>
            <w:tcW w:type="dxa" w:w="885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Run the bounded prompt</w:t>
            </w:r>
          </w:p>
        </w:tc>
      </w:tr>
      <w:tr>
        <w:tc>
          <w:tcPr>
            <w:tcW w:type="dxa" w:w="15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4 min</w:t>
            </w:r>
          </w:p>
        </w:tc>
        <w:tc>
          <w:tcPr>
            <w:tcW w:type="dxa" w:w="885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Verify against source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2 min</w:t>
            </w:r>
          </w:p>
        </w:tc>
        <w:tc>
          <w:tcPr>
            <w:tcW w:type="dxa" w:w="885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Accept, edit, reject, or escalate</w:t>
            </w:r>
          </w:p>
        </w:tc>
      </w:tr>
    </w:tbl>
    <w:p>
      <w:r>
        <w:t>Dataset: prescription_cases.csv</w:t>
      </w:r>
    </w:p>
    <w:p>
      <w:r>
        <w:t>Goal: Exact extraction • [UNREADABLE] instead of guessing • plain-language explanation</w:t>
      </w:r>
    </w:p>
    <w:p>
      <w:pPr>
        <w:pStyle w:val="Heading2"/>
      </w:pPr>
      <w:r>
        <w:t>Verification</w:t>
      </w:r>
    </w:p>
    <w:p>
      <w:r>
        <w:t>□ Every medicine/product and strength matches the source</w:t>
      </w:r>
    </w:p>
    <w:p>
      <w:r>
        <w:t>□ Frequency, duration, and warnings match the source</w:t>
      </w:r>
    </w:p>
    <w:p>
      <w:r>
        <w:t>□ No indication, interaction, substitution, or new advice was added</w:t>
      </w:r>
    </w:p>
    <w:p>
      <w:r>
        <w:t>□ A clinician or pharmacist owns the final decision</w:t>
      </w:r>
    </w:p>
    <w:p>
      <w:pPr>
        <w:pStyle w:val="Heading2"/>
      </w:pPr>
      <w:r>
        <w:t>Human decision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128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Evidence checked / edits / escalation</w:t>
            </w:r>
          </w:p>
        </w:tc>
      </w:tr>
      <w:tr>
        <w:tc>
          <w:tcPr>
            <w:tcW w:type="dxa" w:w="33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□ Accept  □ Edit  □ Reject  □ Escalate</w:t>
            </w:r>
          </w:p>
        </w:tc>
        <w:tc>
          <w:tcPr>
            <w:tcW w:type="dxa" w:w="712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</w:tbl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Lab 2 — Medical-image observation boundary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856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15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3 min</w:t>
            </w:r>
          </w:p>
        </w:tc>
        <w:tc>
          <w:tcPr>
            <w:tcW w:type="dxa" w:w="885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Orient to the source and boundary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6 min</w:t>
            </w:r>
          </w:p>
        </w:tc>
        <w:tc>
          <w:tcPr>
            <w:tcW w:type="dxa" w:w="885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Run the bounded prompt</w:t>
            </w:r>
          </w:p>
        </w:tc>
      </w:tr>
      <w:tr>
        <w:tc>
          <w:tcPr>
            <w:tcW w:type="dxa" w:w="15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4 min</w:t>
            </w:r>
          </w:p>
        </w:tc>
        <w:tc>
          <w:tcPr>
            <w:tcW w:type="dxa" w:w="885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Verify against source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2 min</w:t>
            </w:r>
          </w:p>
        </w:tc>
        <w:tc>
          <w:tcPr>
            <w:tcW w:type="dxa" w:w="885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Accept, edit, reject, or escalate</w:t>
            </w:r>
          </w:p>
        </w:tc>
      </w:tr>
    </w:tbl>
    <w:p>
      <w:r>
        <w:t>Dataset: imaging_cases.csv</w:t>
      </w:r>
    </w:p>
    <w:p>
      <w:r>
        <w:t>Goal: Image adequacy • neutral observations • uncertainty • escalation—not diagnosis</w:t>
      </w:r>
    </w:p>
    <w:p>
      <w:pPr>
        <w:pStyle w:val="Heading2"/>
      </w:pPr>
      <w:r>
        <w:t>Verification</w:t>
      </w:r>
    </w:p>
    <w:p>
      <w:r>
        <w:t>□ Adequacy and limitations assessed first</w:t>
      </w:r>
    </w:p>
    <w:p>
      <w:r>
        <w:t>□ No diagnosis, emergency clearance, or treatment recommendation</w:t>
      </w:r>
    </w:p>
    <w:p>
      <w:r>
        <w:t>□ Cannot-assess items and uncertainty are explicit</w:t>
      </w:r>
    </w:p>
    <w:p>
      <w:r>
        <w:t>□ Qualified clinical interpretation is explicit</w:t>
      </w:r>
    </w:p>
    <w:p>
      <w:pPr>
        <w:pStyle w:val="Heading2"/>
      </w:pPr>
      <w:r>
        <w:t>Human decision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128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Evidence checked / edits / escalation</w:t>
            </w:r>
          </w:p>
        </w:tc>
      </w:tr>
      <w:tr>
        <w:tc>
          <w:tcPr>
            <w:tcW w:type="dxa" w:w="33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□ Accept  □ Edit  □ Reject  □ Escalate</w:t>
            </w:r>
          </w:p>
        </w:tc>
        <w:tc>
          <w:tcPr>
            <w:tcW w:type="dxa" w:w="712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</w:tbl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Lab 3 — Discharge plan and multilingual teach-back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856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15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3 min</w:t>
            </w:r>
          </w:p>
        </w:tc>
        <w:tc>
          <w:tcPr>
            <w:tcW w:type="dxa" w:w="885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Orient to the source and boundary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6 min</w:t>
            </w:r>
          </w:p>
        </w:tc>
        <w:tc>
          <w:tcPr>
            <w:tcW w:type="dxa" w:w="885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Run the bounded prompt</w:t>
            </w:r>
          </w:p>
        </w:tc>
      </w:tr>
      <w:tr>
        <w:tc>
          <w:tcPr>
            <w:tcW w:type="dxa" w:w="15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4 min</w:t>
            </w:r>
          </w:p>
        </w:tc>
        <w:tc>
          <w:tcPr>
            <w:tcW w:type="dxa" w:w="885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Verify against source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2 min</w:t>
            </w:r>
          </w:p>
        </w:tc>
        <w:tc>
          <w:tcPr>
            <w:tcW w:type="dxa" w:w="885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Accept, edit, reject, or escalate</w:t>
            </w:r>
          </w:p>
        </w:tc>
      </w:tr>
    </w:tbl>
    <w:p>
      <w:r>
        <w:t>Dataset: discharge_summaries.csv</w:t>
      </w:r>
    </w:p>
    <w:p>
      <w:r>
        <w:t>Goal: Preserve medicine, dose, date, warning, follow-up, and source meaning</w:t>
      </w:r>
    </w:p>
    <w:p>
      <w:pPr>
        <w:pStyle w:val="Heading2"/>
      </w:pPr>
      <w:r>
        <w:t>Verification</w:t>
      </w:r>
    </w:p>
    <w:p>
      <w:r>
        <w:t>□ Clinical meaning is unchanged</w:t>
      </w:r>
    </w:p>
    <w:p>
      <w:r>
        <w:t>□ Urgent warning signs are prominent</w:t>
      </w:r>
    </w:p>
    <w:p>
      <w:r>
        <w:t>□ Teach-back questions reveal action comprehension</w:t>
      </w:r>
    </w:p>
    <w:p>
      <w:r>
        <w:t>□ Fluent clinical translation review is named</w:t>
      </w:r>
    </w:p>
    <w:p>
      <w:pPr>
        <w:pStyle w:val="Heading2"/>
      </w:pPr>
      <w:r>
        <w:t>Human decision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128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Evidence checked / edits / escalation</w:t>
            </w:r>
          </w:p>
        </w:tc>
      </w:tr>
      <w:tr>
        <w:tc>
          <w:tcPr>
            <w:tcW w:type="dxa" w:w="33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□ Accept  □ Edit  □ Reject  □ Escalate</w:t>
            </w:r>
          </w:p>
        </w:tc>
        <w:tc>
          <w:tcPr>
            <w:tcW w:type="dxa" w:w="712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</w:tbl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Lab 4 — Differential and red-flag checklist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856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15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3 min</w:t>
            </w:r>
          </w:p>
        </w:tc>
        <w:tc>
          <w:tcPr>
            <w:tcW w:type="dxa" w:w="885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Orient to the source and boundary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6 min</w:t>
            </w:r>
          </w:p>
        </w:tc>
        <w:tc>
          <w:tcPr>
            <w:tcW w:type="dxa" w:w="885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Run the bounded prompt</w:t>
            </w:r>
          </w:p>
        </w:tc>
      </w:tr>
      <w:tr>
        <w:tc>
          <w:tcPr>
            <w:tcW w:type="dxa" w:w="15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4 min</w:t>
            </w:r>
          </w:p>
        </w:tc>
        <w:tc>
          <w:tcPr>
            <w:tcW w:type="dxa" w:w="885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Verify against source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2 min</w:t>
            </w:r>
          </w:p>
        </w:tc>
        <w:tc>
          <w:tcPr>
            <w:tcW w:type="dxa" w:w="885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Accept, edit, reject, or escalate</w:t>
            </w:r>
          </w:p>
        </w:tc>
      </w:tr>
    </w:tbl>
    <w:p>
      <w:r>
        <w:t>Dataset: clinical_reasoning_cases.csv</w:t>
      </w:r>
    </w:p>
    <w:p>
      <w:r>
        <w:t>Goal: Common • cannot-miss • evidence for/against • missing data • urgency</w:t>
      </w:r>
    </w:p>
    <w:p>
      <w:pPr>
        <w:pStyle w:val="Heading2"/>
      </w:pPr>
      <w:r>
        <w:t>Verification</w:t>
      </w:r>
    </w:p>
    <w:p>
      <w:r>
        <w:t>□ No final diagnosis or treatment</w:t>
      </w:r>
    </w:p>
    <w:p>
      <w:r>
        <w:t>□ Common and cannot-miss items are separated</w:t>
      </w:r>
    </w:p>
    <w:p>
      <w:r>
        <w:t>□ Missing history/examination remains visible</w:t>
      </w:r>
    </w:p>
    <w:p>
      <w:r>
        <w:t>□ Cognitive-bias and escalation checks are present</w:t>
      </w:r>
    </w:p>
    <w:p>
      <w:pPr>
        <w:pStyle w:val="Heading2"/>
      </w:pPr>
      <w:r>
        <w:t>Human decision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128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Evidence checked / edits / escalation</w:t>
            </w:r>
          </w:p>
        </w:tc>
      </w:tr>
      <w:tr>
        <w:tc>
          <w:tcPr>
            <w:tcW w:type="dxa" w:w="33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□ Accept  □ Edit  □ Reject  □ Escalate</w:t>
            </w:r>
          </w:p>
        </w:tc>
        <w:tc>
          <w:tcPr>
            <w:tcW w:type="dxa" w:w="712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</w:tbl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Lab 5 — Pharmacovigilance intake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856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15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3 min</w:t>
            </w:r>
          </w:p>
        </w:tc>
        <w:tc>
          <w:tcPr>
            <w:tcW w:type="dxa" w:w="885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Orient to the source and boundary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6 min</w:t>
            </w:r>
          </w:p>
        </w:tc>
        <w:tc>
          <w:tcPr>
            <w:tcW w:type="dxa" w:w="885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Run the bounded prompt</w:t>
            </w:r>
          </w:p>
        </w:tc>
      </w:tr>
      <w:tr>
        <w:tc>
          <w:tcPr>
            <w:tcW w:type="dxa" w:w="15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4 min</w:t>
            </w:r>
          </w:p>
        </w:tc>
        <w:tc>
          <w:tcPr>
            <w:tcW w:type="dxa" w:w="885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Verify against source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2 min</w:t>
            </w:r>
          </w:p>
        </w:tc>
        <w:tc>
          <w:tcPr>
            <w:tcW w:type="dxa" w:w="885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Accept, edit, reject, or escalate</w:t>
            </w:r>
          </w:p>
        </w:tc>
      </w:tr>
    </w:tbl>
    <w:p>
      <w:r>
        <w:t>Dataset: adverse_event_reports.csv</w:t>
      </w:r>
    </w:p>
    <w:p>
      <w:r>
        <w:t>Goal: Neutral chronology • seriousness fields • missing data • follow-up • PV route</w:t>
      </w:r>
    </w:p>
    <w:p>
      <w:pPr>
        <w:pStyle w:val="Heading2"/>
      </w:pPr>
      <w:r>
        <w:t>Verification</w:t>
      </w:r>
    </w:p>
    <w:p>
      <w:r>
        <w:t>□ No causality, expectedness, coding, or reportability decision</w:t>
      </w:r>
    </w:p>
    <w:p>
      <w:r>
        <w:t>□ Seriousness rationale is traceable</w:t>
      </w:r>
    </w:p>
    <w:p>
      <w:r>
        <w:t>□ Minimum criteria and missing fields are visible</w:t>
      </w:r>
    </w:p>
    <w:p>
      <w:r>
        <w:t>□ Qualified PV/medical review is explicit</w:t>
      </w:r>
    </w:p>
    <w:p>
      <w:pPr>
        <w:pStyle w:val="Heading2"/>
      </w:pPr>
      <w:r>
        <w:t>Human decision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128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Evidence checked / edits / escalation</w:t>
            </w:r>
          </w:p>
        </w:tc>
      </w:tr>
      <w:tr>
        <w:tc>
          <w:tcPr>
            <w:tcW w:type="dxa" w:w="33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□ Accept  □ Edit  □ Reject  □ Escalate</w:t>
            </w:r>
          </w:p>
        </w:tc>
        <w:tc>
          <w:tcPr>
            <w:tcW w:type="dxa" w:w="712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</w:tbl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Lab 6 — Evidence search and citation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856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15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3 min</w:t>
            </w:r>
          </w:p>
        </w:tc>
        <w:tc>
          <w:tcPr>
            <w:tcW w:type="dxa" w:w="885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Orient to the source and boundary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6 min</w:t>
            </w:r>
          </w:p>
        </w:tc>
        <w:tc>
          <w:tcPr>
            <w:tcW w:type="dxa" w:w="885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Run the bounded prompt</w:t>
            </w:r>
          </w:p>
        </w:tc>
      </w:tr>
      <w:tr>
        <w:tc>
          <w:tcPr>
            <w:tcW w:type="dxa" w:w="158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4 min</w:t>
            </w:r>
          </w:p>
        </w:tc>
        <w:tc>
          <w:tcPr>
            <w:tcW w:type="dxa" w:w="885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Verify against source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2 min</w:t>
            </w:r>
          </w:p>
        </w:tc>
        <w:tc>
          <w:tcPr>
            <w:tcW w:type="dxa" w:w="885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Accept, edit, reject, or escalate</w:t>
            </w:r>
          </w:p>
        </w:tc>
      </w:tr>
    </w:tbl>
    <w:p>
      <w:r>
        <w:t>Dataset: research_questions.csv</w:t>
      </w:r>
    </w:p>
    <w:p>
      <w:r>
        <w:t>Goal: PICO/PECO • reproducible search • screening log • open every source</w:t>
      </w:r>
    </w:p>
    <w:p>
      <w:pPr>
        <w:pStyle w:val="Heading2"/>
      </w:pPr>
      <w:r>
        <w:t>Verification</w:t>
      </w:r>
    </w:p>
    <w:p>
      <w:r>
        <w:t>□ No fabricated paper or citation</w:t>
      </w:r>
    </w:p>
    <w:p>
      <w:r>
        <w:t>□ Search and screening decisions are reproducible</w:t>
      </w:r>
    </w:p>
    <w:p>
      <w:r>
        <w:t>□ Facts remain linked to opened sources</w:t>
      </w:r>
    </w:p>
    <w:p>
      <w:r>
        <w:t>□ Limitations and AI-use disclosure are present</w:t>
      </w:r>
    </w:p>
    <w:p>
      <w:pPr>
        <w:pStyle w:val="Heading2"/>
      </w:pPr>
      <w:r>
        <w:t>Human decision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128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Evidence checked / edits / escalation</w:t>
            </w:r>
          </w:p>
        </w:tc>
      </w:tr>
      <w:tr>
        <w:tc>
          <w:tcPr>
            <w:tcW w:type="dxa" w:w="33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□ Accept  □ Edit  □ Reject  □ Escalate</w:t>
            </w:r>
          </w:p>
        </w:tc>
        <w:tc>
          <w:tcPr>
            <w:tcW w:type="dxa" w:w="712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</w:tbl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9. Tool-choice and output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2419"/>
        <w:gridCol w:w="2419"/>
        <w:gridCol w:w="2419"/>
      </w:tblGrid>
      <w:tr>
        <w:trPr>
          <w:tblHeader w:val="true"/>
        </w:trPr>
        <w:tc>
          <w:tcPr>
            <w:tcW w:type="dxa" w:w="2592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2592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Tool A</w:t>
            </w:r>
          </w:p>
        </w:tc>
        <w:tc>
          <w:tcPr>
            <w:tcW w:type="dxa" w:w="2592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Tool B</w:t>
            </w:r>
          </w:p>
        </w:tc>
        <w:tc>
          <w:tcPr>
            <w:tcW w:type="dxa" w:w="2592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Tool C</w:t>
            </w:r>
          </w:p>
        </w:tc>
      </w:tr>
      <w:tr>
        <w:tc>
          <w:tcPr>
            <w:tcW w:type="dxa" w:w="316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Workflow/input fit</w:t>
            </w:r>
          </w:p>
        </w:tc>
        <w:tc>
          <w:tcPr>
            <w:tcW w:type="dxa" w:w="2419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  <w:tc>
          <w:tcPr>
            <w:tcW w:type="dxa" w:w="2419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  <w:tc>
          <w:tcPr>
            <w:tcW w:type="dxa" w:w="2419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316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Data/account boundary</w:t>
            </w:r>
          </w:p>
        </w:tc>
        <w:tc>
          <w:tcPr>
            <w:tcW w:type="dxa" w:w="2419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  <w:tc>
          <w:tcPr>
            <w:tcW w:type="dxa" w:w="2419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  <w:tc>
          <w:tcPr>
            <w:tcW w:type="dxa" w:w="2419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316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Source or evidence traceability</w:t>
            </w:r>
          </w:p>
        </w:tc>
        <w:tc>
          <w:tcPr>
            <w:tcW w:type="dxa" w:w="2419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  <w:tc>
          <w:tcPr>
            <w:tcW w:type="dxa" w:w="2419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  <w:tc>
          <w:tcPr>
            <w:tcW w:type="dxa" w:w="2419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316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Missingness and uncertainty</w:t>
            </w:r>
          </w:p>
        </w:tc>
        <w:tc>
          <w:tcPr>
            <w:tcW w:type="dxa" w:w="2419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  <w:tc>
          <w:tcPr>
            <w:tcW w:type="dxa" w:w="2419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  <w:tc>
          <w:tcPr>
            <w:tcW w:type="dxa" w:w="2419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316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Human correction required</w:t>
            </w:r>
          </w:p>
        </w:tc>
        <w:tc>
          <w:tcPr>
            <w:tcW w:type="dxa" w:w="2419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  <w:tc>
          <w:tcPr>
            <w:tcW w:type="dxa" w:w="2419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  <w:tc>
          <w:tcPr>
            <w:tcW w:type="dxa" w:w="2419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316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Access, region, and cost verified</w:t>
            </w:r>
          </w:p>
        </w:tc>
        <w:tc>
          <w:tcPr>
            <w:tcW w:type="dxa" w:w="2419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  <w:tc>
          <w:tcPr>
            <w:tcW w:type="dxa" w:w="2419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  <w:tc>
          <w:tcPr>
            <w:tcW w:type="dxa" w:w="2419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316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Decision: use / do not use / escalate</w:t>
            </w:r>
          </w:p>
        </w:tc>
        <w:tc>
          <w:tcPr>
            <w:tcW w:type="dxa" w:w="2419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  <w:tc>
          <w:tcPr>
            <w:tcW w:type="dxa" w:w="2419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  <w:tc>
          <w:tcPr>
            <w:tcW w:type="dxa" w:w="2419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Borders>
              <w:top w:val="single" w:sz="10" w:color="4F46E5"/>
              <w:left w:val="single" w:sz="10" w:color="4F46E5"/>
              <w:bottom w:val="single" w:sz="10" w:color="4F46E5"/>
              <w:right w:val="single" w:sz="10" w:color="4F46E5"/>
              <w:insideH w:val="single" w:sz="10" w:color="4F46E5"/>
              <w:insideV w:val="single" w:sz="10" w:color="4F46E5"/>
            </w:tcBorders>
          </w:tcPr>
          <w:p>
            <w:r>
              <w:rPr>
                <w:b/>
                <w:color w:val="4F46E5"/>
              </w:rPr>
              <w:t>Selection rule</w:t>
              <w:br/>
            </w:r>
            <w:r>
              <w:t>Do not rank tools by fluency alone. Compare fidelity, traceability, safety boundaries, privacy fit, usability, and the amount of qualified correction required.</w:t>
            </w:r>
          </w:p>
        </w:tc>
      </w:tr>
    </w:tbl>
    <w:p>
      <w:r>
        <w:br w:type="page"/>
      </w:r>
    </w:p>
    <w:p>
      <w:pPr>
        <w:pStyle w:val="Heading1"/>
      </w:pPr>
      <w:r>
        <w:t>10. My 30-day responsible pilot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7128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Canvas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My decision</w:t>
            </w:r>
          </w:p>
        </w:tc>
      </w:tr>
      <w:tr>
        <w:tc>
          <w:tcPr>
            <w:tcW w:type="dxa" w:w="32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Pain point and bounded task</w:t>
            </w:r>
          </w:p>
        </w:tc>
        <w:tc>
          <w:tcPr>
            <w:tcW w:type="dxa" w:w="712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32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Accountable owner</w:t>
            </w:r>
          </w:p>
        </w:tc>
        <w:tc>
          <w:tcPr>
            <w:tcW w:type="dxa" w:w="712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32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Allowed / prohibited data</w:t>
            </w:r>
          </w:p>
        </w:tc>
        <w:tc>
          <w:tcPr>
            <w:tcW w:type="dxa" w:w="712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32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Users and qualified reviewer</w:t>
            </w:r>
          </w:p>
        </w:tc>
        <w:tc>
          <w:tcPr>
            <w:tcW w:type="dxa" w:w="712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32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Baseline and success measure</w:t>
            </w:r>
          </w:p>
        </w:tc>
        <w:tc>
          <w:tcPr>
            <w:tcW w:type="dxa" w:w="712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32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Monitoring and audit evidence</w:t>
            </w:r>
          </w:p>
        </w:tc>
        <w:tc>
          <w:tcPr>
            <w:tcW w:type="dxa" w:w="712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32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Incident / escalation route</w:t>
            </w:r>
          </w:p>
        </w:tc>
        <w:tc>
          <w:tcPr>
            <w:tcW w:type="dxa" w:w="712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  <w:tr>
        <w:tc>
          <w:tcPr>
            <w:tcW w:type="dxa" w:w="32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Stop and rollback rule</w:t>
            </w:r>
          </w:p>
        </w:tc>
        <w:tc>
          <w:tcPr>
            <w:tcW w:type="dxa" w:w="712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/>
          </w:p>
        </w:tc>
      </w:tr>
    </w:tbl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pPr>
        <w:spacing w:after="40"/>
      </w:pPr>
      <w:r>
        <w:rPr>
          <w:color w:val="94A3B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11. Sources and further reading</w:t>
      </w:r>
    </w:p>
    <w:p>
      <w:r>
        <w:t>Accessed and verified for this masterclass on 28 July 2026. Product features, pricing, regional access, and policy status can change; recheck before delivery or implementation.</w:t>
      </w:r>
    </w:p>
    <w:p>
      <w:pPr>
        <w:pStyle w:val="ListBullet"/>
      </w:pPr>
      <w:r>
        <w:rPr>
          <w:b/>
        </w:rPr>
        <w:t xml:space="preserve">WHO: Ethics and governance of AI for health: </w:t>
      </w:r>
      <w:r>
        <w:t>https://www.who.int/publications/i/item/9789240029200</w:t>
      </w:r>
    </w:p>
    <w:p>
      <w:pPr>
        <w:pStyle w:val="ListBullet"/>
      </w:pPr>
      <w:r>
        <w:rPr>
          <w:b/>
        </w:rPr>
        <w:t xml:space="preserve">NIST AI Risk Management Framework: </w:t>
      </w:r>
      <w:r>
        <w:t>https://www.nist.gov/itl/ai-risk-management-framework</w:t>
      </w:r>
    </w:p>
    <w:p>
      <w:pPr>
        <w:pStyle w:val="ListBullet"/>
      </w:pPr>
      <w:r>
        <w:rPr>
          <w:b/>
        </w:rPr>
        <w:t xml:space="preserve">FDA: AI-enabled medical devices: </w:t>
      </w:r>
      <w:r>
        <w:t>https://www.fda.gov/medical-devices/software-medical-device-samd/artificial-intelligence-enabled-medical-devices</w:t>
      </w:r>
    </w:p>
    <w:p>
      <w:pPr>
        <w:pStyle w:val="ListBullet"/>
      </w:pPr>
      <w:r>
        <w:rPr>
          <w:b/>
        </w:rPr>
        <w:t xml:space="preserve">FDA: Clinical decision support FAQ: </w:t>
      </w:r>
      <w:r>
        <w:t>https://www.fda.gov/medical-devices/software-medical-device-samd/clinical-decision-support-software-frequently-asked-questions-faqs</w:t>
      </w:r>
    </w:p>
    <w:p>
      <w:pPr>
        <w:pStyle w:val="ListBullet"/>
      </w:pPr>
      <w:r>
        <w:rPr>
          <w:b/>
        </w:rPr>
        <w:t xml:space="preserve">ChatGPT image-input limitations: </w:t>
      </w:r>
      <w:r>
        <w:t>https://help.openai.com/articles/8400551-chatgpt-image-inputs-faq</w:t>
      </w:r>
    </w:p>
    <w:p>
      <w:pPr>
        <w:pStyle w:val="ListBullet"/>
      </w:pPr>
      <w:r>
        <w:rPr>
          <w:b/>
        </w:rPr>
        <w:t xml:space="preserve">India Digital Personal Data Protection Act: </w:t>
      </w:r>
      <w:r>
        <w:t>https://www.meity.gov.in/static/uploads/2024/06/2bf1f0e9f04e6fb4f8fef35e82c42aa5.pdf</w:t>
      </w:r>
    </w:p>
    <w:p>
      <w:pPr>
        <w:pStyle w:val="ListBullet"/>
      </w:pPr>
      <w:r>
        <w:rPr>
          <w:b/>
        </w:rPr>
        <w:t xml:space="preserve">India Digital Personal Data Protection Rules: </w:t>
      </w:r>
      <w:r>
        <w:t>https://www.meity.gov.in/documents/act-and-policies/digital-personal-data-protection-rules-2025-gDOxUjMtQWa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36" w:bottom="835" w:left="936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Synthetic-data learning material • qualified human review required</w:t>
    </w:r>
  </w:p>
  <w:p>
    <w:pPr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96"/>
      <w:gridCol w:w="5472"/>
    </w:tblGrid>
    <w:tr>
      <w:tc>
        <w:tcPr>
          <w:tcW w:type="dxa" w:w="5184"/>
          <w:shd w:fill="073647"/>
        </w:tcPr>
        <w:p>
          <w:r>
            <w:rPr>
              <w:b/>
              <w:color w:val="FFFFFF"/>
              <w:sz w:val="17"/>
            </w:rPr>
            <w:t>ALKEM  |  AI MASTERCLASS</w:t>
          </w:r>
        </w:p>
      </w:tc>
      <w:tc>
        <w:tcPr>
          <w:tcW w:type="dxa" w:w="5184"/>
          <w:shd w:fill="073647"/>
        </w:tcPr>
        <w:p>
          <w:pPr>
            <w:jc w:val="right"/>
          </w:pPr>
          <w:r>
            <w:rPr>
              <w:color w:val="FFFFFF"/>
              <w:sz w:val="16"/>
            </w:rPr>
            <w:t>Participant Workbook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3647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7364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Workbook</dc:title>
  <dc:subject>Alkem AI Masterclass: GenAI for Patient-Centric Healthcare</dc:subject>
  <dc:creator>Alkem AI Masterclass</dc:creator>
  <cp:keywords>healthcare, generative AI, synthetic data, patient engagement,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