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Subtitle"/>
      </w:pPr>
      <w:r>
        <w:t>ALKEM  |  AI MASTERCLASS</w:t>
      </w:r>
    </w:p>
    <w:p>
      <w:pPr>
        <w:pStyle w:val="Title"/>
        <w:spacing w:before="720"/>
      </w:pPr>
      <w:r>
        <w:t>GenAI for Patient-Centric Healthcare</w:t>
      </w:r>
    </w:p>
    <w:p>
      <w:pPr>
        <w:pStyle w:val="Heading1"/>
      </w:pPr>
      <w:r>
        <w:rPr>
          <w:color w:val="0F766E"/>
        </w:rPr>
        <w:t>Dropdown Coverage Report</w:t>
      </w:r>
    </w:p>
    <w:p>
      <w:r>
        <w:t>Evidence that every visible selector option in the Alkem AI Masterclass app resolves to a complete, medically relevant response.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60 min</w:t>
              <w:br/>
            </w:r>
            <w:r>
              <w:t>Concise theory and medical demonstrations</w:t>
            </w:r>
          </w:p>
        </w:tc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90 min</w:t>
              <w:br/>
            </w:r>
            <w:r>
              <w:t>Six case-based labs with verification</w:t>
            </w:r>
          </w:p>
        </w:tc>
      </w:tr>
      <w:tr>
        <w:trPr>
          <w:trHeight w:val="1008"/>
        </w:trPr>
        <w:tc>
          <w:tcPr>
            <w:tcW w:type="dxa" w:w="5184"/>
            <w:shd w:fill="EFF6FF"/>
            <w:tcBorders>
              <w:top w:val="single" w:sz="6" w:color="0891B2"/>
              <w:left w:val="single" w:sz="6" w:color="0891B2"/>
              <w:bottom w:val="single" w:sz="6" w:color="0891B2"/>
              <w:right w:val="single" w:sz="6" w:color="0891B2"/>
              <w:insideH w:val="single" w:sz="6" w:color="0891B2"/>
              <w:insideV w:val="single" w:sz="6" w:color="0891B2"/>
            </w:tcBorders>
            <w:vAlign w:val="center"/>
          </w:tcPr>
          <w:p>
            <w:r>
              <w:rPr>
                <w:b/>
                <w:color w:val="0F766E"/>
                <w:sz w:val="32"/>
              </w:rPr>
              <w:t>4 pillars</w:t>
              <w:br/>
            </w:r>
            <w:r>
              <w:t>Patient • Clinical • Pharma/Research • Governance</w:t>
            </w:r>
          </w:p>
        </w:tc>
        <w:tc>
          <w:tcPr>
            <w:tcW w:type="dxa" w:w="5184"/>
            <w:shd w:fill="FFF7ED"/>
            <w:tcBorders>
              <w:top w:val="single" w:sz="6" w:color="C2410C"/>
              <w:left w:val="single" w:sz="6" w:color="C2410C"/>
              <w:bottom w:val="single" w:sz="6" w:color="C2410C"/>
              <w:right w:val="single" w:sz="6" w:color="C2410C"/>
              <w:insideH w:val="single" w:sz="6" w:color="C2410C"/>
              <w:insideV w:val="single" w:sz="6" w:color="C2410C"/>
            </w:tcBorders>
            <w:vAlign w:val="center"/>
          </w:tcPr>
          <w:p>
            <w:r>
              <w:rPr>
                <w:b/>
                <w:color w:val="C2410C"/>
                <w:sz w:val="32"/>
              </w:rPr>
              <w:t>Safety</w:t>
              <w:br/>
            </w:r>
            <w:r>
              <w:t>Synthetic data • bounded task • qualified human decision</w:t>
            </w:r>
          </w:p>
        </w:tc>
      </w:tr>
    </w:tbl>
    <w:p/>
    <w:p>
      <w:r>
        <w:rPr>
          <w:b/>
        </w:rPr>
        <w:t xml:space="preserve">Important: </w:t>
      </w:r>
      <w:r>
        <w:t>Every case, image, name, and value in this kit is synthetic. The materials are for education, not diagnosis, prescribing, treatment, regulatory submission, or autonomous decision-making.</w:t>
      </w:r>
    </w:p>
    <w:p>
      <w:r>
        <w:br w:type="page"/>
      </w:r>
    </w:p>
    <w:p>
      <w:pPr>
        <w:pStyle w:val="Heading1"/>
      </w:pPr>
      <w:r>
        <w:t>1. Executive result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472"/>
        <w:gridCol w:w="4896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Measure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Result</w:t>
            </w:r>
          </w:p>
        </w:tc>
      </w:tr>
      <w:tr>
        <w:tc>
          <w:tcPr>
            <w:tcW w:type="dxa" w:w="547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Complete workflow records</w:t>
            </w:r>
          </w:p>
        </w:tc>
        <w:tc>
          <w:tcPr>
            <w:tcW w:type="dxa" w:w="489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24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Programme pillars</w:t>
            </w:r>
          </w:p>
        </w:tc>
        <w:tc>
          <w:tcPr>
            <w:tcW w:type="dxa" w:w="489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</w:tr>
      <w:tr>
        <w:tc>
          <w:tcPr>
            <w:tcW w:type="dxa" w:w="547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Professional roles</w:t>
            </w:r>
          </w:p>
        </w:tc>
        <w:tc>
          <w:tcPr>
            <w:tcW w:type="dxa" w:w="489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16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Distinct tasks</w:t>
            </w:r>
          </w:p>
        </w:tc>
        <w:tc>
          <w:tcPr>
            <w:tcW w:type="dxa" w:w="489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24</w:t>
            </w:r>
          </w:p>
        </w:tc>
      </w:tr>
      <w:tr>
        <w:tc>
          <w:tcPr>
            <w:tcW w:type="dxa" w:w="547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Visible selector options tested</w:t>
            </w:r>
          </w:p>
        </w:tc>
        <w:tc>
          <w:tcPr>
            <w:tcW w:type="dxa" w:w="4896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92</w:t>
            </w:r>
          </w:p>
        </w:tc>
      </w:tr>
      <w:tr>
        <w:tc>
          <w:tcPr>
            <w:tcW w:type="dxa" w:w="547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Options without a response</w:t>
            </w:r>
          </w:p>
        </w:tc>
        <w:tc>
          <w:tcPr>
            <w:tcW w:type="dxa" w:w="4896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0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CFDF5"/>
            <w:tcBorders>
              <w:top w:val="single" w:sz="10" w:color="0F766E"/>
              <w:left w:val="single" w:sz="10" w:color="0F766E"/>
              <w:bottom w:val="single" w:sz="10" w:color="0F766E"/>
              <w:right w:val="single" w:sz="10" w:color="0F766E"/>
              <w:insideH w:val="single" w:sz="10" w:color="0F766E"/>
              <w:insideV w:val="single" w:sz="10" w:color="0F766E"/>
            </w:tcBorders>
          </w:tcPr>
          <w:p>
            <w:r>
              <w:rPr>
                <w:b/>
                <w:color w:val="0F766E"/>
              </w:rPr>
              <w:t>Result: 100% visible-option coverage</w:t>
              <w:br/>
            </w:r>
            <w:r>
              <w:t>Every option shown to a user is derived from one or more complete workflow records. Unsupported intersections are removed by cascading selectors before they can be selected.</w:t>
            </w:r>
          </w:p>
        </w:tc>
      </w:tr>
    </w:tbl>
    <w:p>
      <w:r>
        <w:br w:type="page"/>
      </w:r>
    </w:p>
    <w:p>
      <w:pPr>
        <w:pStyle w:val="Heading1"/>
      </w:pPr>
      <w:r>
        <w:t>2. What counts as a complete response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880"/>
        <w:gridCol w:w="748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Required field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Coverage condition</w:t>
            </w:r>
          </w:p>
        </w:tc>
      </w:tr>
      <w:tr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context</w:t>
            </w:r>
          </w:p>
        </w:tc>
        <w:tc>
          <w:tcPr>
            <w:tcW w:type="dxa" w:w="748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Named case context and pillar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Professional fit</w:t>
            </w:r>
          </w:p>
        </w:tc>
        <w:tc>
          <w:tcPr>
            <w:tcW w:type="dxa" w:w="748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One or more roles and accountable human reviewer</w:t>
            </w:r>
          </w:p>
        </w:tc>
      </w:tr>
      <w:tr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Action</w:t>
            </w:r>
          </w:p>
        </w:tc>
        <w:tc>
          <w:tcPr>
            <w:tcW w:type="dxa" w:w="748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Bounded task and explicit expected output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748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Supported input type and linked synthetic dataset</w:t>
            </w:r>
          </w:p>
        </w:tc>
      </w:tr>
      <w:tr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Tool route</w:t>
            </w:r>
          </w:p>
        </w:tc>
        <w:tc>
          <w:tcPr>
            <w:tcW w:type="dxa" w:w="748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Primary tool and verified alternatives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Prompt</w:t>
            </w:r>
          </w:p>
        </w:tc>
        <w:tc>
          <w:tcPr>
            <w:tcW w:type="dxa" w:w="748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Complete task, constraints, output, and verification template</w:t>
            </w:r>
          </w:p>
        </w:tc>
      </w:tr>
      <w:tr>
        <w:tc>
          <w:tcPr>
            <w:tcW w:type="dxa" w:w="288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Safety</w:t>
            </w:r>
          </w:p>
        </w:tc>
        <w:tc>
          <w:tcPr>
            <w:tcW w:type="dxa" w:w="748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 tier, prohibited actions, missingness and escalation</w:t>
            </w:r>
          </w:p>
        </w:tc>
      </w:tr>
      <w:tr>
        <w:tc>
          <w:tcPr>
            <w:tcW w:type="dxa" w:w="288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Traceability</w:t>
            </w:r>
          </w:p>
        </w:tc>
        <w:tc>
          <w:tcPr>
            <w:tcW w:type="dxa" w:w="748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Verification checklist and last-verified date</w:t>
            </w:r>
          </w:p>
        </w:tc>
      </w:tr>
    </w:tbl>
    <w:p>
      <w:pPr>
        <w:pStyle w:val="Heading2"/>
      </w:pPr>
      <w:r>
        <w:t>Selector behaviour</w:t>
      </w:r>
    </w:p>
    <w:p>
      <w:r>
        <w:t>Each dropdown is populated from the records still reachable after previous selections. Therefore a visible option cannot lead to an unsupported intersection. Free-text search is handled separately: exact matches are shown when available; otherwise the app labels and returns the closest verified alternative.</w:t>
      </w:r>
    </w:p>
    <w:p>
      <w:r>
        <w:br w:type="page"/>
      </w:r>
    </w:p>
    <w:p>
      <w:pPr>
        <w:pStyle w:val="Heading1"/>
      </w:pPr>
      <w:r>
        <w:t>3. Coverage by visible option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512"/>
        <w:gridCol w:w="6264"/>
        <w:gridCol w:w="1152"/>
        <w:gridCol w:w="1440"/>
      </w:tblGrid>
      <w:tr>
        <w:trPr>
          <w:tblHeader w:val="true"/>
        </w:trPr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Selector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Visible option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Workflows</w:t>
            </w:r>
          </w:p>
        </w:tc>
        <w:tc>
          <w:tcPr>
            <w:tcW w:type="dxa" w:w="2592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Status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Clinical Workflow and Decision Support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Patient Understanding and Engagement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Pharma, Research and Professional Productivity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Pillar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Responsible AI, Governance and Implementation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AI governance professional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Clinical research professional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 privacy professional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Doctor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13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Hospital leader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9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affairs professional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7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student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writer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Nurse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Patient educator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5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Pharmacist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Pharmacovigilance professional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Procurement professional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Quality professional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5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Radiologist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Role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Researcher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Analyse patient feedback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Assess an AI vendor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Classify AI risk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Create a clinical handoff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Create patient education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Debate an AI implementation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Design a responsible pilot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Draft a medical information response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Draft clinical documentation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Explain a prescription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Improve a clinical workflow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Improve professional communication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Map a patient journey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Monitor an AI workflow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Review a manuscript draft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Review a medical image safely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Review data privacy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Search and verify evidence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Simplify a discharge summary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Structure clinical reasoning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Summarise trial eligibility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Synthesize supplied evidence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Translate patient counselling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Triage an adverse-event report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Case scenario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Clinical text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6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Evidence facts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Governance scenario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5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Manuscript text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image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Medical query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Prescription image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Process data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Research abstracts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Research question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Safety report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Input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Tabular data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3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Balanced response workflow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Bilingual counselling script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Claim-and-evidence edit log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Clear professional message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Current/future-state workflow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Data-boundary checklist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Decision record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Differential checklist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Due-diligence questionnaire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Journey map and improvement backlog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Monitoring and incident plan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Observation checklist and escalation note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One-page patient action plan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PV intake package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Patient fact sheet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Pilot canvas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Pre-screen summary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Reviewable structured note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Risk-and-control card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SBAR handoff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Search protocol and evidence table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Service-recovery action card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Source-linked synthesis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Output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Structured medicine table and teach-back script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Bengali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English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24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Hindi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5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Kannada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Malayalam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Marathi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Tamil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Language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Telugu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4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High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9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</w:t>
            </w:r>
          </w:p>
        </w:tc>
        <w:tc>
          <w:tcPr>
            <w:tcW w:type="dxa" w:w="6264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Low</w:t>
            </w:r>
          </w:p>
        </w:tc>
        <w:tc>
          <w:tcPr>
            <w:tcW w:type="dxa" w:w="1152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2</w:t>
            </w:r>
          </w:p>
        </w:tc>
        <w:tc>
          <w:tcPr>
            <w:tcW w:type="dxa" w:w="14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  <w:tr>
        <w:tc>
          <w:tcPr>
            <w:tcW w:type="dxa" w:w="151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Risk</w:t>
            </w:r>
          </w:p>
        </w:tc>
        <w:tc>
          <w:tcPr>
            <w:tcW w:type="dxa" w:w="6264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Moderate</w:t>
            </w:r>
          </w:p>
        </w:tc>
        <w:tc>
          <w:tcPr>
            <w:tcW w:type="dxa" w:w="1152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13</w:t>
            </w:r>
          </w:p>
        </w:tc>
        <w:tc>
          <w:tcPr>
            <w:tcW w:type="dxa" w:w="14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Covered</w:t>
            </w:r>
          </w:p>
        </w:tc>
      </w:tr>
    </w:tbl>
    <w:p>
      <w:r>
        <w:br w:type="page"/>
      </w:r>
    </w:p>
    <w:p>
      <w:pPr>
        <w:pStyle w:val="Heading1"/>
      </w:pPr>
      <w:r>
        <w:t>4. Automated test evidence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40"/>
        <w:gridCol w:w="7128"/>
      </w:tblGrid>
      <w:tr>
        <w:trPr>
          <w:tblHeader w:val="true"/>
        </w:trPr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5184"/>
            <w:shd w:fill="073647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center"/>
          </w:tcPr>
          <w:p>
            <w:r>
              <w:rPr>
                <w:b/>
                <w:color w:val="FFFFFF"/>
                <w:sz w:val="17"/>
              </w:rPr>
              <w:t>Pass condition</w:t>
            </w:r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Catalog completeness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Every workflow has non-empty required fields, dataset, reviewer, safety, and verified date.</w:t>
            </w:r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Visible option enumeration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Every pillar, role, task, input, output, language, and risk option returns at least one workflow.</w:t>
            </w:r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Cascading intersections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For every workflow, its ordered pillar-role-task-input-language path remains selectable.</w:t>
            </w:r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Tool integrity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All 29 tool rows contain official HTTPS URL, dataset, safety warning, reviewer, and verification metadata.</w:t>
            </w:r>
          </w:p>
        </w:tc>
      </w:tr>
      <w:tr>
        <w:tc>
          <w:tcPr>
            <w:tcW w:type="dxa" w:w="3240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Dataset and asset integrity</w:t>
            </w:r>
          </w:p>
        </w:tc>
        <w:tc>
          <w:tcPr>
            <w:tcW w:type="dxa" w:w="7128"/>
            <w:shd w:fill="F7FBFD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Every linked CSV and synthetic prescription/image asset exists.</w:t>
            </w:r>
          </w:p>
        </w:tc>
      </w:tr>
      <w:tr>
        <w:tc>
          <w:tcPr>
            <w:tcW w:type="dxa" w:w="3240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App empty-state scan</w:t>
            </w:r>
          </w:p>
        </w:tc>
        <w:tc>
          <w:tcPr>
            <w:tcW w:type="dxa" w:w="7128"/>
            <w:shd w:fill="FFFFFF"/>
            <w:tcBorders>
              <w:top w:val="single" w:sz="6" w:color="D8E7EF"/>
              <w:left w:val="single" w:sz="6" w:color="D8E7EF"/>
              <w:bottom w:val="single" w:sz="6" w:color="D8E7EF"/>
              <w:right w:val="single" w:sz="6" w:color="D8E7EF"/>
              <w:insideH w:val="single" w:sz="6" w:color="D8E7EF"/>
              <w:insideV w:val="single" w:sz="6" w:color="D8E7EF"/>
            </w:tcBorders>
            <w:vAlign w:val="top"/>
          </w:tcPr>
          <w:p>
            <w:pPr>
              <w:keepLines/>
            </w:pPr>
            <w:r>
              <w:t>Legacy terminal warnings for unmatched tool/demo selections are absent.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FF7ED"/>
            <w:tcBorders>
              <w:top w:val="single" w:sz="10" w:color="C2410C"/>
              <w:left w:val="single" w:sz="10" w:color="C2410C"/>
              <w:bottom w:val="single" w:sz="10" w:color="C2410C"/>
              <w:right w:val="single" w:sz="10" w:color="C2410C"/>
              <w:insideH w:val="single" w:sz="10" w:color="C2410C"/>
              <w:insideV w:val="single" w:sz="10" w:color="C2410C"/>
            </w:tcBorders>
          </w:tcPr>
          <w:p>
            <w:r>
              <w:rPr>
                <w:b/>
                <w:color w:val="C2410C"/>
              </w:rPr>
              <w:t>Interpretation</w:t>
              <w:br/>
            </w:r>
            <w:r>
              <w:t>This report verifies application coverage and content integrity. It does not validate model performance, tool security, clinical efficacy, or regulatory suitability.</w:t>
            </w:r>
          </w:p>
        </w:tc>
      </w:tr>
    </w:tbl>
    <w:p>
      <w:pPr>
        <w:pStyle w:val="Heading2"/>
      </w:pPr>
      <w:r>
        <w:t>Sources</w:t>
      </w:r>
    </w:p>
    <w:p>
      <w:pPr>
        <w:pStyle w:val="ListBullet"/>
      </w:pPr>
      <w:r>
        <w:rPr>
          <w:b/>
        </w:rPr>
        <w:t xml:space="preserve">WHO: Ethics and governance of AI for health: </w:t>
      </w:r>
      <w:r>
        <w:t>https://www.who.int/publications/i/item/9789240029200</w:t>
      </w:r>
    </w:p>
    <w:p>
      <w:pPr>
        <w:pStyle w:val="ListBullet"/>
      </w:pPr>
      <w:r>
        <w:rPr>
          <w:b/>
        </w:rPr>
        <w:t xml:space="preserve">NIST AI Risk Management Framework: </w:t>
      </w:r>
      <w:r>
        <w:t>https://www.nist.gov/itl/ai-risk-management-framework</w:t>
      </w:r>
    </w:p>
    <w:p>
      <w:pPr>
        <w:pStyle w:val="ListBullet"/>
      </w:pPr>
      <w:r>
        <w:rPr>
          <w:b/>
        </w:rPr>
        <w:t xml:space="preserve">FDA: AI-enabled medical devices: </w:t>
      </w:r>
      <w:r>
        <w:t>https://www.fda.gov/medical-devices/software-medical-device-samd/artificial-intelligence-enabled-medical-devices</w:t>
      </w:r>
    </w:p>
    <w:p>
      <w:pPr>
        <w:pStyle w:val="ListBullet"/>
      </w:pPr>
      <w:r>
        <w:rPr>
          <w:b/>
        </w:rPr>
        <w:t xml:space="preserve">FDA: Clinical decision support FAQ: </w:t>
      </w:r>
      <w:r>
        <w:t>https://www.fda.gov/medical-devices/software-medical-device-samd/clinical-decision-support-software-frequently-asked-questions-faqs</w:t>
      </w:r>
    </w:p>
    <w:p>
      <w:pPr>
        <w:pStyle w:val="ListBullet"/>
      </w:pPr>
      <w:r>
        <w:rPr>
          <w:b/>
        </w:rPr>
        <w:t xml:space="preserve">ChatGPT image-input limitations: </w:t>
      </w:r>
      <w:r>
        <w:t>https://help.openai.com/articles/8400551-chatgpt-image-inputs-faq</w:t>
      </w:r>
    </w:p>
    <w:p>
      <w:pPr>
        <w:pStyle w:val="ListBullet"/>
      </w:pPr>
      <w:r>
        <w:rPr>
          <w:b/>
        </w:rPr>
        <w:t xml:space="preserve">India Digital Personal Data Protection Act: </w:t>
      </w:r>
      <w:r>
        <w:t>https://www.meity.gov.in/static/uploads/2024/06/2bf1f0e9f04e6fb4f8fef35e82c42aa5.pdf</w:t>
      </w:r>
    </w:p>
    <w:p>
      <w:pPr>
        <w:pStyle w:val="ListBullet"/>
      </w:pPr>
      <w:r>
        <w:rPr>
          <w:b/>
        </w:rPr>
        <w:t xml:space="preserve">India Digital Personal Data Protection Rules: </w:t>
      </w:r>
      <w:r>
        <w:t>https://www.meity.gov.in/documents/act-and-policies/digital-personal-data-protection-rules-2025-gDOxUjMtQWa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35" w:right="936" w:bottom="835" w:left="936" w:header="317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Synthetic-data learning material • qualified human review required</w:t>
    </w:r>
  </w:p>
  <w:p>
    <w:pPr>
      <w:jc w:val="right"/>
    </w:pPr>
    <w:r>
      <w:rPr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4896"/>
      <w:gridCol w:w="5472"/>
    </w:tblGrid>
    <w:tr>
      <w:tc>
        <w:tcPr>
          <w:tcW w:type="dxa" w:w="5184"/>
          <w:shd w:fill="073647"/>
        </w:tcPr>
        <w:p>
          <w:r>
            <w:rPr>
              <w:b/>
              <w:color w:val="FFFFFF"/>
              <w:sz w:val="17"/>
            </w:rPr>
            <w:t>ALKEM  |  AI MASTERCLASS</w:t>
          </w:r>
        </w:p>
      </w:tc>
      <w:tc>
        <w:tcPr>
          <w:tcW w:type="dxa" w:w="5184"/>
          <w:shd w:fill="073647"/>
        </w:tcPr>
        <w:p>
          <w:pPr>
            <w:jc w:val="right"/>
          </w:pPr>
          <w:r>
            <w:rPr>
              <w:color w:val="FFFFFF"/>
              <w:sz w:val="16"/>
            </w:rPr>
            <w:t>Dropdown Coverage Report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color w:val="0F172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73647"/>
      <w:sz w:val="4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76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46E5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073647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Dropdown Coverage Report</dc:title>
  <dc:subject>Alkem AI Masterclass: GenAI for Patient-Centric Healthcare</dc:subject>
  <dc:creator>Alkem AI Masterclass</dc:creator>
  <cp:keywords>healthcare, generative AI, synthetic data, patient engagement, governance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