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22"/>
      </w:tblGrid>
      <w:tr>
        <w:tc>
          <w:tcPr>
            <w:tcW w:type="dxa" w:w="9922"/>
            <w:shd w:fill="0B2438"/>
            <w:tcMar>
              <w:top w:w="540" w:type="dxa"/>
              <w:start w:w="430" w:type="dxa"/>
              <w:bottom w:w="540" w:type="dxa"/>
              <w:end w:w="430" w:type="dxa"/>
            </w:tcMar>
          </w:tcPr>
          <w:p>
            <w:pPr>
              <w:jc w:val="left"/>
            </w:pPr>
            <w:r>
              <w:rPr>
                <w:rFonts w:ascii="Aptos" w:hAnsi="Aptos"/>
                <w:b/>
                <w:color w:val="0B6E69"/>
                <w:sz w:val="20"/>
              </w:rPr>
              <w:t>PARTICIPANT WORKBOOK</w:t>
            </w:r>
          </w:p>
          <w:p>
            <w:pPr>
              <w:spacing w:before="360" w:after="160"/>
            </w:pPr>
            <w:r>
              <w:rPr>
                <w:rFonts w:ascii="Aptos Display" w:hAnsi="Aptos Display"/>
                <w:b/>
                <w:color w:val="FFFFFF"/>
                <w:sz w:val="62"/>
              </w:rPr>
              <w:t>Patient-Centric Healthcare 5.0</w:t>
            </w:r>
          </w:p>
          <w:p>
            <w:r>
              <w:rPr>
                <w:rFonts w:ascii="Aptos" w:hAnsi="Aptos"/>
                <w:color w:val="DCE8EC"/>
                <w:sz w:val="28"/>
              </w:rPr>
              <w:t>Case discussion, medical-tool lab, ChatGPT prompts and 30-day action plan</w:t>
            </w:r>
          </w:p>
          <w:p>
            <w:pPr>
              <w:spacing w:before="1100"/>
            </w:pPr>
            <w:r>
              <w:rPr>
                <w:rFonts w:ascii="Aptos" w:hAnsi="Aptos"/>
                <w:b/>
                <w:color w:val="FFFFFF"/>
                <w:sz w:val="22"/>
              </w:rPr>
              <w:t>AI assists  •  Professionals decide  •  Patients remain the purpose</w:t>
            </w:r>
          </w:p>
        </w:tc>
      </w:tr>
    </w:tbl>
    <w:p/>
    <w:p>
      <w:pPr>
        <w:jc w:val="center"/>
      </w:pPr>
      <w:r>
        <w:rPr>
          <w:rFonts w:ascii="Aptos" w:hAnsi="Aptos"/>
          <w:color w:val="62747E"/>
          <w:sz w:val="20"/>
        </w:rPr>
        <w:t>Exactly 60 minutes theory + 90 minutes hands-on lab</w:t>
      </w:r>
    </w:p>
    <w:p>
      <w:pPr>
        <w:jc w:val="center"/>
      </w:pPr>
      <w:r>
        <w:rPr>
          <w:rFonts w:ascii="Aptos" w:hAnsi="Aptos"/>
          <w:color w:val="62747E"/>
          <w:sz w:val="20"/>
        </w:rPr>
        <w:t>Doctors × Pharmaceutical Professionals</w:t>
      </w:r>
    </w:p>
    <w:p>
      <w:pPr>
        <w:jc w:val="center"/>
      </w:pPr>
      <w:r>
        <w:rPr>
          <w:rFonts w:ascii="Aptos" w:hAnsi="Aptos"/>
          <w:color w:val="62747E"/>
          <w:sz w:val="20"/>
        </w:rPr>
        <w:t>Name: _________________________________</w:t>
      </w:r>
    </w:p>
    <w:p>
      <w:pPr>
        <w:jc w:val="center"/>
      </w:pPr>
      <w:r>
        <w:rPr>
          <w:rFonts w:ascii="Aptos" w:hAnsi="Aptos"/>
          <w:color w:val="62747E"/>
          <w:sz w:val="20"/>
        </w:rPr>
        <w:t>Organisation: ____________________________</w:t>
      </w:r>
    </w:p>
    <w:p>
      <w:pPr>
        <w:jc w:val="center"/>
      </w:pPr>
      <w:r>
        <w:rPr>
          <w:rFonts w:ascii="Aptos" w:hAnsi="Aptos"/>
          <w:color w:val="62747E"/>
          <w:sz w:val="20"/>
        </w:rPr>
        <w:t>Date: _________________________________</w:t>
      </w:r>
    </w:p>
    <w:p>
      <w:r>
        <w:br w:type="page"/>
      </w:r>
    </w:p>
    <w:tbl>
      <w:tblPr>
        <w:tblW w:type="auto" w:w="0"/>
        <w:jc w:val="center"/>
        <w:tblLook w:firstColumn="1" w:firstRow="1" w:lastColumn="0" w:lastRow="0" w:noHBand="0" w:noVBand="1" w:val="04A0"/>
      </w:tblPr>
      <w:tblGrid>
        <w:gridCol w:w="9922"/>
      </w:tblGrid>
      <w:tr>
        <w:tc>
          <w:tcPr>
            <w:tcW w:type="dxa" w:w="9922"/>
            <w:shd w:fill="D8EFEB"/>
            <w:tcMar>
              <w:top w:w="180" w:type="dxa"/>
              <w:start w:w="210" w:type="dxa"/>
              <w:bottom w:w="180" w:type="dxa"/>
              <w:end w:w="210" w:type="dxa"/>
            </w:tcMar>
          </w:tcPr>
          <w:p>
            <w:pPr>
              <w:spacing w:after="80"/>
            </w:pPr>
            <w:r>
              <w:rPr>
                <w:rFonts w:ascii="Aptos" w:hAnsi="Aptos"/>
                <w:b/>
                <w:color w:val="0B6E69"/>
                <w:sz w:val="16"/>
              </w:rPr>
              <w:t>WORKING CONTRACT</w:t>
            </w:r>
          </w:p>
          <w:p>
            <w:pPr>
              <w:spacing w:after="0"/>
            </w:pPr>
            <w:r>
              <w:rPr>
                <w:rFonts w:ascii="Aptos" w:hAnsi="Aptos"/>
                <w:color w:val="18313F"/>
                <w:sz w:val="19"/>
              </w:rPr>
              <w:t>Use synthetic cases and approved sources only. Record what AI produced, what you verified, what you changed and who remains accountable.</w:t>
            </w:r>
          </w:p>
        </w:tc>
      </w:tr>
    </w:tbl>
    <w:p>
      <w:pPr>
        <w:spacing w:after="0"/>
      </w:pPr>
    </w:p>
    <w:p>
      <w:pPr>
        <w:pStyle w:val="Heading1"/>
      </w:pPr>
      <w:r>
        <w:t>My learning target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835"/>
            <w:tcMar>
              <w:top w:w="100" w:type="dxa"/>
              <w:start w:w="130" w:type="dxa"/>
              <w:bottom w:w="100" w:type="dxa"/>
              <w:end w:w="130" w:type="dxa"/>
            </w:tcMar>
            <w:vAlign w:val="center"/>
            <w:shd w:fill="356F99"/>
          </w:tcPr>
          <w:p>
            <w:pPr>
              <w:spacing w:after="0"/>
              <w:jc w:val="center"/>
            </w:pPr>
            <w:r/>
            <w:r>
              <w:rPr>
                <w:rFonts w:ascii="Aptos" w:hAnsi="Aptos"/>
                <w:b/>
                <w:color w:val="FFFFFF"/>
                <w:sz w:val="16"/>
              </w:rPr>
              <w:t>Capability</w:t>
            </w:r>
          </w:p>
        </w:tc>
        <w:tc>
          <w:tcPr>
            <w:tcW w:type="dxa" w:w="2268"/>
            <w:tcMar>
              <w:top w:w="100" w:type="dxa"/>
              <w:start w:w="130" w:type="dxa"/>
              <w:bottom w:w="100" w:type="dxa"/>
              <w:end w:w="130" w:type="dxa"/>
            </w:tcMar>
            <w:vAlign w:val="center"/>
            <w:shd w:fill="356F99"/>
          </w:tcPr>
          <w:p>
            <w:pPr>
              <w:spacing w:after="0"/>
              <w:jc w:val="center"/>
            </w:pPr>
            <w:r/>
            <w:r>
              <w:rPr>
                <w:rFonts w:ascii="Aptos" w:hAnsi="Aptos"/>
                <w:b/>
                <w:color w:val="FFFFFF"/>
                <w:sz w:val="16"/>
              </w:rPr>
              <w:t>Current confidence 1–5</w:t>
            </w:r>
          </w:p>
        </w:tc>
        <w:tc>
          <w:tcPr>
            <w:tcW w:type="dxa" w:w="4422"/>
            <w:tcMar>
              <w:top w:w="100" w:type="dxa"/>
              <w:start w:w="130" w:type="dxa"/>
              <w:bottom w:w="100" w:type="dxa"/>
              <w:end w:w="130" w:type="dxa"/>
            </w:tcMar>
            <w:vAlign w:val="center"/>
            <w:shd w:fill="356F99"/>
          </w:tcPr>
          <w:p>
            <w:pPr>
              <w:spacing w:after="0"/>
              <w:jc w:val="center"/>
            </w:pPr>
            <w:r/>
            <w:r>
              <w:rPr>
                <w:rFonts w:ascii="Aptos" w:hAnsi="Aptos"/>
                <w:b/>
                <w:color w:val="FFFFFF"/>
                <w:sz w:val="16"/>
              </w:rPr>
              <w:t>What would improve?</w:t>
            </w:r>
          </w:p>
        </w:tc>
      </w:tr>
      <w:tr>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t>Patient continuity</w:t>
            </w:r>
          </w:p>
        </w:tc>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442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t>Diagnostic support</w:t>
            </w:r>
          </w:p>
        </w:tc>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442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835"/>
            <w:tcMar>
              <w:top w:w="100" w:type="dxa"/>
              <w:start w:w="130" w:type="dxa"/>
              <w:bottom w:w="100" w:type="dxa"/>
              <w:end w:w="130" w:type="dxa"/>
            </w:tcMar>
            <w:vAlign w:val="center"/>
            <w:shd w:fill="F7F4EE"/>
          </w:tcPr>
          <w:p>
            <w:pPr>
              <w:spacing w:after="0"/>
            </w:pPr>
            <w:r/>
            <w:r>
              <w:rPr>
                <w:rFonts w:ascii="Aptos" w:hAnsi="Aptos"/>
                <w:b w:val="0"/>
                <w:color w:val="18313F"/>
                <w:sz w:val="16"/>
              </w:rPr>
              <w:t>Research</w:t>
            </w:r>
          </w:p>
        </w:tc>
        <w:tc>
          <w:tcPr>
            <w:tcW w:type="dxa" w:w="2268"/>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442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835"/>
            <w:tcMar>
              <w:top w:w="100" w:type="dxa"/>
              <w:start w:w="130" w:type="dxa"/>
              <w:bottom w:w="100" w:type="dxa"/>
              <w:end w:w="130" w:type="dxa"/>
            </w:tcMar>
            <w:vAlign w:val="center"/>
            <w:shd w:fill="FFFFFF"/>
          </w:tcPr>
          <w:p>
            <w:pPr>
              <w:spacing w:after="0"/>
            </w:pPr>
            <w:r/>
            <w:r>
              <w:rPr>
                <w:rFonts w:ascii="Aptos" w:hAnsi="Aptos"/>
                <w:b w:val="0"/>
                <w:color w:val="18313F"/>
                <w:sz w:val="16"/>
              </w:rPr>
              <w:t>Own professional projection</w:t>
            </w:r>
          </w:p>
        </w:tc>
        <w:tc>
          <w:tcPr>
            <w:tcW w:type="dxa" w:w="2268"/>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4422"/>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p>
      <w:r>
        <w:rPr>
          <w:b/>
          <w:color w:val="0B6E69"/>
        </w:rPr>
        <w:t>The workflow friction I want to improve:</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Theory: seven-case comparison</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304"/>
            <w:tcMar>
              <w:top w:w="100" w:type="dxa"/>
              <w:start w:w="130" w:type="dxa"/>
              <w:bottom w:w="100" w:type="dxa"/>
              <w:end w:w="130" w:type="dxa"/>
            </w:tcMar>
            <w:vAlign w:val="center"/>
            <w:shd w:fill="E76F51"/>
          </w:tcPr>
          <w:p>
            <w:pPr>
              <w:spacing w:after="0"/>
              <w:jc w:val="center"/>
            </w:pPr>
            <w:r/>
            <w:r>
              <w:rPr>
                <w:rFonts w:ascii="Aptos" w:hAnsi="Aptos"/>
                <w:b/>
                <w:color w:val="FFFFFF"/>
                <w:sz w:val="14"/>
              </w:rPr>
              <w:t>Case</w:t>
            </w:r>
          </w:p>
        </w:tc>
        <w:tc>
          <w:tcPr>
            <w:tcW w:type="dxa" w:w="1871"/>
            <w:tcMar>
              <w:top w:w="100" w:type="dxa"/>
              <w:start w:w="130" w:type="dxa"/>
              <w:bottom w:w="100" w:type="dxa"/>
              <w:end w:w="130" w:type="dxa"/>
            </w:tcMar>
            <w:vAlign w:val="center"/>
            <w:shd w:fill="E76F51"/>
          </w:tcPr>
          <w:p>
            <w:pPr>
              <w:spacing w:after="0"/>
              <w:jc w:val="center"/>
            </w:pPr>
            <w:r/>
            <w:r>
              <w:rPr>
                <w:rFonts w:ascii="Aptos" w:hAnsi="Aptos"/>
                <w:b/>
                <w:color w:val="FFFFFF"/>
                <w:sz w:val="14"/>
              </w:rPr>
              <w:t>Evidence label</w:t>
            </w:r>
          </w:p>
        </w:tc>
        <w:tc>
          <w:tcPr>
            <w:tcW w:type="dxa" w:w="2154"/>
            <w:tcMar>
              <w:top w:w="100" w:type="dxa"/>
              <w:start w:w="130" w:type="dxa"/>
              <w:bottom w:w="100" w:type="dxa"/>
              <w:end w:w="130" w:type="dxa"/>
            </w:tcMar>
            <w:vAlign w:val="center"/>
            <w:shd w:fill="E76F51"/>
          </w:tcPr>
          <w:p>
            <w:pPr>
              <w:spacing w:after="0"/>
              <w:jc w:val="center"/>
            </w:pPr>
            <w:r/>
            <w:r>
              <w:rPr>
                <w:rFonts w:ascii="Aptos" w:hAnsi="Aptos"/>
                <w:b/>
                <w:color w:val="FFFFFF"/>
                <w:sz w:val="14"/>
              </w:rPr>
              <w:t>Useful signal</w:t>
            </w:r>
          </w:p>
        </w:tc>
        <w:tc>
          <w:tcPr>
            <w:tcW w:type="dxa" w:w="2324"/>
            <w:tcMar>
              <w:top w:w="100" w:type="dxa"/>
              <w:start w:w="130" w:type="dxa"/>
              <w:bottom w:w="100" w:type="dxa"/>
              <w:end w:w="130" w:type="dxa"/>
            </w:tcMar>
            <w:vAlign w:val="center"/>
            <w:shd w:fill="E76F51"/>
          </w:tcPr>
          <w:p>
            <w:pPr>
              <w:spacing w:after="0"/>
              <w:jc w:val="center"/>
            </w:pPr>
            <w:r/>
            <w:r>
              <w:rPr>
                <w:rFonts w:ascii="Aptos" w:hAnsi="Aptos"/>
                <w:b/>
                <w:color w:val="FFFFFF"/>
                <w:sz w:val="14"/>
              </w:rPr>
              <w:t>Do not claim</w:t>
            </w:r>
          </w:p>
        </w:tc>
        <w:tc>
          <w:tcPr>
            <w:tcW w:type="dxa" w:w="1871"/>
            <w:tcMar>
              <w:top w:w="100" w:type="dxa"/>
              <w:start w:w="130" w:type="dxa"/>
              <w:bottom w:w="100" w:type="dxa"/>
              <w:end w:w="130" w:type="dxa"/>
            </w:tcMar>
            <w:vAlign w:val="center"/>
            <w:shd w:fill="E76F51"/>
          </w:tcPr>
          <w:p>
            <w:pPr>
              <w:spacing w:after="0"/>
              <w:jc w:val="center"/>
            </w:pPr>
            <w:r/>
            <w:r>
              <w:rPr>
                <w:rFonts w:ascii="Aptos" w:hAnsi="Aptos"/>
                <w:b/>
                <w:color w:val="FFFFFF"/>
                <w:sz w:val="14"/>
              </w:rPr>
              <w:t>Human decision</w:t>
            </w:r>
          </w:p>
        </w:tc>
      </w:tr>
      <w:tr>
        <w:tc>
          <w:tcPr>
            <w:tcW w:type="dxa" w:w="1304"/>
            <w:tcMar>
              <w:top w:w="100" w:type="dxa"/>
              <w:start w:w="130" w:type="dxa"/>
              <w:bottom w:w="100" w:type="dxa"/>
              <w:end w:w="130" w:type="dxa"/>
            </w:tcMar>
            <w:vAlign w:val="center"/>
            <w:shd w:fill="F7F4EE"/>
          </w:tcPr>
          <w:p>
            <w:pPr>
              <w:spacing w:after="0"/>
            </w:pPr>
            <w:r/>
            <w:r>
              <w:rPr>
                <w:rFonts w:ascii="Aptos" w:hAnsi="Aptos"/>
                <w:b w:val="0"/>
                <w:color w:val="18313F"/>
                <w:sz w:val="14"/>
              </w:rPr>
              <w:t>Serbia EHR</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2025 operational case study and local model validation</w:t>
            </w:r>
          </w:p>
        </w:tc>
        <w:tc>
          <w:tcPr>
            <w:tcW w:type="dxa" w:w="2154"/>
            <w:tcMar>
              <w:top w:w="100" w:type="dxa"/>
              <w:start w:w="130" w:type="dxa"/>
              <w:bottom w:w="100" w:type="dxa"/>
              <w:end w:w="130" w:type="dxa"/>
            </w:tcMar>
            <w:vAlign w:val="center"/>
            <w:shd w:fill="F7F4EE"/>
          </w:tcPr>
          <w:p>
            <w:pPr>
              <w:spacing w:after="0"/>
            </w:pPr>
            <w:r/>
            <w:r>
              <w:rPr>
                <w:rFonts w:ascii="Aptos" w:hAnsi="Aptos"/>
                <w:b w:val="0"/>
                <w:color w:val="18313F"/>
                <w:sz w:val="14"/>
              </w:rPr>
              <w:t>Embed probability in the workflow; do not hide decision ownership.</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4"/>
              </w:rPr>
              <w:t>Single health-system context; model performance and workflow results require external and local validation.</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Radiologist signs the report; staff decide outreach or scheduling action.</w:t>
            </w:r>
          </w:p>
        </w:tc>
      </w:tr>
      <w:tr>
        <w:tc>
          <w:tcPr>
            <w:tcW w:type="dxa" w:w="1304"/>
            <w:tcMar>
              <w:top w:w="100" w:type="dxa"/>
              <w:start w:w="130" w:type="dxa"/>
              <w:bottom w:w="100" w:type="dxa"/>
              <w:end w:w="130" w:type="dxa"/>
            </w:tcMar>
            <w:vAlign w:val="center"/>
            <w:shd w:fill="FFFFFF"/>
          </w:tcPr>
          <w:p>
            <w:pPr>
              <w:spacing w:after="0"/>
            </w:pPr>
            <w:r/>
            <w:r>
              <w:rPr>
                <w:rFonts w:ascii="Aptos" w:hAnsi="Aptos"/>
                <w:b w:val="0"/>
                <w:color w:val="18313F"/>
                <w:sz w:val="14"/>
              </w:rPr>
              <w:t>Qatar perceptions</w:t>
            </w:r>
          </w:p>
        </w:tc>
        <w:tc>
          <w:tcPr>
            <w:tcW w:type="dxa" w:w="1871"/>
            <w:tcMar>
              <w:top w:w="100" w:type="dxa"/>
              <w:start w:w="130" w:type="dxa"/>
              <w:bottom w:w="100" w:type="dxa"/>
              <w:end w:w="130" w:type="dxa"/>
            </w:tcMar>
            <w:vAlign w:val="center"/>
            <w:shd w:fill="FFFFFF"/>
          </w:tcPr>
          <w:p>
            <w:pPr>
              <w:spacing w:after="0"/>
            </w:pPr>
            <w:r/>
            <w:r>
              <w:rPr>
                <w:rFonts w:ascii="Aptos" w:hAnsi="Aptos"/>
                <w:b w:val="0"/>
                <w:color w:val="18313F"/>
                <w:sz w:val="14"/>
              </w:rPr>
              <w:t>2024 cross-sectional perception survey</w:t>
            </w:r>
          </w:p>
        </w:tc>
        <w:tc>
          <w:tcPr>
            <w:tcW w:type="dxa" w:w="2154"/>
            <w:tcMar>
              <w:top w:w="100" w:type="dxa"/>
              <w:start w:w="130" w:type="dxa"/>
              <w:bottom w:w="100" w:type="dxa"/>
              <w:end w:w="130" w:type="dxa"/>
            </w:tcMar>
            <w:vAlign w:val="center"/>
            <w:shd w:fill="FFFFFF"/>
          </w:tcPr>
          <w:p>
            <w:pPr>
              <w:spacing w:after="0"/>
            </w:pPr>
            <w:r/>
            <w:r>
              <w:rPr>
                <w:rFonts w:ascii="Aptos" w:hAnsi="Aptos"/>
                <w:b w:val="0"/>
                <w:color w:val="18313F"/>
                <w:sz w:val="14"/>
              </w:rPr>
              <w:t>Adoption is a trust and operating-model problem, not only a model problem.</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4"/>
              </w:rPr>
              <w:t>Self-reported perceptions from 102 of 724 invited physicians; not a clinical-effectiveness study.</w:t>
            </w:r>
          </w:p>
        </w:tc>
        <w:tc>
          <w:tcPr>
            <w:tcW w:type="dxa" w:w="1871"/>
            <w:tcMar>
              <w:top w:w="100" w:type="dxa"/>
              <w:start w:w="130" w:type="dxa"/>
              <w:bottom w:w="100" w:type="dxa"/>
              <w:end w:w="130" w:type="dxa"/>
            </w:tcMar>
            <w:vAlign w:val="center"/>
            <w:shd w:fill="FFFFFF"/>
          </w:tcPr>
          <w:p>
            <w:pPr>
              <w:spacing w:after="0"/>
            </w:pPr>
            <w:r/>
            <w:r>
              <w:rPr>
                <w:rFonts w:ascii="Aptos" w:hAnsi="Aptos"/>
                <w:b w:val="0"/>
                <w:color w:val="18313F"/>
                <w:sz w:val="14"/>
              </w:rPr>
              <w:t>Physicians asked for training, governance and clear accountability.</w:t>
            </w:r>
          </w:p>
        </w:tc>
      </w:tr>
      <w:tr>
        <w:tc>
          <w:tcPr>
            <w:tcW w:type="dxa" w:w="1304"/>
            <w:tcMar>
              <w:top w:w="100" w:type="dxa"/>
              <w:start w:w="130" w:type="dxa"/>
              <w:bottom w:w="100" w:type="dxa"/>
              <w:end w:w="130" w:type="dxa"/>
            </w:tcMar>
            <w:vAlign w:val="center"/>
            <w:shd w:fill="F7F4EE"/>
          </w:tcPr>
          <w:p>
            <w:pPr>
              <w:spacing w:after="0"/>
            </w:pPr>
            <w:r/>
            <w:r>
              <w:rPr>
                <w:rFonts w:ascii="Aptos" w:hAnsi="Aptos"/>
                <w:b w:val="0"/>
                <w:color w:val="18313F"/>
                <w:sz w:val="14"/>
              </w:rPr>
              <w:t>China teaching</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2025 comparative educational study</w:t>
            </w:r>
          </w:p>
        </w:tc>
        <w:tc>
          <w:tcPr>
            <w:tcW w:type="dxa" w:w="2154"/>
            <w:tcMar>
              <w:top w:w="100" w:type="dxa"/>
              <w:start w:w="130" w:type="dxa"/>
              <w:bottom w:w="100" w:type="dxa"/>
              <w:end w:w="130" w:type="dxa"/>
            </w:tcMar>
            <w:vAlign w:val="center"/>
            <w:shd w:fill="F7F4EE"/>
          </w:tcPr>
          <w:p>
            <w:pPr>
              <w:spacing w:after="0"/>
            </w:pPr>
            <w:r/>
            <w:r>
              <w:rPr>
                <w:rFonts w:ascii="Aptos" w:hAnsi="Aptos"/>
                <w:b w:val="0"/>
                <w:color w:val="18313F"/>
                <w:sz w:val="14"/>
              </w:rPr>
              <w:t>AI raises the floor and compresses search time; it can also homogenise thinking.</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4"/>
              </w:rPr>
              <w:t>Two intact classes in one course; not randomised across institutions; learning and grading findings should not be treated as clinical outcomes.</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Faculty discussion remains essential for reasoning, originality and challenge.</w:t>
            </w:r>
          </w:p>
        </w:tc>
      </w:tr>
      <w:tr>
        <w:tc>
          <w:tcPr>
            <w:tcW w:type="dxa" w:w="1304"/>
            <w:tcMar>
              <w:top w:w="100" w:type="dxa"/>
              <w:start w:w="130" w:type="dxa"/>
              <w:bottom w:w="100" w:type="dxa"/>
              <w:end w:w="130" w:type="dxa"/>
            </w:tcMar>
            <w:vAlign w:val="center"/>
            <w:shd w:fill="FFFFFF"/>
          </w:tcPr>
          <w:p>
            <w:pPr>
              <w:spacing w:after="0"/>
            </w:pPr>
            <w:r/>
            <w:r>
              <w:rPr>
                <w:rFonts w:ascii="Aptos" w:hAnsi="Aptos"/>
                <w:b w:val="0"/>
                <w:color w:val="18313F"/>
                <w:sz w:val="14"/>
              </w:rPr>
              <w:t>Trinity foresight</w:t>
            </w:r>
          </w:p>
        </w:tc>
        <w:tc>
          <w:tcPr>
            <w:tcW w:type="dxa" w:w="1871"/>
            <w:tcMar>
              <w:top w:w="100" w:type="dxa"/>
              <w:start w:w="130" w:type="dxa"/>
              <w:bottom w:w="100" w:type="dxa"/>
              <w:end w:w="130" w:type="dxa"/>
            </w:tcMar>
            <w:vAlign w:val="center"/>
            <w:shd w:fill="FFFFFF"/>
          </w:tcPr>
          <w:p>
            <w:pPr>
              <w:spacing w:after="0"/>
            </w:pPr>
            <w:r/>
            <w:r>
              <w:rPr>
                <w:rFonts w:ascii="Aptos" w:hAnsi="Aptos"/>
                <w:b w:val="0"/>
                <w:color w:val="18313F"/>
                <w:sz w:val="14"/>
              </w:rPr>
              <w:t>2025 single-institution qualitative participatory-design case</w:t>
            </w:r>
          </w:p>
        </w:tc>
        <w:tc>
          <w:tcPr>
            <w:tcW w:type="dxa" w:w="2154"/>
            <w:tcMar>
              <w:top w:w="100" w:type="dxa"/>
              <w:start w:w="130" w:type="dxa"/>
              <w:bottom w:w="100" w:type="dxa"/>
              <w:end w:w="130" w:type="dxa"/>
            </w:tcMar>
            <w:vAlign w:val="center"/>
            <w:shd w:fill="FFFFFF"/>
          </w:tcPr>
          <w:p>
            <w:pPr>
              <w:spacing w:after="0"/>
            </w:pPr>
            <w:r/>
            <w:r>
              <w:rPr>
                <w:rFonts w:ascii="Aptos" w:hAnsi="Aptos"/>
                <w:b w:val="0"/>
                <w:color w:val="18313F"/>
                <w:sz w:val="14"/>
              </w:rPr>
              <w:t>AI can make futures tangible; people must choose values and priorities.</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4"/>
              </w:rPr>
              <w:t>One workshop, no patient representatives, possible groupthink and framing effects; not universally generalisable.</w:t>
            </w:r>
          </w:p>
        </w:tc>
        <w:tc>
          <w:tcPr>
            <w:tcW w:type="dxa" w:w="1871"/>
            <w:tcMar>
              <w:top w:w="100" w:type="dxa"/>
              <w:start w:w="130" w:type="dxa"/>
              <w:bottom w:w="100" w:type="dxa"/>
              <w:end w:w="130" w:type="dxa"/>
            </w:tcMar>
            <w:vAlign w:val="center"/>
            <w:shd w:fill="FFFFFF"/>
          </w:tcPr>
          <w:p>
            <w:pPr>
              <w:spacing w:after="0"/>
            </w:pPr>
            <w:r/>
            <w:r>
              <w:rPr>
                <w:rFonts w:ascii="Aptos" w:hAnsi="Aptos"/>
                <w:b w:val="0"/>
                <w:color w:val="18313F"/>
                <w:sz w:val="14"/>
              </w:rPr>
              <w:t>Facilitators reviewed and refined all AI outputs; participants chose competencies and actions.</w:t>
            </w:r>
          </w:p>
        </w:tc>
      </w:tr>
      <w:tr>
        <w:tc>
          <w:tcPr>
            <w:tcW w:type="dxa" w:w="1304"/>
            <w:tcMar>
              <w:top w:w="100" w:type="dxa"/>
              <w:start w:w="130" w:type="dxa"/>
              <w:bottom w:w="100" w:type="dxa"/>
              <w:end w:w="130" w:type="dxa"/>
            </w:tcMar>
            <w:vAlign w:val="center"/>
            <w:shd w:fill="F7F4EE"/>
          </w:tcPr>
          <w:p>
            <w:pPr>
              <w:spacing w:after="0"/>
            </w:pPr>
            <w:r/>
            <w:r>
              <w:rPr>
                <w:rFonts w:ascii="Aptos" w:hAnsi="Aptos"/>
                <w:b w:val="0"/>
                <w:color w:val="18313F"/>
                <w:sz w:val="14"/>
              </w:rPr>
              <w:t>SepsisLab</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2024 qualitative study and human-AI prototype evaluation</w:t>
            </w:r>
          </w:p>
        </w:tc>
        <w:tc>
          <w:tcPr>
            <w:tcW w:type="dxa" w:w="2154"/>
            <w:tcMar>
              <w:top w:w="100" w:type="dxa"/>
              <w:start w:w="130" w:type="dxa"/>
              <w:bottom w:w="100" w:type="dxa"/>
              <w:end w:w="130" w:type="dxa"/>
            </w:tcMar>
            <w:vAlign w:val="center"/>
            <w:shd w:fill="F7F4EE"/>
          </w:tcPr>
          <w:p>
            <w:pPr>
              <w:spacing w:after="0"/>
            </w:pPr>
            <w:r/>
            <w:r>
              <w:rPr>
                <w:rFonts w:ascii="Aptos" w:hAnsi="Aptos"/>
                <w:b w:val="0"/>
                <w:color w:val="18313F"/>
                <w:sz w:val="14"/>
              </w:rPr>
              <w:t>Timely, explainable and actionable support can beat another interruptive alert.</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4"/>
              </w:rPr>
              <w:t>Very small qualitative sample and prototype setting; not an outcome or safety trial.</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Clinician interprets risk, orders information and decides action.</w:t>
            </w:r>
          </w:p>
        </w:tc>
      </w:tr>
      <w:tr>
        <w:tc>
          <w:tcPr>
            <w:tcW w:type="dxa" w:w="1304"/>
            <w:tcMar>
              <w:top w:w="100" w:type="dxa"/>
              <w:start w:w="130" w:type="dxa"/>
              <w:bottom w:w="100" w:type="dxa"/>
              <w:end w:w="130" w:type="dxa"/>
            </w:tcMar>
            <w:vAlign w:val="center"/>
            <w:shd w:fill="FFFFFF"/>
          </w:tcPr>
          <w:p>
            <w:pPr>
              <w:spacing w:after="0"/>
            </w:pPr>
            <w:r/>
            <w:r>
              <w:rPr>
                <w:rFonts w:ascii="Aptos" w:hAnsi="Aptos"/>
                <w:b w:val="0"/>
                <w:color w:val="18313F"/>
                <w:sz w:val="14"/>
              </w:rPr>
              <w:t>Ambient scribes</w:t>
            </w:r>
          </w:p>
        </w:tc>
        <w:tc>
          <w:tcPr>
            <w:tcW w:type="dxa" w:w="1871"/>
            <w:tcMar>
              <w:top w:w="100" w:type="dxa"/>
              <w:start w:w="130" w:type="dxa"/>
              <w:bottom w:w="100" w:type="dxa"/>
              <w:end w:w="130" w:type="dxa"/>
            </w:tcMar>
            <w:vAlign w:val="center"/>
            <w:shd w:fill="FFFFFF"/>
          </w:tcPr>
          <w:p>
            <w:pPr>
              <w:spacing w:after="0"/>
            </w:pPr>
            <w:r/>
            <w:r>
              <w:rPr>
                <w:rFonts w:ascii="Aptos" w:hAnsi="Aptos"/>
                <w:b w:val="0"/>
                <w:color w:val="18313F"/>
                <w:sz w:val="14"/>
              </w:rPr>
              <w:t>Implementation dissertation plus growing health-system observational evidence</w:t>
            </w:r>
          </w:p>
        </w:tc>
        <w:tc>
          <w:tcPr>
            <w:tcW w:type="dxa" w:w="2154"/>
            <w:tcMar>
              <w:top w:w="100" w:type="dxa"/>
              <w:start w:w="130" w:type="dxa"/>
              <w:bottom w:w="100" w:type="dxa"/>
              <w:end w:w="130" w:type="dxa"/>
            </w:tcMar>
            <w:vAlign w:val="center"/>
            <w:shd w:fill="FFFFFF"/>
          </w:tcPr>
          <w:p>
            <w:pPr>
              <w:spacing w:after="0"/>
            </w:pPr>
            <w:r/>
            <w:r>
              <w:rPr>
                <w:rFonts w:ascii="Aptos" w:hAnsi="Aptos"/>
                <w:b w:val="0"/>
                <w:color w:val="18313F"/>
                <w:sz w:val="14"/>
              </w:rPr>
              <w:t>Time saved at the keyboard creates a new quality-assurance workflow.</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4"/>
              </w:rPr>
              <w:t>Product, setting, adoption maturity and outcome measures vary; product-specific safety and local effect require validation.</w:t>
            </w:r>
          </w:p>
        </w:tc>
        <w:tc>
          <w:tcPr>
            <w:tcW w:type="dxa" w:w="1871"/>
            <w:tcMar>
              <w:top w:w="100" w:type="dxa"/>
              <w:start w:w="130" w:type="dxa"/>
              <w:bottom w:w="100" w:type="dxa"/>
              <w:end w:w="130" w:type="dxa"/>
            </w:tcMar>
            <w:vAlign w:val="center"/>
            <w:shd w:fill="FFFFFF"/>
          </w:tcPr>
          <w:p>
            <w:pPr>
              <w:spacing w:after="0"/>
            </w:pPr>
            <w:r/>
            <w:r>
              <w:rPr>
                <w:rFonts w:ascii="Aptos" w:hAnsi="Aptos"/>
                <w:b w:val="0"/>
                <w:color w:val="18313F"/>
                <w:sz w:val="14"/>
              </w:rPr>
              <w:t>Clinician or designated reviewer edits and signs; organisation owns consent, retention and audit.</w:t>
            </w:r>
          </w:p>
        </w:tc>
      </w:tr>
      <w:tr>
        <w:tc>
          <w:tcPr>
            <w:tcW w:type="dxa" w:w="1304"/>
            <w:tcMar>
              <w:top w:w="100" w:type="dxa"/>
              <w:start w:w="130" w:type="dxa"/>
              <w:bottom w:w="100" w:type="dxa"/>
              <w:end w:w="130" w:type="dxa"/>
            </w:tcMar>
            <w:vAlign w:val="center"/>
            <w:shd w:fill="F7F4EE"/>
          </w:tcPr>
          <w:p>
            <w:pPr>
              <w:spacing w:after="0"/>
            </w:pPr>
            <w:r/>
            <w:r>
              <w:rPr>
                <w:rFonts w:ascii="Aptos" w:hAnsi="Aptos"/>
                <w:b w:val="0"/>
                <w:color w:val="18313F"/>
                <w:sz w:val="14"/>
              </w:rPr>
              <w:t>Explainable AI</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Narrative reference chapter with illustrative case applications</w:t>
            </w:r>
          </w:p>
        </w:tc>
        <w:tc>
          <w:tcPr>
            <w:tcW w:type="dxa" w:w="2154"/>
            <w:tcMar>
              <w:top w:w="100" w:type="dxa"/>
              <w:start w:w="130" w:type="dxa"/>
              <w:bottom w:w="100" w:type="dxa"/>
              <w:end w:w="130" w:type="dxa"/>
            </w:tcMar>
            <w:vAlign w:val="center"/>
            <w:shd w:fill="F7F4EE"/>
          </w:tcPr>
          <w:p>
            <w:pPr>
              <w:spacing w:after="0"/>
            </w:pPr>
            <w:r/>
            <w:r>
              <w:rPr>
                <w:rFonts w:ascii="Aptos" w:hAnsi="Aptos"/>
                <w:b w:val="0"/>
                <w:color w:val="18313F"/>
                <w:sz w:val="14"/>
              </w:rPr>
              <w:t>Ask why, for whom and under what validation—not only what the model predicted.</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4"/>
              </w:rPr>
              <w:t>An explanation can be plausible yet unstable or misleading; explainability is not proof of accuracy or benefit.</w:t>
            </w:r>
          </w:p>
        </w:tc>
        <w:tc>
          <w:tcPr>
            <w:tcW w:type="dxa" w:w="1871"/>
            <w:tcMar>
              <w:top w:w="100" w:type="dxa"/>
              <w:start w:w="130" w:type="dxa"/>
              <w:bottom w:w="100" w:type="dxa"/>
              <w:end w:w="130" w:type="dxa"/>
            </w:tcMar>
            <w:vAlign w:val="center"/>
            <w:shd w:fill="F7F4EE"/>
          </w:tcPr>
          <w:p>
            <w:pPr>
              <w:spacing w:after="0"/>
            </w:pPr>
            <w:r/>
            <w:r>
              <w:rPr>
                <w:rFonts w:ascii="Aptos" w:hAnsi="Aptos"/>
                <w:b w:val="0"/>
                <w:color w:val="18313F"/>
                <w:sz w:val="14"/>
              </w:rPr>
              <w:t>Professional compares the explanation with intended use, validation and patient context.</w:t>
            </w:r>
          </w:p>
        </w:tc>
      </w:tr>
    </w:tbl>
    <w:p>
      <w:pPr>
        <w:spacing w:after="0"/>
      </w:pPr>
    </w:p>
    <w:p>
      <w:r>
        <w:rPr>
          <w:b/>
          <w:color w:val="0B6E69"/>
        </w:rPr>
        <w:t>The case that changes my practice—and why:</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P-A-T-I-E-N-T safety check</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680"/>
            <w:tcMar>
              <w:top w:w="100" w:type="dxa"/>
              <w:start w:w="130" w:type="dxa"/>
              <w:bottom w:w="100" w:type="dxa"/>
              <w:end w:w="130" w:type="dxa"/>
            </w:tcMar>
            <w:vAlign w:val="center"/>
            <w:shd w:fill="0B6E69"/>
          </w:tcPr>
          <w:p>
            <w:pPr>
              <w:spacing w:after="0"/>
              <w:jc w:val="center"/>
            </w:pPr>
            <w:r/>
            <w:r>
              <w:rPr>
                <w:rFonts w:ascii="Aptos" w:hAnsi="Aptos"/>
                <w:b/>
                <w:color w:val="FFFFFF"/>
                <w:sz w:val="16"/>
              </w:rPr>
              <w:t>Letter</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Checkpoint</w:t>
            </w:r>
          </w:p>
        </w:tc>
        <w:tc>
          <w:tcPr>
            <w:tcW w:type="dxa" w:w="5783"/>
            <w:tcMar>
              <w:top w:w="100" w:type="dxa"/>
              <w:start w:w="130" w:type="dxa"/>
              <w:bottom w:w="100" w:type="dxa"/>
              <w:end w:w="130" w:type="dxa"/>
            </w:tcMar>
            <w:vAlign w:val="center"/>
            <w:shd w:fill="0B6E69"/>
          </w:tcPr>
          <w:p>
            <w:pPr>
              <w:spacing w:after="0"/>
              <w:jc w:val="center"/>
            </w:pPr>
            <w:r/>
            <w:r>
              <w:rPr>
                <w:rFonts w:ascii="Aptos" w:hAnsi="Aptos"/>
                <w:b/>
                <w:color w:val="FFFFFF"/>
                <w:sz w:val="16"/>
              </w:rPr>
              <w:t>Evidence in our workflow</w:t>
            </w:r>
          </w:p>
        </w:tc>
      </w:tr>
      <w:tr>
        <w:tc>
          <w:tcPr>
            <w:tcW w:type="dxa" w:w="680"/>
            <w:tcMar>
              <w:top w:w="100" w:type="dxa"/>
              <w:start w:w="130" w:type="dxa"/>
              <w:bottom w:w="100" w:type="dxa"/>
              <w:end w:w="130" w:type="dxa"/>
            </w:tcMar>
            <w:vAlign w:val="center"/>
            <w:shd w:fill="F7F4EE"/>
          </w:tcPr>
          <w:p>
            <w:pPr>
              <w:spacing w:after="0"/>
            </w:pPr>
            <w:r/>
            <w:r>
              <w:rPr>
                <w:rFonts w:ascii="Aptos" w:hAnsi="Aptos"/>
                <w:b w:val="0"/>
                <w:color w:val="18313F"/>
                <w:sz w:val="16"/>
              </w:rPr>
              <w:t>P</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Protect privacy</w:t>
            </w:r>
          </w:p>
        </w:tc>
        <w:tc>
          <w:tcPr>
            <w:tcW w:type="dxa" w:w="5783"/>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680"/>
            <w:tcMar>
              <w:top w:w="100" w:type="dxa"/>
              <w:start w:w="130" w:type="dxa"/>
              <w:bottom w:w="100" w:type="dxa"/>
              <w:end w:w="130" w:type="dxa"/>
            </w:tcMar>
            <w:vAlign w:val="center"/>
            <w:shd w:fill="FFFFFF"/>
          </w:tcPr>
          <w:p>
            <w:pPr>
              <w:spacing w:after="0"/>
            </w:pPr>
            <w:r/>
            <w:r>
              <w:rPr>
                <w:rFonts w:ascii="Aptos" w:hAnsi="Aptos"/>
                <w:b w:val="0"/>
                <w:color w:val="18313F"/>
                <w:sz w:val="16"/>
              </w:rPr>
              <w:t>A</w:t>
            </w:r>
          </w:p>
        </w:tc>
        <w:tc>
          <w:tcPr>
            <w:tcW w:type="dxa" w:w="3061"/>
            <w:tcMar>
              <w:top w:w="100" w:type="dxa"/>
              <w:start w:w="130" w:type="dxa"/>
              <w:bottom w:w="100" w:type="dxa"/>
              <w:end w:w="130" w:type="dxa"/>
            </w:tcMar>
            <w:vAlign w:val="center"/>
            <w:shd w:fill="FFFFFF"/>
          </w:tcPr>
          <w:p>
            <w:pPr>
              <w:spacing w:after="0"/>
            </w:pPr>
            <w:r/>
            <w:r>
              <w:rPr>
                <w:rFonts w:ascii="Aptos" w:hAnsi="Aptos"/>
                <w:b w:val="0"/>
                <w:color w:val="18313F"/>
                <w:sz w:val="16"/>
              </w:rPr>
              <w:t>Assess accuracy</w:t>
            </w:r>
          </w:p>
        </w:tc>
        <w:tc>
          <w:tcPr>
            <w:tcW w:type="dxa" w:w="5783"/>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680"/>
            <w:tcMar>
              <w:top w:w="100" w:type="dxa"/>
              <w:start w:w="130" w:type="dxa"/>
              <w:bottom w:w="100" w:type="dxa"/>
              <w:end w:w="130" w:type="dxa"/>
            </w:tcMar>
            <w:vAlign w:val="center"/>
            <w:shd w:fill="F7F4EE"/>
          </w:tcPr>
          <w:p>
            <w:pPr>
              <w:spacing w:after="0"/>
            </w:pPr>
            <w:r/>
            <w:r>
              <w:rPr>
                <w:rFonts w:ascii="Aptos" w:hAnsi="Aptos"/>
                <w:b w:val="0"/>
                <w:color w:val="18313F"/>
                <w:sz w:val="16"/>
              </w:rPr>
              <w:t>T</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Trace sources</w:t>
            </w:r>
          </w:p>
        </w:tc>
        <w:tc>
          <w:tcPr>
            <w:tcW w:type="dxa" w:w="5783"/>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680"/>
            <w:tcMar>
              <w:top w:w="100" w:type="dxa"/>
              <w:start w:w="130" w:type="dxa"/>
              <w:bottom w:w="100" w:type="dxa"/>
              <w:end w:w="130" w:type="dxa"/>
            </w:tcMar>
            <w:vAlign w:val="center"/>
            <w:shd w:fill="FFFFFF"/>
          </w:tcPr>
          <w:p>
            <w:pPr>
              <w:spacing w:after="0"/>
            </w:pPr>
            <w:r/>
            <w:r>
              <w:rPr>
                <w:rFonts w:ascii="Aptos" w:hAnsi="Aptos"/>
                <w:b w:val="0"/>
                <w:color w:val="18313F"/>
                <w:sz w:val="16"/>
              </w:rPr>
              <w:t>I</w:t>
            </w:r>
          </w:p>
        </w:tc>
        <w:tc>
          <w:tcPr>
            <w:tcW w:type="dxa" w:w="3061"/>
            <w:tcMar>
              <w:top w:w="100" w:type="dxa"/>
              <w:start w:w="130" w:type="dxa"/>
              <w:bottom w:w="100" w:type="dxa"/>
              <w:end w:w="130" w:type="dxa"/>
            </w:tcMar>
            <w:vAlign w:val="center"/>
            <w:shd w:fill="FFFFFF"/>
          </w:tcPr>
          <w:p>
            <w:pPr>
              <w:spacing w:after="0"/>
            </w:pPr>
            <w:r/>
            <w:r>
              <w:rPr>
                <w:rFonts w:ascii="Aptos" w:hAnsi="Aptos"/>
                <w:b w:val="0"/>
                <w:color w:val="18313F"/>
                <w:sz w:val="16"/>
              </w:rPr>
              <w:t>Inform + consent</w:t>
            </w:r>
          </w:p>
        </w:tc>
        <w:tc>
          <w:tcPr>
            <w:tcW w:type="dxa" w:w="5783"/>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680"/>
            <w:tcMar>
              <w:top w:w="100" w:type="dxa"/>
              <w:start w:w="130" w:type="dxa"/>
              <w:bottom w:w="100" w:type="dxa"/>
              <w:end w:w="130" w:type="dxa"/>
            </w:tcMar>
            <w:vAlign w:val="center"/>
            <w:shd w:fill="F7F4EE"/>
          </w:tcPr>
          <w:p>
            <w:pPr>
              <w:spacing w:after="0"/>
            </w:pPr>
            <w:r/>
            <w:r>
              <w:rPr>
                <w:rFonts w:ascii="Aptos" w:hAnsi="Aptos"/>
                <w:b w:val="0"/>
                <w:color w:val="18313F"/>
                <w:sz w:val="16"/>
              </w:rPr>
              <w:t>E</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Examine equity</w:t>
            </w:r>
          </w:p>
        </w:tc>
        <w:tc>
          <w:tcPr>
            <w:tcW w:type="dxa" w:w="5783"/>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680"/>
            <w:tcMar>
              <w:top w:w="100" w:type="dxa"/>
              <w:start w:w="130" w:type="dxa"/>
              <w:bottom w:w="100" w:type="dxa"/>
              <w:end w:w="130" w:type="dxa"/>
            </w:tcMar>
            <w:vAlign w:val="center"/>
            <w:shd w:fill="FFFFFF"/>
          </w:tcPr>
          <w:p>
            <w:pPr>
              <w:spacing w:after="0"/>
            </w:pPr>
            <w:r/>
            <w:r>
              <w:rPr>
                <w:rFonts w:ascii="Aptos" w:hAnsi="Aptos"/>
                <w:b w:val="0"/>
                <w:color w:val="18313F"/>
                <w:sz w:val="16"/>
              </w:rPr>
              <w:t>N</w:t>
            </w:r>
          </w:p>
        </w:tc>
        <w:tc>
          <w:tcPr>
            <w:tcW w:type="dxa" w:w="3061"/>
            <w:tcMar>
              <w:top w:w="100" w:type="dxa"/>
              <w:start w:w="130" w:type="dxa"/>
              <w:bottom w:w="100" w:type="dxa"/>
              <w:end w:w="130" w:type="dxa"/>
            </w:tcMar>
            <w:vAlign w:val="center"/>
            <w:shd w:fill="FFFFFF"/>
          </w:tcPr>
          <w:p>
            <w:pPr>
              <w:spacing w:after="0"/>
            </w:pPr>
            <w:r/>
            <w:r>
              <w:rPr>
                <w:rFonts w:ascii="Aptos" w:hAnsi="Aptos"/>
                <w:b w:val="0"/>
                <w:color w:val="18313F"/>
                <w:sz w:val="16"/>
              </w:rPr>
              <w:t>Never replace judgement</w:t>
            </w:r>
          </w:p>
        </w:tc>
        <w:tc>
          <w:tcPr>
            <w:tcW w:type="dxa" w:w="5783"/>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680"/>
            <w:tcMar>
              <w:top w:w="100" w:type="dxa"/>
              <w:start w:w="130" w:type="dxa"/>
              <w:bottom w:w="100" w:type="dxa"/>
              <w:end w:w="130" w:type="dxa"/>
            </w:tcMar>
            <w:vAlign w:val="center"/>
            <w:shd w:fill="F7F4EE"/>
          </w:tcPr>
          <w:p>
            <w:pPr>
              <w:spacing w:after="0"/>
            </w:pPr>
            <w:r/>
            <w:r>
              <w:rPr>
                <w:rFonts w:ascii="Aptos" w:hAnsi="Aptos"/>
                <w:b w:val="0"/>
                <w:color w:val="18313F"/>
                <w:sz w:val="16"/>
              </w:rPr>
              <w:t>T</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Take responsibility</w:t>
            </w:r>
          </w:p>
        </w:tc>
        <w:tc>
          <w:tcPr>
            <w:tcW w:type="dxa" w:w="5783"/>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20-SECOND PAUSE</w:t>
            </w:r>
          </w:p>
          <w:p>
            <w:pPr>
              <w:spacing w:after="0"/>
            </w:pPr>
            <w:r>
              <w:rPr>
                <w:rFonts w:ascii="Aptos" w:hAnsi="Aptos"/>
                <w:color w:val="18313F"/>
                <w:sz w:val="19"/>
              </w:rPr>
              <w:t>Could I explain the input, source, uncertainty and final decision to this patient—or to a regulator?</w:t>
            </w:r>
          </w:p>
        </w:tc>
      </w:tr>
    </w:tbl>
    <w:p>
      <w:pPr>
        <w:spacing w:after="0"/>
      </w:pPr>
    </w:p>
    <w:p>
      <w:r>
        <w:br w:type="page"/>
      </w:r>
    </w:p>
    <w:p>
      <w:pPr>
        <w:pStyle w:val="Heading1"/>
      </w:pPr>
      <w:r>
        <w:t>Station 1: Consultation continuity</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134"/>
            <w:tcMar>
              <w:top w:w="100" w:type="dxa"/>
              <w:start w:w="130" w:type="dxa"/>
              <w:bottom w:w="100" w:type="dxa"/>
              <w:end w:w="130" w:type="dxa"/>
            </w:tcMar>
            <w:vAlign w:val="center"/>
            <w:shd w:fill="0B6E69"/>
          </w:tcPr>
          <w:p>
            <w:pPr>
              <w:spacing w:after="0"/>
              <w:jc w:val="center"/>
            </w:pPr>
            <w:r/>
            <w:r>
              <w:rPr>
                <w:rFonts w:ascii="Aptos" w:hAnsi="Aptos"/>
                <w:b/>
                <w:color w:val="FFFFFF"/>
                <w:sz w:val="16"/>
              </w:rPr>
              <w:t>Time</w:t>
            </w:r>
          </w:p>
        </w:tc>
        <w:tc>
          <w:tcPr>
            <w:tcW w:type="dxa" w:w="3118"/>
            <w:tcMar>
              <w:top w:w="100" w:type="dxa"/>
              <w:start w:w="130" w:type="dxa"/>
              <w:bottom w:w="100" w:type="dxa"/>
              <w:end w:w="130" w:type="dxa"/>
            </w:tcMar>
            <w:vAlign w:val="center"/>
            <w:shd w:fill="0B6E69"/>
          </w:tcPr>
          <w:p>
            <w:pPr>
              <w:spacing w:after="0"/>
              <w:jc w:val="center"/>
            </w:pPr>
            <w:r/>
            <w:r>
              <w:rPr>
                <w:rFonts w:ascii="Aptos" w:hAnsi="Aptos"/>
                <w:b/>
                <w:color w:val="FFFFFF"/>
                <w:sz w:val="16"/>
              </w:rPr>
              <w:t>Specialised demo</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6"/>
              </w:rPr>
              <w:t>Everyone practises</w:t>
            </w:r>
          </w:p>
        </w:tc>
        <w:tc>
          <w:tcPr>
            <w:tcW w:type="dxa" w:w="2551"/>
            <w:tcMar>
              <w:top w:w="100" w:type="dxa"/>
              <w:start w:w="130" w:type="dxa"/>
              <w:bottom w:w="100" w:type="dxa"/>
              <w:end w:w="130" w:type="dxa"/>
            </w:tcMar>
            <w:vAlign w:val="center"/>
            <w:shd w:fill="0B6E69"/>
          </w:tcPr>
          <w:p>
            <w:pPr>
              <w:spacing w:after="0"/>
              <w:jc w:val="center"/>
            </w:pPr>
            <w:r/>
            <w:r>
              <w:rPr>
                <w:rFonts w:ascii="Aptos" w:hAnsi="Aptos"/>
                <w:b/>
                <w:color w:val="FFFFFF"/>
                <w:sz w:val="16"/>
              </w:rPr>
              <w:t>Stop rule</w:t>
            </w:r>
          </w:p>
        </w:tc>
      </w:tr>
      <w:tr>
        <w:tc>
          <w:tcPr>
            <w:tcW w:type="dxa" w:w="1134"/>
            <w:tcMar>
              <w:top w:w="100" w:type="dxa"/>
              <w:start w:w="130" w:type="dxa"/>
              <w:bottom w:w="100" w:type="dxa"/>
              <w:end w:w="130" w:type="dxa"/>
            </w:tcMar>
            <w:vAlign w:val="center"/>
            <w:shd w:fill="F7F4EE"/>
          </w:tcPr>
          <w:p>
            <w:pPr>
              <w:spacing w:after="0"/>
            </w:pPr>
            <w:r/>
            <w:r>
              <w:rPr>
                <w:rFonts w:ascii="Aptos" w:hAnsi="Aptos"/>
                <w:b w:val="0"/>
                <w:color w:val="18313F"/>
                <w:sz w:val="16"/>
              </w:rPr>
              <w:t>18 min</w:t>
            </w:r>
          </w:p>
        </w:tc>
        <w:tc>
          <w:tcPr>
            <w:tcW w:type="dxa" w:w="3118"/>
            <w:tcMar>
              <w:top w:w="100" w:type="dxa"/>
              <w:start w:w="130" w:type="dxa"/>
              <w:bottom w:w="100" w:type="dxa"/>
              <w:end w:w="130" w:type="dxa"/>
            </w:tcMar>
            <w:vAlign w:val="center"/>
            <w:shd w:fill="F7F4EE"/>
          </w:tcPr>
          <w:p>
            <w:pPr>
              <w:spacing w:after="0"/>
            </w:pPr>
            <w:r/>
            <w:r>
              <w:rPr>
                <w:rFonts w:ascii="Aptos" w:hAnsi="Aptos"/>
                <w:b w:val="0"/>
                <w:color w:val="18313F"/>
                <w:sz w:val="16"/>
              </w:rPr>
              <w:t>Heidi / Nabla / Abridge</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t>ChatGPT Prompt 1</w:t>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t>No record entry before professional review</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Synthetic transcript</w:t>
            </w:r>
          </w:p>
        </w:tc>
      </w:tr>
    </w:tbl>
    <w:p>
      <w:pPr>
        <w:spacing w:after="0"/>
      </w:pPr>
    </w:p>
    <w:p>
      <w:r>
        <w:rPr>
          <w:b/>
          <w:color w:val="0B6E69"/>
        </w:rPr>
        <w:t>What the specialised tool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What ChatGPT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Check</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551"/>
            <w:tcMar>
              <w:top w:w="100" w:type="dxa"/>
              <w:start w:w="130" w:type="dxa"/>
              <w:bottom w:w="100" w:type="dxa"/>
              <w:end w:w="130" w:type="dxa"/>
            </w:tcMar>
            <w:vAlign w:val="center"/>
            <w:shd w:fill="356F99"/>
          </w:tcPr>
          <w:p>
            <w:pPr>
              <w:spacing w:after="0"/>
              <w:jc w:val="center"/>
            </w:pPr>
            <w:r/>
            <w:r>
              <w:rPr>
                <w:rFonts w:ascii="Aptos" w:hAnsi="Aptos"/>
                <w:b/>
                <w:color w:val="FFFFFF"/>
                <w:sz w:val="16"/>
              </w:rPr>
              <w:t>Human decision</w:t>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Facts versus inventions</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Sources / traceability</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p>
      <w:r>
        <w:rPr>
          <w:b/>
          <w:color w:val="0B6E69"/>
        </w:rPr>
        <w:t>Approved output (Reviewed draft + teach-back):</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Station 2: Diagnostic support + medicines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134"/>
            <w:tcMar>
              <w:top w:w="100" w:type="dxa"/>
              <w:start w:w="130" w:type="dxa"/>
              <w:bottom w:w="100" w:type="dxa"/>
              <w:end w:w="130" w:type="dxa"/>
            </w:tcMar>
            <w:vAlign w:val="center"/>
            <w:shd w:fill="0B6E69"/>
          </w:tcPr>
          <w:p>
            <w:pPr>
              <w:spacing w:after="0"/>
              <w:jc w:val="center"/>
            </w:pPr>
            <w:r/>
            <w:r>
              <w:rPr>
                <w:rFonts w:ascii="Aptos" w:hAnsi="Aptos"/>
                <w:b/>
                <w:color w:val="FFFFFF"/>
                <w:sz w:val="16"/>
              </w:rPr>
              <w:t>Time</w:t>
            </w:r>
          </w:p>
        </w:tc>
        <w:tc>
          <w:tcPr>
            <w:tcW w:type="dxa" w:w="3118"/>
            <w:tcMar>
              <w:top w:w="100" w:type="dxa"/>
              <w:start w:w="130" w:type="dxa"/>
              <w:bottom w:w="100" w:type="dxa"/>
              <w:end w:w="130" w:type="dxa"/>
            </w:tcMar>
            <w:vAlign w:val="center"/>
            <w:shd w:fill="0B6E69"/>
          </w:tcPr>
          <w:p>
            <w:pPr>
              <w:spacing w:after="0"/>
              <w:jc w:val="center"/>
            </w:pPr>
            <w:r/>
            <w:r>
              <w:rPr>
                <w:rFonts w:ascii="Aptos" w:hAnsi="Aptos"/>
                <w:b/>
                <w:color w:val="FFFFFF"/>
                <w:sz w:val="16"/>
              </w:rPr>
              <w:t>Specialised demo</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6"/>
              </w:rPr>
              <w:t>Everyone practises</w:t>
            </w:r>
          </w:p>
        </w:tc>
        <w:tc>
          <w:tcPr>
            <w:tcW w:type="dxa" w:w="2551"/>
            <w:tcMar>
              <w:top w:w="100" w:type="dxa"/>
              <w:start w:w="130" w:type="dxa"/>
              <w:bottom w:w="100" w:type="dxa"/>
              <w:end w:w="130" w:type="dxa"/>
            </w:tcMar>
            <w:vAlign w:val="center"/>
            <w:shd w:fill="0B6E69"/>
          </w:tcPr>
          <w:p>
            <w:pPr>
              <w:spacing w:after="0"/>
              <w:jc w:val="center"/>
            </w:pPr>
            <w:r/>
            <w:r>
              <w:rPr>
                <w:rFonts w:ascii="Aptos" w:hAnsi="Aptos"/>
                <w:b/>
                <w:color w:val="FFFFFF"/>
                <w:sz w:val="16"/>
              </w:rPr>
              <w:t>Stop rule</w:t>
            </w:r>
          </w:p>
        </w:tc>
      </w:tr>
      <w:tr>
        <w:tc>
          <w:tcPr>
            <w:tcW w:type="dxa" w:w="1134"/>
            <w:tcMar>
              <w:top w:w="100" w:type="dxa"/>
              <w:start w:w="130" w:type="dxa"/>
              <w:bottom w:w="100" w:type="dxa"/>
              <w:end w:w="130" w:type="dxa"/>
            </w:tcMar>
            <w:vAlign w:val="center"/>
            <w:shd w:fill="F7F4EE"/>
          </w:tcPr>
          <w:p>
            <w:pPr>
              <w:spacing w:after="0"/>
            </w:pPr>
            <w:r/>
            <w:r>
              <w:rPr>
                <w:rFonts w:ascii="Aptos" w:hAnsi="Aptos"/>
                <w:b w:val="0"/>
                <w:color w:val="18313F"/>
                <w:sz w:val="16"/>
              </w:rPr>
              <w:t>23 min</w:t>
            </w:r>
          </w:p>
        </w:tc>
        <w:tc>
          <w:tcPr>
            <w:tcW w:type="dxa" w:w="3118"/>
            <w:tcMar>
              <w:top w:w="100" w:type="dxa"/>
              <w:start w:w="130" w:type="dxa"/>
              <w:bottom w:w="100" w:type="dxa"/>
              <w:end w:w="130" w:type="dxa"/>
            </w:tcMar>
            <w:vAlign w:val="center"/>
            <w:shd w:fill="F7F4EE"/>
          </w:tcPr>
          <w:p>
            <w:pPr>
              <w:spacing w:after="0"/>
            </w:pPr>
            <w:r/>
            <w:r>
              <w:rPr>
                <w:rFonts w:ascii="Aptos" w:hAnsi="Aptos"/>
                <w:b w:val="0"/>
                <w:color w:val="18313F"/>
                <w:sz w:val="16"/>
              </w:rPr>
              <w:t>DxGPT / Medscape AI / VisualDx / ClinicalKey AI / MDCalc / Epocrates</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t>ChatGPT Prompts 2–3</w:t>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t>No diagnosis, prescribing or delayed escalation</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Synthetic vignette + medicine list</w:t>
            </w:r>
          </w:p>
        </w:tc>
      </w:tr>
    </w:tbl>
    <w:p>
      <w:pPr>
        <w:spacing w:after="0"/>
      </w:pPr>
    </w:p>
    <w:p>
      <w:r>
        <w:rPr>
          <w:b/>
          <w:color w:val="0B6E69"/>
        </w:rPr>
        <w:t>What the specialised tool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What ChatGPT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Check</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551"/>
            <w:tcMar>
              <w:top w:w="100" w:type="dxa"/>
              <w:start w:w="130" w:type="dxa"/>
              <w:bottom w:w="100" w:type="dxa"/>
              <w:end w:w="130" w:type="dxa"/>
            </w:tcMar>
            <w:vAlign w:val="center"/>
            <w:shd w:fill="356F99"/>
          </w:tcPr>
          <w:p>
            <w:pPr>
              <w:spacing w:after="0"/>
              <w:jc w:val="center"/>
            </w:pPr>
            <w:r/>
            <w:r>
              <w:rPr>
                <w:rFonts w:ascii="Aptos" w:hAnsi="Aptos"/>
                <w:b/>
                <w:color w:val="FFFFFF"/>
                <w:sz w:val="16"/>
              </w:rPr>
              <w:t>Human decision</w:t>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Facts versus inventions</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Sources / traceability</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p>
      <w:r>
        <w:rPr>
          <w:b/>
          <w:color w:val="0B6E69"/>
        </w:rPr>
        <w:t>Approved output (Uncertainty map + verification log):</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Station 3: Patient + pharma communication</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134"/>
            <w:tcMar>
              <w:top w:w="100" w:type="dxa"/>
              <w:start w:w="130" w:type="dxa"/>
              <w:bottom w:w="100" w:type="dxa"/>
              <w:end w:w="130" w:type="dxa"/>
            </w:tcMar>
            <w:vAlign w:val="center"/>
            <w:shd w:fill="0B6E69"/>
          </w:tcPr>
          <w:p>
            <w:pPr>
              <w:spacing w:after="0"/>
              <w:jc w:val="center"/>
            </w:pPr>
            <w:r/>
            <w:r>
              <w:rPr>
                <w:rFonts w:ascii="Aptos" w:hAnsi="Aptos"/>
                <w:b/>
                <w:color w:val="FFFFFF"/>
                <w:sz w:val="16"/>
              </w:rPr>
              <w:t>Time</w:t>
            </w:r>
          </w:p>
        </w:tc>
        <w:tc>
          <w:tcPr>
            <w:tcW w:type="dxa" w:w="3118"/>
            <w:tcMar>
              <w:top w:w="100" w:type="dxa"/>
              <w:start w:w="130" w:type="dxa"/>
              <w:bottom w:w="100" w:type="dxa"/>
              <w:end w:w="130" w:type="dxa"/>
            </w:tcMar>
            <w:vAlign w:val="center"/>
            <w:shd w:fill="0B6E69"/>
          </w:tcPr>
          <w:p>
            <w:pPr>
              <w:spacing w:after="0"/>
              <w:jc w:val="center"/>
            </w:pPr>
            <w:r/>
            <w:r>
              <w:rPr>
                <w:rFonts w:ascii="Aptos" w:hAnsi="Aptos"/>
                <w:b/>
                <w:color w:val="FFFFFF"/>
                <w:sz w:val="16"/>
              </w:rPr>
              <w:t>Specialised demo</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6"/>
              </w:rPr>
              <w:t>Everyone practises</w:t>
            </w:r>
          </w:p>
        </w:tc>
        <w:tc>
          <w:tcPr>
            <w:tcW w:type="dxa" w:w="2551"/>
            <w:tcMar>
              <w:top w:w="100" w:type="dxa"/>
              <w:start w:w="130" w:type="dxa"/>
              <w:bottom w:w="100" w:type="dxa"/>
              <w:end w:w="130" w:type="dxa"/>
            </w:tcMar>
            <w:vAlign w:val="center"/>
            <w:shd w:fill="0B6E69"/>
          </w:tcPr>
          <w:p>
            <w:pPr>
              <w:spacing w:after="0"/>
              <w:jc w:val="center"/>
            </w:pPr>
            <w:r/>
            <w:r>
              <w:rPr>
                <w:rFonts w:ascii="Aptos" w:hAnsi="Aptos"/>
                <w:b/>
                <w:color w:val="FFFFFF"/>
                <w:sz w:val="16"/>
              </w:rPr>
              <w:t>Stop rule</w:t>
            </w:r>
          </w:p>
        </w:tc>
      </w:tr>
      <w:tr>
        <w:tc>
          <w:tcPr>
            <w:tcW w:type="dxa" w:w="1134"/>
            <w:tcMar>
              <w:top w:w="100" w:type="dxa"/>
              <w:start w:w="130" w:type="dxa"/>
              <w:bottom w:w="100" w:type="dxa"/>
              <w:end w:w="130" w:type="dxa"/>
            </w:tcMar>
            <w:vAlign w:val="center"/>
            <w:shd w:fill="F7F4EE"/>
          </w:tcPr>
          <w:p>
            <w:pPr>
              <w:spacing w:after="0"/>
            </w:pPr>
            <w:r/>
            <w:r>
              <w:rPr>
                <w:rFonts w:ascii="Aptos" w:hAnsi="Aptos"/>
                <w:b w:val="0"/>
                <w:color w:val="18313F"/>
                <w:sz w:val="16"/>
              </w:rPr>
              <w:t>19 min</w:t>
            </w:r>
          </w:p>
        </w:tc>
        <w:tc>
          <w:tcPr>
            <w:tcW w:type="dxa" w:w="3118"/>
            <w:tcMar>
              <w:top w:w="100" w:type="dxa"/>
              <w:start w:w="130" w:type="dxa"/>
              <w:bottom w:w="100" w:type="dxa"/>
              <w:end w:w="130" w:type="dxa"/>
            </w:tcMar>
            <w:vAlign w:val="center"/>
            <w:shd w:fill="F7F4EE"/>
          </w:tcPr>
          <w:p>
            <w:pPr>
              <w:spacing w:after="0"/>
            </w:pPr>
            <w:r/>
            <w:r>
              <w:rPr>
                <w:rFonts w:ascii="Aptos" w:hAnsi="Aptos"/>
                <w:b w:val="0"/>
                <w:color w:val="18313F"/>
                <w:sz w:val="16"/>
              </w:rPr>
              <w:t>Canva / Gamma / Bhashini / approved MI-PV workflow</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t>ChatGPT Prompts 4, 7, 10</w:t>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t>No external release before named approval</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Approved source + synthetic inquiry</w:t>
            </w:r>
          </w:p>
        </w:tc>
      </w:tr>
    </w:tbl>
    <w:p>
      <w:pPr>
        <w:spacing w:after="0"/>
      </w:pPr>
    </w:p>
    <w:p>
      <w:r>
        <w:rPr>
          <w:b/>
          <w:color w:val="0B6E69"/>
        </w:rPr>
        <w:t>What the specialised tool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What ChatGPT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Check</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551"/>
            <w:tcMar>
              <w:top w:w="100" w:type="dxa"/>
              <w:start w:w="130" w:type="dxa"/>
              <w:bottom w:w="100" w:type="dxa"/>
              <w:end w:w="130" w:type="dxa"/>
            </w:tcMar>
            <w:vAlign w:val="center"/>
            <w:shd w:fill="356F99"/>
          </w:tcPr>
          <w:p>
            <w:pPr>
              <w:spacing w:after="0"/>
              <w:jc w:val="center"/>
            </w:pPr>
            <w:r/>
            <w:r>
              <w:rPr>
                <w:rFonts w:ascii="Aptos" w:hAnsi="Aptos"/>
                <w:b/>
                <w:color w:val="FFFFFF"/>
                <w:sz w:val="16"/>
              </w:rPr>
              <w:t>Human decision</w:t>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Facts versus inventions</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Sources / traceability</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p>
      <w:r>
        <w:rPr>
          <w:b/>
          <w:color w:val="0B6E69"/>
        </w:rPr>
        <w:t>Approved output (Reviewed asset + routing plan):</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Station 4: Research + teaching</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134"/>
            <w:tcMar>
              <w:top w:w="100" w:type="dxa"/>
              <w:start w:w="130" w:type="dxa"/>
              <w:bottom w:w="100" w:type="dxa"/>
              <w:end w:w="130" w:type="dxa"/>
            </w:tcMar>
            <w:vAlign w:val="center"/>
            <w:shd w:fill="0B6E69"/>
          </w:tcPr>
          <w:p>
            <w:pPr>
              <w:spacing w:after="0"/>
              <w:jc w:val="center"/>
            </w:pPr>
            <w:r/>
            <w:r>
              <w:rPr>
                <w:rFonts w:ascii="Aptos" w:hAnsi="Aptos"/>
                <w:b/>
                <w:color w:val="FFFFFF"/>
                <w:sz w:val="16"/>
              </w:rPr>
              <w:t>Time</w:t>
            </w:r>
          </w:p>
        </w:tc>
        <w:tc>
          <w:tcPr>
            <w:tcW w:type="dxa" w:w="3118"/>
            <w:tcMar>
              <w:top w:w="100" w:type="dxa"/>
              <w:start w:w="130" w:type="dxa"/>
              <w:bottom w:w="100" w:type="dxa"/>
              <w:end w:w="130" w:type="dxa"/>
            </w:tcMar>
            <w:vAlign w:val="center"/>
            <w:shd w:fill="0B6E69"/>
          </w:tcPr>
          <w:p>
            <w:pPr>
              <w:spacing w:after="0"/>
              <w:jc w:val="center"/>
            </w:pPr>
            <w:r/>
            <w:r>
              <w:rPr>
                <w:rFonts w:ascii="Aptos" w:hAnsi="Aptos"/>
                <w:b/>
                <w:color w:val="FFFFFF"/>
                <w:sz w:val="16"/>
              </w:rPr>
              <w:t>Specialised demo</w:t>
            </w:r>
          </w:p>
        </w:tc>
        <w:tc>
          <w:tcPr>
            <w:tcW w:type="dxa" w:w="2721"/>
            <w:tcMar>
              <w:top w:w="100" w:type="dxa"/>
              <w:start w:w="130" w:type="dxa"/>
              <w:bottom w:w="100" w:type="dxa"/>
              <w:end w:w="130" w:type="dxa"/>
            </w:tcMar>
            <w:vAlign w:val="center"/>
            <w:shd w:fill="0B6E69"/>
          </w:tcPr>
          <w:p>
            <w:pPr>
              <w:spacing w:after="0"/>
              <w:jc w:val="center"/>
            </w:pPr>
            <w:r/>
            <w:r>
              <w:rPr>
                <w:rFonts w:ascii="Aptos" w:hAnsi="Aptos"/>
                <w:b/>
                <w:color w:val="FFFFFF"/>
                <w:sz w:val="16"/>
              </w:rPr>
              <w:t>Everyone practises</w:t>
            </w:r>
          </w:p>
        </w:tc>
        <w:tc>
          <w:tcPr>
            <w:tcW w:type="dxa" w:w="2551"/>
            <w:tcMar>
              <w:top w:w="100" w:type="dxa"/>
              <w:start w:w="130" w:type="dxa"/>
              <w:bottom w:w="100" w:type="dxa"/>
              <w:end w:w="130" w:type="dxa"/>
            </w:tcMar>
            <w:vAlign w:val="center"/>
            <w:shd w:fill="0B6E69"/>
          </w:tcPr>
          <w:p>
            <w:pPr>
              <w:spacing w:after="0"/>
              <w:jc w:val="center"/>
            </w:pPr>
            <w:r/>
            <w:r>
              <w:rPr>
                <w:rFonts w:ascii="Aptos" w:hAnsi="Aptos"/>
                <w:b/>
                <w:color w:val="FFFFFF"/>
                <w:sz w:val="16"/>
              </w:rPr>
              <w:t>Stop rule</w:t>
            </w:r>
          </w:p>
        </w:tc>
      </w:tr>
      <w:tr>
        <w:tc>
          <w:tcPr>
            <w:tcW w:type="dxa" w:w="1134"/>
            <w:tcMar>
              <w:top w:w="100" w:type="dxa"/>
              <w:start w:w="130" w:type="dxa"/>
              <w:bottom w:w="100" w:type="dxa"/>
              <w:end w:w="130" w:type="dxa"/>
            </w:tcMar>
            <w:vAlign w:val="center"/>
            <w:shd w:fill="F7F4EE"/>
          </w:tcPr>
          <w:p>
            <w:pPr>
              <w:spacing w:after="0"/>
            </w:pPr>
            <w:r/>
            <w:r>
              <w:rPr>
                <w:rFonts w:ascii="Aptos" w:hAnsi="Aptos"/>
                <w:b w:val="0"/>
                <w:color w:val="18313F"/>
                <w:sz w:val="16"/>
              </w:rPr>
              <w:t>15 min</w:t>
            </w:r>
          </w:p>
        </w:tc>
        <w:tc>
          <w:tcPr>
            <w:tcW w:type="dxa" w:w="3118"/>
            <w:tcMar>
              <w:top w:w="100" w:type="dxa"/>
              <w:start w:w="130" w:type="dxa"/>
              <w:bottom w:w="100" w:type="dxa"/>
              <w:end w:w="130" w:type="dxa"/>
            </w:tcMar>
            <w:vAlign w:val="center"/>
            <w:shd w:fill="F7F4EE"/>
          </w:tcPr>
          <w:p>
            <w:pPr>
              <w:spacing w:after="0"/>
            </w:pPr>
            <w:r/>
            <w:r>
              <w:rPr>
                <w:rFonts w:ascii="Aptos" w:hAnsi="Aptos"/>
                <w:b w:val="0"/>
                <w:color w:val="18313F"/>
                <w:sz w:val="16"/>
              </w:rPr>
              <w:t>PubMed / Elicit / ResearchRabbit / Scite</w:t>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t>ChatGPT Prompts 11, 9</w:t>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t>Stop when a citation or claim cannot be opened</w:t>
            </w:r>
          </w:p>
        </w:tc>
      </w:tr>
    </w:tbl>
    <w:p>
      <w:pPr>
        <w:spacing w:after="0"/>
      </w:pPr>
    </w:p>
    <w:tbl>
      <w:tblPr>
        <w:tblW w:type="auto" w:w="0"/>
        <w:jc w:val="center"/>
        <w:tblLook w:firstColumn="1" w:firstRow="1" w:lastColumn="0" w:lastRow="0" w:noHBand="0" w:noVBand="1" w:val="04A0"/>
      </w:tblPr>
      <w:tblGrid>
        <w:gridCol w:w="9922"/>
      </w:tblGrid>
      <w:tr>
        <w:tc>
          <w:tcPr>
            <w:tcW w:type="dxa" w:w="9922"/>
            <w:shd w:fill="DFECF5"/>
            <w:tcMar>
              <w:top w:w="180" w:type="dxa"/>
              <w:start w:w="210" w:type="dxa"/>
              <w:bottom w:w="180" w:type="dxa"/>
              <w:end w:w="210" w:type="dxa"/>
            </w:tcMar>
          </w:tcPr>
          <w:p>
            <w:pPr>
              <w:spacing w:after="80"/>
            </w:pPr>
            <w:r>
              <w:rPr>
                <w:rFonts w:ascii="Aptos" w:hAnsi="Aptos"/>
                <w:b/>
                <w:color w:val="356F99"/>
                <w:sz w:val="16"/>
              </w:rPr>
              <w:t>SYNTHETIC / APPROVED INPUT</w:t>
            </w:r>
          </w:p>
          <w:p>
            <w:pPr>
              <w:spacing w:after="0"/>
            </w:pPr>
            <w:r>
              <w:rPr>
                <w:rFonts w:ascii="Aptos" w:hAnsi="Aptos"/>
                <w:color w:val="18313F"/>
                <w:sz w:val="19"/>
              </w:rPr>
              <w:t>PICO + verified seed source</w:t>
            </w:r>
          </w:p>
        </w:tc>
      </w:tr>
    </w:tbl>
    <w:p>
      <w:pPr>
        <w:spacing w:after="0"/>
      </w:pPr>
    </w:p>
    <w:p>
      <w:r>
        <w:rPr>
          <w:b/>
          <w:color w:val="0B6E69"/>
        </w:rPr>
        <w:t>What the specialised tool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rPr>
          <w:b/>
          <w:color w:val="0B6E69"/>
        </w:rPr>
        <w:t>What ChatGPT produced:</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Check</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Specialised tool</w:t>
            </w:r>
          </w:p>
        </w:tc>
        <w:tc>
          <w:tcPr>
            <w:tcW w:type="dxa" w:w="2324"/>
            <w:tcMar>
              <w:top w:w="100" w:type="dxa"/>
              <w:start w:w="130" w:type="dxa"/>
              <w:bottom w:w="100" w:type="dxa"/>
              <w:end w:w="130" w:type="dxa"/>
            </w:tcMar>
            <w:vAlign w:val="center"/>
            <w:shd w:fill="356F99"/>
          </w:tcPr>
          <w:p>
            <w:pPr>
              <w:spacing w:after="0"/>
              <w:jc w:val="center"/>
            </w:pPr>
            <w:r/>
            <w:r>
              <w:rPr>
                <w:rFonts w:ascii="Aptos" w:hAnsi="Aptos"/>
                <w:b/>
                <w:color w:val="FFFFFF"/>
                <w:sz w:val="16"/>
              </w:rPr>
              <w:t>ChatGPT</w:t>
            </w:r>
          </w:p>
        </w:tc>
        <w:tc>
          <w:tcPr>
            <w:tcW w:type="dxa" w:w="2551"/>
            <w:tcMar>
              <w:top w:w="100" w:type="dxa"/>
              <w:start w:w="130" w:type="dxa"/>
              <w:bottom w:w="100" w:type="dxa"/>
              <w:end w:w="130" w:type="dxa"/>
            </w:tcMar>
            <w:vAlign w:val="center"/>
            <w:shd w:fill="356F99"/>
          </w:tcPr>
          <w:p>
            <w:pPr>
              <w:spacing w:after="0"/>
              <w:jc w:val="center"/>
            </w:pPr>
            <w:r/>
            <w:r>
              <w:rPr>
                <w:rFonts w:ascii="Aptos" w:hAnsi="Aptos"/>
                <w:b/>
                <w:color w:val="FFFFFF"/>
                <w:sz w:val="16"/>
              </w:rPr>
              <w:t>Human decision</w:t>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Facts versus inventions</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Urgency / escalation</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Sources / traceability</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t>Privacy / consent</w:t>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324"/>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551"/>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p>
      <w:r>
        <w:rPr>
          <w:b/>
          <w:color w:val="0B6E69"/>
        </w:rPr>
        <w:t>Approved output (Evidence map + Socratic script):</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r>
        <w:br w:type="page"/>
      </w:r>
    </w:p>
    <w:p>
      <w:pPr>
        <w:pStyle w:val="Heading1"/>
      </w:pPr>
      <w:r>
        <w:t>Copy-ready ChatGPT discussion prompts</w:t>
      </w:r>
    </w:p>
    <w:tbl>
      <w:tblPr>
        <w:tblW w:type="auto" w:w="0"/>
        <w:jc w:val="center"/>
        <w:tblLook w:firstColumn="1" w:firstRow="1" w:lastColumn="0" w:lastRow="0" w:noHBand="0" w:noVBand="1" w:val="04A0"/>
      </w:tblPr>
      <w:tblGrid>
        <w:gridCol w:w="9922"/>
      </w:tblGrid>
      <w:tr>
        <w:tc>
          <w:tcPr>
            <w:tcW w:type="dxa" w:w="9922"/>
            <w:shd w:fill="F6EBCF"/>
            <w:tcMar>
              <w:top w:w="180" w:type="dxa"/>
              <w:start w:w="210" w:type="dxa"/>
              <w:bottom w:w="180" w:type="dxa"/>
              <w:end w:w="210" w:type="dxa"/>
            </w:tcMar>
          </w:tcPr>
          <w:p>
            <w:pPr>
              <w:spacing w:after="80"/>
            </w:pPr>
            <w:r>
              <w:rPr>
                <w:rFonts w:ascii="Aptos" w:hAnsi="Aptos"/>
                <w:b/>
                <w:color w:val="C18B2F"/>
                <w:sz w:val="16"/>
              </w:rPr>
              <w:t>HOW TO USE</w:t>
            </w:r>
          </w:p>
          <w:p>
            <w:pPr>
              <w:spacing w:after="0"/>
            </w:pPr>
            <w:r>
              <w:rPr>
                <w:rFonts w:ascii="Aptos" w:hAnsi="Aptos"/>
                <w:color w:val="18313F"/>
                <w:sz w:val="19"/>
              </w:rPr>
              <w:t>Paste the universal safety wrapper first. Replace only bracketed placeholders with synthetic or approved information. Do not remove the human checkpoint.</w:t>
            </w:r>
          </w:p>
        </w:tc>
      </w:tr>
    </w:tbl>
    <w:p>
      <w:pPr>
        <w:spacing w:after="0"/>
      </w:pPr>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1</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Consultation continuity</w:t>
            </w:r>
          </w:p>
        </w:tc>
      </w:tr>
    </w:tbl>
    <w:p>
      <w:r>
        <w:t>Turn a synthetic conversation into a reviewable draft without inventing clinical facts.</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the synthetic consultation transcript below, create: (1) a source-grounded draft encounter summary, (2) a problem-information list, (3) medication-reconciliation questions, (4) a plain-language patient summary, (5) three teach-back questions, and (6) follow-up and escalation items. Tag every statement [PATIENT REPORTED], [PROFESSIONAL OBSERVATION], [UNKNOWN] or [NEEDS VERIFICATION]. Do not invent examination findings, diagnosis, medication, dose, investigation, reassurance or follow-up decision. Transcript: [PASTE SYNTHETIC TRANSCRIPT]</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Tagged draft note, patient summary, questions and escalation items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Reconcile facts and medicines; check red flags, consent, local language and record policy before sign-off.</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Invented findings or a polished draft copied into the record without review.</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2</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Diagnostic reasoning without outsourcing diagnosis</w:t>
            </w:r>
          </w:p>
        </w:tc>
      </w:tr>
    </w:tbl>
    <w:p>
      <w:r>
        <w:t>Expose hypotheses, missing information and urgency.</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only the synthetic case below: (1) write a one-sentence problem representation without declaring a diagnosis; (2) group hypotheses as common/likely, dangerous must-not-miss, and alternative explanations; (3) for each, list supporting information, contradictory information, missing information, red flags, time sensitivity and evidence that must be verified; (4) identify the five questions or observations most likely to change urgency; and (5) state what a licensed clinician must decide. Do not recommend treatment or invent probabilities. Case: [PASTE SYNTHETIC CASE]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Structured hypotheses and uncertainty map</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Check urgent red flags, primary evidence, local protocol and patient context; clinician owns diagnosis and disposition.</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A plausible list mistaken for a diagnosis or a reason to delay escalation.</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3</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Medication-reconciliation discussion</w:t>
            </w:r>
          </w:p>
        </w:tc>
      </w:tr>
    </w:tbl>
    <w:p>
      <w:r>
        <w:t>Surface possible medicine issues that require verification.</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Review the synthetic medication information below. Do not recommend starting, stopping or changing any medicine. Create a verification checklist covering possible duplication, interaction, allergy conflict, renal/hepatic considerations, pregnancy/lactation if relevant, indication uncertainty, adherence, OTC/supplement/traditional-medicine use, monitoring and missing name/strength/formulation/route/frequency. Separate confirmed facts, potential issues to verify and missing information. List questions for the patient and prescriber/pharmacist, plus the approved drug-information sources that must be checked. Information: [PASTE SYNTHETIC LIST]</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Verification checklist and escalation questions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Licensed prescriber/pharmacist checks labels, formulary, renal/hepatic context and local protocol.</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Model invents an interaction or silently changes a dose.</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4</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Patient-education asset</w:t>
            </w:r>
          </w:p>
        </w:tc>
      </w:tr>
    </w:tbl>
    <w:p>
      <w:r>
        <w:t>Convert approved evidence into actionable plain language.</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only the approved source excerpt below, draft a one-page patient handout for [AUDIENCE] at class 6–8 reading level. Include a short title, five practical actions, medicine-taking reminders without products or doses, monitoring, routine follow-up, three urgent red flags, three teach-back questions, source, review date, reviewer placeholder and AI-assistance disclosure. Mark unsupported statements [REVIEW]. Provide a draft Hindi version, marking medical terms for bilingual professional review. Do not invent statistics, guarantees or clinical advice outside the source. Source: [PASTE APPROVED SOURCE]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Plain-language handout with red flags and teach-back</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Clinical meaning, translation, accessibility, source, version and reviewer approval.</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Unsafe simplification, mistranslation or an unsupported promise.</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5</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Redesigning an unhelpful clinical alert</w:t>
            </w:r>
          </w:p>
        </w:tc>
      </w:tr>
    </w:tbl>
    <w:p>
      <w:r>
        <w:t>Apply the SepsisLab design lesson to a synthetic alert.</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Evaluate the synthetic alert below without making a patient-specific treatment recommendation. Analyse timeliness, false-positive burden, false-negative risk, explanation, uncertainty, actionability, workflow interruption, override, escalation and audit trail. Redesign it to show what changed, why it appeared, current uncertainty, information that could reduce uncertainty, required professional review, override/documentation path, pilot metrics and stop criteria. Alert: [PASTE SYNTHETIC ALERT]</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Before/after alert specification and pilot measures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Clinical governance approves intended use, escalation, thresholds and monitoring.</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A more attractive alert that still arrives late or triggers unowned action.</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6</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Ambient-scribe pilot plan</w:t>
            </w:r>
          </w:p>
        </w:tc>
      </w:tr>
    </w:tbl>
    <w:p>
      <w:r>
        <w:t>Design a controlled implementation with quality assurance.</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Design a six-week controlled ambient-scribe pilot. Include intended and excluded uses; patient notice/consent; minimum necessary data; clinician and scribe-reviewer responsibilities; note sampling; error taxonomy; hallucination and omission monitoring; patient-experience, clinician-time and after-hours documentation measures; safety escalation; rollback; stop criteria; and final continue/redesign/stop decision. Do not assume time saving proves safety.</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Six-week pilot charter and measurement plan</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Privacy, clinical governance, IT/security and accountable service owner approve the pilot.</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Plug-and-play rollout without consent, sampling or stop rules.</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7</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Pharma medical-information and safety triage</w:t>
            </w:r>
          </w:p>
        </w:tc>
      </w:tr>
    </w:tbl>
    <w:p>
      <w:r>
        <w:t>Separate scientific response, off-label handling and immediate safety escalation.</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Analyse the synthetic medical-information interaction. Create: the exact unsolicited scientific question; minimum information needed; approved sources; a neutral response outline; statements requiring medical/legal/regulatory review; possible off-label elements requiring medical-information handling; possible adverse-event or product-quality information requiring immediate escalation; follow-up commitments; and documentation requirements. Do not create promotional claims, assess causality, minimise an event or delay escalation. Interaction: [PASTE SYNTHETIC INTERACTION]</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Neutral inquiry plan plus explicit safety/PQC escalation flags</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Medical information, pharmacovigilance and MLR follow the approved SOP; safety escalation is immediate.</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A polished response that misses or delays an adverse-event report.</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8</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Explainable-AI vendor evaluation</w:t>
            </w:r>
          </w:p>
        </w:tc>
      </w:tr>
    </w:tbl>
    <w:p>
      <w:r>
        <w:t>Turn marketing claims into an auditable due-diligence conversation.</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Evaluate the medical-AI product description. Build a due-diligence table for intended use/user, target population, setting, validation population and comparator, sensitivity/specificity, false positives/negatives, subgroup performance, external validation, explainability method and clinical meaning, workflow integration, override, audit trail, data location/retention, jurisdiction-specific regulatory status, evidence gaps, India applicability, vendor questions, reasons to pilot and reasons not to pilot. Do not infer approval or effectiveness from marketing language. Description: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Vendor-question list and pilot/no-pilot rationale</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Clinical, regulatory, privacy, security and procurement reviewers verify original evidence and status.</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Decorative heatmaps treated as proof of correctness.</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9</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Socratic medical teaching</w:t>
            </w:r>
          </w:p>
        </w:tc>
      </w:tr>
    </w:tbl>
    <w:p>
      <w:r>
        <w:t>Use AI to strengthen reasoning rather than reveal an answer immediately.</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Act as a Socratic facilitator for the synthetic case. Do not reveal the answer immediately. Ask the learner to create a problem representation; propose common, dangerous and alternative hypotheses; identify evidence for/against; identify missing information and urgency; challenge one assumption; introduce one verified source; ask the learner to revise; then provide feedback with a transparent rubric and identify unsupported AI-generated information. Case: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Staged questions, revised reasoning and rubric feedback</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Faculty verifies content and preserves learner effort, dialogue and originality.</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Instant answers reduce productive struggle and create look-alike submissions.</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10</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Professional projection</w:t>
            </w:r>
          </w:p>
        </w:tc>
      </w:tr>
    </w:tbl>
    <w:p>
      <w:r>
        <w:t>Draft a credible evidence-based professional post with visible boundaries.</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Using only the approved evidence below, draft a 150–200 word professional post for [DOCTOR / MEDICAL-AFFAIRS PROFESSIONAL] to [EDUCATE PATIENTS / EDUCATE PEERS / DISCUSS AN EVIDENCE GAP]. Include one evidence-based message, one practical implication, one limitation, a visible source, AI-assistance disclosure and an invitation to professional discussion—not individual treatment advice. Do not add product promotion, off-label claims, exaggerated certainty or authority beyond the stated role. Evidence: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Concise, sourced and bounded professional post</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Clinical/MLR review, citation, disclosure, version owner and publication approval.</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Authority signalling, promotion or advice without patient context.</w:t>
            </w:r>
          </w:p>
        </w:tc>
      </w:tr>
    </w:tbl>
    <w:p>
      <w:pPr>
        <w:spacing w:after="0"/>
      </w:pPr>
    </w:p>
    <w:p/>
    <w:tbl>
      <w:tblPr>
        <w:tblW w:type="auto" w:w="0"/>
        <w:jc w:val="center"/>
        <w:tblLook w:firstColumn="1" w:firstRow="1" w:lastColumn="0" w:lastRow="0" w:noHBand="0" w:noVBand="1" w:val="04A0"/>
      </w:tblPr>
      <w:tblGrid>
        <w:gridCol w:w="4961"/>
        <w:gridCol w:w="4961"/>
      </w:tblGrid>
      <w:tr>
        <w:tc>
          <w:tcPr>
            <w:tcW w:type="dxa" w:w="4961"/>
            <w:tcMar>
              <w:top w:w="100" w:type="dxa"/>
              <w:start w:w="130" w:type="dxa"/>
              <w:bottom w:w="100" w:type="dxa"/>
              <w:end w:w="130" w:type="dxa"/>
            </w:tcMar>
            <w:vAlign w:val="center"/>
            <w:shd w:fill="E76F51"/>
          </w:tcPr>
          <w:p>
            <w:pPr>
              <w:spacing w:after="0"/>
              <w:jc w:val="center"/>
            </w:pPr>
            <w:r/>
            <w:r>
              <w:rPr>
                <w:rFonts w:ascii="Aptos" w:hAnsi="Aptos"/>
                <w:b/>
                <w:color w:val="FFFFFF"/>
                <w:sz w:val="18"/>
              </w:rPr>
              <w:t>PROMPT 11</w:t>
            </w:r>
          </w:p>
        </w:tc>
        <w:tc>
          <w:tcPr>
            <w:tcW w:type="dxa" w:w="4961"/>
            <w:tcMar>
              <w:top w:w="100" w:type="dxa"/>
              <w:start w:w="130" w:type="dxa"/>
              <w:bottom w:w="100" w:type="dxa"/>
              <w:end w:w="130" w:type="dxa"/>
            </w:tcMar>
            <w:vAlign w:val="center"/>
            <w:shd w:fill="F7F4EE"/>
          </w:tcPr>
          <w:p>
            <w:pPr>
              <w:spacing w:after="0"/>
            </w:pPr>
            <w:r/>
            <w:r>
              <w:rPr>
                <w:rFonts w:ascii="Aptos" w:hAnsi="Aptos"/>
                <w:b/>
                <w:color w:val="0B2438"/>
                <w:sz w:val="24"/>
              </w:rPr>
              <w:t>Rapid evidence map</w:t>
            </w:r>
          </w:p>
        </w:tc>
      </w:tr>
    </w:tbl>
    <w:p>
      <w:r>
        <w:t>Create a reproducible starting map without fabricating citations.</w:t>
      </w:r>
    </w:p>
    <w:tbl>
      <w:tblPr>
        <w:tblW w:type="auto" w:w="0"/>
        <w:tblLook w:firstColumn="1" w:firstRow="1" w:lastColumn="0" w:lastRow="0" w:noHBand="0" w:noVBand="1" w:val="04A0"/>
      </w:tblPr>
      <w:tblGrid>
        <w:gridCol w:w="9922"/>
      </w:tblGrid>
      <w:tr>
        <w:tc>
          <w:tcPr>
            <w:tcW w:type="dxa" w:w="9922"/>
            <w:shd w:fill="0B2438"/>
            <w:tcMar>
              <w:top w:w="180" w:type="dxa"/>
              <w:start w:w="210" w:type="dxa"/>
              <w:bottom w:w="180" w:type="dxa"/>
              <w:end w:w="210" w:type="dxa"/>
            </w:tcMar>
          </w:tcPr>
          <w:p>
            <w:r>
              <w:rPr>
                <w:rFonts w:ascii="Aptos" w:hAnsi="Aptos"/>
                <w:color w:val="FFFFFF"/>
                <w:sz w:val="18"/>
              </w:rPr>
              <w:t>You are supporting a synthetic healthcare education exercise. You are not the treating clinician and must not replace professional judgement. Do not provide a final diagnosis, prescribe, change a dose, provide reassurance or instruct anyone to delay urgent care. Separate supplied facts, patient-reported information, professional observations, assumptions, unknowns and AI-generated hypotheses. Do not invent findings, medicines, laboratory results, citations or guidelines. Identify red flags and information requiring urgent professional review. Use only the information and approved sources supplied. End with a section titled 'Human decision and verification required'.</w:t>
              <w:br/>
              <w:br/>
              <w:t>TASK</w:t>
              <w:br/>
              <w:t>Convert the question into a transparent rapid-research workflow. Produce PICO; concepts and synonyms; a draft PubMed Boolean query; inclusion and exclusion criteria; evidence-extraction fields; citation-verification checklist; bias/applicability questions; uncertainty log; and a statement of what this rapid review cannot conclude. Do not invent citations. Label every citation [UNVERIFIED] until located in PubMed, a registry or the original publication. Question: [PASTE]</w:t>
            </w:r>
          </w:p>
        </w:tc>
      </w:tr>
    </w:tbl>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948"/>
            <w:tcMar>
              <w:top w:w="100" w:type="dxa"/>
              <w:start w:w="130" w:type="dxa"/>
              <w:bottom w:w="100" w:type="dxa"/>
              <w:end w:w="130" w:type="dxa"/>
            </w:tcMar>
            <w:vAlign w:val="center"/>
            <w:shd w:fill="0B6E69"/>
          </w:tcPr>
          <w:p>
            <w:pPr>
              <w:spacing w:after="0"/>
              <w:jc w:val="center"/>
            </w:pPr>
            <w:r/>
            <w:r>
              <w:rPr>
                <w:rFonts w:ascii="Aptos" w:hAnsi="Aptos"/>
                <w:b/>
                <w:color w:val="FFFFFF"/>
                <w:sz w:val="16"/>
              </w:rPr>
              <w:t>Expected output</w:t>
            </w:r>
          </w:p>
        </w:tc>
        <w:tc>
          <w:tcPr>
            <w:tcW w:type="dxa" w:w="3288"/>
            <w:tcMar>
              <w:top w:w="100" w:type="dxa"/>
              <w:start w:w="130" w:type="dxa"/>
              <w:bottom w:w="100" w:type="dxa"/>
              <w:end w:w="130" w:type="dxa"/>
            </w:tcMar>
            <w:vAlign w:val="center"/>
            <w:shd w:fill="0B6E69"/>
          </w:tcPr>
          <w:p>
            <w:pPr>
              <w:spacing w:after="0"/>
              <w:jc w:val="center"/>
            </w:pPr>
            <w:r/>
            <w:r>
              <w:rPr>
                <w:rFonts w:ascii="Aptos" w:hAnsi="Aptos"/>
                <w:b/>
                <w:color w:val="FFFFFF"/>
                <w:sz w:val="16"/>
              </w:rPr>
              <w:t>Human checkpoint</w:t>
            </w:r>
          </w:p>
        </w:tc>
        <w:tc>
          <w:tcPr>
            <w:tcW w:type="dxa" w:w="3061"/>
            <w:tcMar>
              <w:top w:w="100" w:type="dxa"/>
              <w:start w:w="130" w:type="dxa"/>
              <w:bottom w:w="100" w:type="dxa"/>
              <w:end w:w="130" w:type="dxa"/>
            </w:tcMar>
            <w:vAlign w:val="center"/>
            <w:shd w:fill="0B6E69"/>
          </w:tcPr>
          <w:p>
            <w:pPr>
              <w:spacing w:after="0"/>
              <w:jc w:val="center"/>
            </w:pPr>
            <w:r/>
            <w:r>
              <w:rPr>
                <w:rFonts w:ascii="Aptos" w:hAnsi="Aptos"/>
                <w:b/>
                <w:color w:val="FFFFFF"/>
                <w:sz w:val="16"/>
              </w:rPr>
              <w:t>Failure to discuss</w:t>
            </w:r>
          </w:p>
        </w:tc>
      </w:tr>
      <w:tr>
        <w:tc>
          <w:tcPr>
            <w:tcW w:type="dxa" w:w="2948"/>
            <w:tcMar>
              <w:top w:w="100" w:type="dxa"/>
              <w:start w:w="130" w:type="dxa"/>
              <w:bottom w:w="100" w:type="dxa"/>
              <w:end w:w="130" w:type="dxa"/>
            </w:tcMar>
            <w:vAlign w:val="center"/>
            <w:shd w:fill="F7F4EE"/>
          </w:tcPr>
          <w:p>
            <w:pPr>
              <w:spacing w:after="0"/>
            </w:pPr>
            <w:r/>
            <w:r>
              <w:rPr>
                <w:rFonts w:ascii="Aptos" w:hAnsi="Aptos"/>
                <w:b w:val="0"/>
                <w:color w:val="18313F"/>
                <w:sz w:val="16"/>
              </w:rPr>
              <w:t>Search strategy, extraction frame and uncertainty log</w:t>
            </w:r>
          </w:p>
        </w:tc>
        <w:tc>
          <w:tcPr>
            <w:tcW w:type="dxa" w:w="3288"/>
            <w:tcMar>
              <w:top w:w="100" w:type="dxa"/>
              <w:start w:w="130" w:type="dxa"/>
              <w:bottom w:w="100" w:type="dxa"/>
              <w:end w:w="130" w:type="dxa"/>
            </w:tcMar>
            <w:vAlign w:val="center"/>
            <w:shd w:fill="F7F4EE"/>
          </w:tcPr>
          <w:p>
            <w:pPr>
              <w:spacing w:after="0"/>
            </w:pPr>
            <w:r/>
            <w:r>
              <w:rPr>
                <w:rFonts w:ascii="Aptos" w:hAnsi="Aptos"/>
                <w:b w:val="0"/>
                <w:color w:val="18313F"/>
                <w:sz w:val="16"/>
              </w:rPr>
              <w:t>Every citation and extracted field is verified in the original source; methods and limitations are documented.</w:t>
            </w:r>
          </w:p>
        </w:tc>
        <w:tc>
          <w:tcPr>
            <w:tcW w:type="dxa" w:w="3061"/>
            <w:tcMar>
              <w:top w:w="100" w:type="dxa"/>
              <w:start w:w="130" w:type="dxa"/>
              <w:bottom w:w="100" w:type="dxa"/>
              <w:end w:w="130" w:type="dxa"/>
            </w:tcMar>
            <w:vAlign w:val="center"/>
            <w:shd w:fill="F7F4EE"/>
          </w:tcPr>
          <w:p>
            <w:pPr>
              <w:spacing w:after="0"/>
            </w:pPr>
            <w:r/>
            <w:r>
              <w:rPr>
                <w:rFonts w:ascii="Aptos" w:hAnsi="Aptos"/>
                <w:b w:val="0"/>
                <w:color w:val="18313F"/>
                <w:sz w:val="16"/>
              </w:rPr>
              <w:t>A fluent synthesis with fabricated or mischaracterised studies.</w:t>
            </w:r>
          </w:p>
        </w:tc>
      </w:tr>
    </w:tbl>
    <w:p>
      <w:pPr>
        <w:spacing w:after="0"/>
      </w:pPr>
    </w:p>
    <w:p/>
    <w:p>
      <w:r>
        <w:br w:type="page"/>
      </w:r>
    </w:p>
    <w:p>
      <w:pPr>
        <w:pStyle w:val="Heading1"/>
      </w:pPr>
      <w:r>
        <w:t>POPLE tool scorecard</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531"/>
            <w:tcMar>
              <w:top w:w="100" w:type="dxa"/>
              <w:start w:w="130" w:type="dxa"/>
              <w:bottom w:w="100" w:type="dxa"/>
              <w:end w:w="130" w:type="dxa"/>
            </w:tcMar>
            <w:vAlign w:val="center"/>
            <w:shd w:fill="0B2438"/>
          </w:tcPr>
          <w:p>
            <w:pPr>
              <w:spacing w:after="0"/>
              <w:jc w:val="center"/>
            </w:pPr>
            <w:r/>
            <w:r>
              <w:rPr>
                <w:rFonts w:ascii="Aptos" w:hAnsi="Aptos"/>
                <w:b/>
                <w:color w:val="FFFFFF"/>
                <w:sz w:val="16"/>
              </w:rPr>
              <w:t>Dimension</w:t>
            </w:r>
          </w:p>
        </w:tc>
        <w:tc>
          <w:tcPr>
            <w:tcW w:type="dxa" w:w="4082"/>
            <w:tcMar>
              <w:top w:w="100" w:type="dxa"/>
              <w:start w:w="130" w:type="dxa"/>
              <w:bottom w:w="100" w:type="dxa"/>
              <w:end w:w="130" w:type="dxa"/>
            </w:tcMar>
            <w:vAlign w:val="center"/>
            <w:shd w:fill="0B2438"/>
          </w:tcPr>
          <w:p>
            <w:pPr>
              <w:spacing w:after="0"/>
              <w:jc w:val="center"/>
            </w:pPr>
            <w:r/>
            <w:r>
              <w:rPr>
                <w:rFonts w:ascii="Aptos" w:hAnsi="Aptos"/>
                <w:b/>
                <w:color w:val="FFFFFF"/>
                <w:sz w:val="16"/>
              </w:rPr>
              <w:t>Question</w:t>
            </w:r>
          </w:p>
        </w:tc>
        <w:tc>
          <w:tcPr>
            <w:tcW w:type="dxa" w:w="1191"/>
            <w:tcMar>
              <w:top w:w="100" w:type="dxa"/>
              <w:start w:w="130" w:type="dxa"/>
              <w:bottom w:w="100" w:type="dxa"/>
              <w:end w:w="130" w:type="dxa"/>
            </w:tcMar>
            <w:vAlign w:val="center"/>
            <w:shd w:fill="0B2438"/>
          </w:tcPr>
          <w:p>
            <w:pPr>
              <w:spacing w:after="0"/>
              <w:jc w:val="center"/>
            </w:pPr>
            <w:r/>
            <w:r>
              <w:rPr>
                <w:rFonts w:ascii="Aptos" w:hAnsi="Aptos"/>
                <w:b/>
                <w:color w:val="FFFFFF"/>
                <w:sz w:val="16"/>
              </w:rPr>
              <w:t>Score 1–5</w:t>
            </w:r>
          </w:p>
        </w:tc>
        <w:tc>
          <w:tcPr>
            <w:tcW w:type="dxa" w:w="2721"/>
            <w:tcMar>
              <w:top w:w="100" w:type="dxa"/>
              <w:start w:w="130" w:type="dxa"/>
              <w:bottom w:w="100" w:type="dxa"/>
              <w:end w:w="130" w:type="dxa"/>
            </w:tcMar>
            <w:vAlign w:val="center"/>
            <w:shd w:fill="0B2438"/>
          </w:tcPr>
          <w:p>
            <w:pPr>
              <w:spacing w:after="0"/>
              <w:jc w:val="center"/>
            </w:pPr>
            <w:r/>
            <w:r>
              <w:rPr>
                <w:rFonts w:ascii="Aptos" w:hAnsi="Aptos"/>
                <w:b/>
                <w:color w:val="FFFFFF"/>
                <w:sz w:val="16"/>
              </w:rPr>
              <w:t>Evidence</w:t>
            </w:r>
          </w:p>
        </w:tc>
      </w:tr>
      <w:tr>
        <w:tc>
          <w:tcPr>
            <w:tcW w:type="dxa" w:w="1531"/>
            <w:tcMar>
              <w:top w:w="100" w:type="dxa"/>
              <w:start w:w="130" w:type="dxa"/>
              <w:bottom w:w="100" w:type="dxa"/>
              <w:end w:w="130" w:type="dxa"/>
            </w:tcMar>
            <w:vAlign w:val="center"/>
            <w:shd w:fill="F7F4EE"/>
          </w:tcPr>
          <w:p>
            <w:pPr>
              <w:spacing w:after="0"/>
            </w:pPr>
            <w:r/>
            <w:r>
              <w:rPr>
                <w:rFonts w:ascii="Aptos" w:hAnsi="Aptos"/>
                <w:b w:val="0"/>
                <w:color w:val="18313F"/>
                <w:sz w:val="16"/>
              </w:rPr>
              <w:t>Patient value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Does it improve attention, understanding, access, continuity or safety?</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531"/>
            <w:tcMar>
              <w:top w:w="100" w:type="dxa"/>
              <w:start w:w="130" w:type="dxa"/>
              <w:bottom w:w="100" w:type="dxa"/>
              <w:end w:w="130" w:type="dxa"/>
            </w:tcMar>
            <w:vAlign w:val="center"/>
            <w:shd w:fill="FFFFFF"/>
          </w:tcPr>
          <w:p>
            <w:pPr>
              <w:spacing w:after="0"/>
            </w:pPr>
            <w:r/>
            <w:r>
              <w:rPr>
                <w:rFonts w:ascii="Aptos" w:hAnsi="Aptos"/>
                <w:b w:val="0"/>
                <w:color w:val="18313F"/>
                <w:sz w:val="16"/>
              </w:rPr>
              <w:t>Evidence</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Can I open original sources and see validation limits?</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72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531"/>
            <w:tcMar>
              <w:top w:w="100" w:type="dxa"/>
              <w:start w:w="130" w:type="dxa"/>
              <w:bottom w:w="100" w:type="dxa"/>
              <w:end w:w="130" w:type="dxa"/>
            </w:tcMar>
            <w:vAlign w:val="center"/>
            <w:shd w:fill="F7F4EE"/>
          </w:tcPr>
          <w:p>
            <w:pPr>
              <w:spacing w:after="0"/>
            </w:pPr>
            <w:r/>
            <w:r>
              <w:rPr>
                <w:rFonts w:ascii="Aptos" w:hAnsi="Aptos"/>
                <w:b w:val="0"/>
                <w:color w:val="18313F"/>
                <w:sz w:val="16"/>
              </w:rPr>
              <w:t>Ownership</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Who reviews, releases, escalates and audits?</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531"/>
            <w:tcMar>
              <w:top w:w="100" w:type="dxa"/>
              <w:start w:w="130" w:type="dxa"/>
              <w:bottom w:w="100" w:type="dxa"/>
              <w:end w:w="130" w:type="dxa"/>
            </w:tcMar>
            <w:vAlign w:val="center"/>
            <w:shd w:fill="FFFFFF"/>
          </w:tcPr>
          <w:p>
            <w:pPr>
              <w:spacing w:after="0"/>
            </w:pPr>
            <w:r/>
            <w:r>
              <w:rPr>
                <w:rFonts w:ascii="Aptos" w:hAnsi="Aptos"/>
                <w:b w:val="0"/>
                <w:color w:val="18313F"/>
                <w:sz w:val="16"/>
              </w:rPr>
              <w:t>Privacy</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Is data minimised, consented, secured and retained appropriately?</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721"/>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531"/>
            <w:tcMar>
              <w:top w:w="100" w:type="dxa"/>
              <w:start w:w="130" w:type="dxa"/>
              <w:bottom w:w="100" w:type="dxa"/>
              <w:end w:w="130" w:type="dxa"/>
            </w:tcMar>
            <w:vAlign w:val="center"/>
            <w:shd w:fill="F7F4EE"/>
          </w:tcPr>
          <w:p>
            <w:pPr>
              <w:spacing w:after="0"/>
            </w:pPr>
            <w:r/>
            <w:r>
              <w:rPr>
                <w:rFonts w:ascii="Aptos" w:hAnsi="Aptos"/>
                <w:b w:val="0"/>
                <w:color w:val="18313F"/>
                <w:sz w:val="16"/>
              </w:rPr>
              <w:t>Local fit</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Does it fit India access, language, protocol and workflow?</w:t>
            </w:r>
          </w:p>
        </w:tc>
        <w:tc>
          <w:tcPr>
            <w:tcW w:type="dxa" w:w="1191"/>
            <w:tcMar>
              <w:top w:w="100" w:type="dxa"/>
              <w:start w:w="130" w:type="dxa"/>
              <w:bottom w:w="100" w:type="dxa"/>
              <w:end w:w="130" w:type="dxa"/>
            </w:tcMar>
            <w:vAlign w:val="center"/>
            <w:shd w:fill="F7F4EE"/>
          </w:tcPr>
          <w:p>
            <w:pPr>
              <w:spacing w:after="0"/>
            </w:pPr>
            <w:r/>
            <w:r>
              <w:rPr>
                <w:rFonts w:ascii="Aptos" w:hAnsi="Aptos"/>
                <w:b w:val="0"/>
                <w:color w:val="18313F"/>
                <w:sz w:val="16"/>
              </w:rPr>
            </w:r>
          </w:p>
        </w:tc>
        <w:tc>
          <w:tcPr>
            <w:tcW w:type="dxa" w:w="2721"/>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531"/>
            <w:tcMar>
              <w:top w:w="100" w:type="dxa"/>
              <w:start w:w="130" w:type="dxa"/>
              <w:bottom w:w="100" w:type="dxa"/>
              <w:end w:w="130" w:type="dxa"/>
            </w:tcMar>
            <w:vAlign w:val="center"/>
            <w:shd w:fill="FFFFFF"/>
          </w:tcPr>
          <w:p>
            <w:pPr>
              <w:spacing w:after="0"/>
            </w:pPr>
            <w:r/>
            <w:r>
              <w:rPr>
                <w:rFonts w:ascii="Aptos" w:hAnsi="Aptos"/>
                <w:b w:val="0"/>
                <w:color w:val="18313F"/>
                <w:sz w:val="16"/>
              </w:rPr>
              <w:t>Effort</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What training, review burden, integration and cost appear?</w:t>
            </w:r>
          </w:p>
        </w:tc>
        <w:tc>
          <w:tcPr>
            <w:tcW w:type="dxa" w:w="1191"/>
            <w:tcMar>
              <w:top w:w="100" w:type="dxa"/>
              <w:start w:w="130" w:type="dxa"/>
              <w:bottom w:w="100" w:type="dxa"/>
              <w:end w:w="130" w:type="dxa"/>
            </w:tcMar>
            <w:vAlign w:val="center"/>
            <w:shd w:fill="FFFFFF"/>
          </w:tcPr>
          <w:p>
            <w:pPr>
              <w:spacing w:after="0"/>
            </w:pPr>
            <w:r/>
            <w:r>
              <w:rPr>
                <w:rFonts w:ascii="Aptos" w:hAnsi="Aptos"/>
                <w:b w:val="0"/>
                <w:color w:val="18313F"/>
                <w:sz w:val="16"/>
              </w:rPr>
            </w:r>
          </w:p>
        </w:tc>
        <w:tc>
          <w:tcPr>
            <w:tcW w:type="dxa" w:w="2721"/>
            <w:tcMar>
              <w:top w:w="100" w:type="dxa"/>
              <w:start w:w="130" w:type="dxa"/>
              <w:bottom w:w="100" w:type="dxa"/>
              <w:end w:w="130" w:type="dxa"/>
            </w:tcMar>
            <w:vAlign w:val="center"/>
            <w:shd w:fill="FFFFFF"/>
          </w:tcPr>
          <w:p>
            <w:pPr>
              <w:spacing w:after="0"/>
            </w:pPr>
            <w:r/>
            <w:r>
              <w:rPr>
                <w:rFonts w:ascii="Aptos" w:hAnsi="Aptos"/>
                <w:b w:val="0"/>
                <w:color w:val="18313F"/>
                <w:sz w:val="16"/>
              </w:rPr>
            </w:r>
          </w:p>
        </w:tc>
      </w:tr>
    </w:tbl>
    <w:p>
      <w:pPr>
        <w:spacing w:after="0"/>
      </w:pPr>
    </w:p>
    <w:tbl>
      <w:tblPr>
        <w:tblW w:type="auto" w:w="0"/>
        <w:jc w:val="center"/>
        <w:tblLook w:firstColumn="1" w:firstRow="1" w:lastColumn="0" w:lastRow="0" w:noHBand="0" w:noVBand="1" w:val="04A0"/>
      </w:tblPr>
      <w:tblGrid>
        <w:gridCol w:w="9922"/>
      </w:tblGrid>
      <w:tr>
        <w:tc>
          <w:tcPr>
            <w:tcW w:type="dxa" w:w="9922"/>
            <w:shd w:fill="FBE4DD"/>
            <w:tcMar>
              <w:top w:w="180" w:type="dxa"/>
              <w:start w:w="210" w:type="dxa"/>
              <w:bottom w:w="180" w:type="dxa"/>
              <w:end w:w="210" w:type="dxa"/>
            </w:tcMar>
          </w:tcPr>
          <w:p>
            <w:pPr>
              <w:spacing w:after="80"/>
            </w:pPr>
            <w:r>
              <w:rPr>
                <w:rFonts w:ascii="Aptos" w:hAnsi="Aptos"/>
                <w:b/>
                <w:color w:val="E76F51"/>
                <w:sz w:val="16"/>
              </w:rPr>
              <w:t>GATE</w:t>
            </w:r>
          </w:p>
          <w:p>
            <w:pPr>
              <w:spacing w:after="0"/>
            </w:pPr>
            <w:r>
              <w:rPr>
                <w:rFonts w:ascii="Aptos" w:hAnsi="Aptos"/>
                <w:color w:val="18313F"/>
                <w:sz w:val="19"/>
              </w:rPr>
              <w:t>Do not advance a tool with Ownership or Privacy below 3/5, even if the total score is high.</w:t>
            </w:r>
          </w:p>
        </w:tc>
      </w:tr>
    </w:tbl>
    <w:p>
      <w:pPr>
        <w:spacing w:after="0"/>
      </w:pPr>
    </w:p>
    <w:p>
      <w:pPr>
        <w:pStyle w:val="Heading1"/>
      </w:pPr>
      <w:r>
        <w:t>My 30-day controlled experiment</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tcMar>
              <w:top w:w="100" w:type="dxa"/>
              <w:start w:w="130" w:type="dxa"/>
              <w:bottom w:w="100" w:type="dxa"/>
              <w:end w:w="130" w:type="dxa"/>
            </w:tcMar>
            <w:vAlign w:val="center"/>
            <w:shd w:fill="356F99"/>
          </w:tcPr>
          <w:p>
            <w:pPr>
              <w:spacing w:after="0"/>
              <w:jc w:val="center"/>
            </w:pPr>
            <w:r/>
            <w:r>
              <w:rPr>
                <w:rFonts w:ascii="Aptos" w:hAnsi="Aptos"/>
                <w:b/>
                <w:color w:val="FFFFFF"/>
                <w:sz w:val="16"/>
              </w:rPr>
              <w:t>Step</w:t>
            </w:r>
          </w:p>
        </w:tc>
        <w:tc>
          <w:tcPr>
            <w:tcW w:type="dxa" w:w="4082"/>
            <w:tcMar>
              <w:top w:w="100" w:type="dxa"/>
              <w:start w:w="130" w:type="dxa"/>
              <w:bottom w:w="100" w:type="dxa"/>
              <w:end w:w="130" w:type="dxa"/>
            </w:tcMar>
            <w:vAlign w:val="center"/>
            <w:shd w:fill="356F99"/>
          </w:tcPr>
          <w:p>
            <w:pPr>
              <w:spacing w:after="0"/>
              <w:jc w:val="center"/>
            </w:pPr>
            <w:r/>
            <w:r>
              <w:rPr>
                <w:rFonts w:ascii="Aptos" w:hAnsi="Aptos"/>
                <w:b/>
                <w:color w:val="FFFFFF"/>
                <w:sz w:val="16"/>
              </w:rPr>
              <w:t>Decision</w:t>
            </w:r>
          </w:p>
        </w:tc>
        <w:tc>
          <w:tcPr>
            <w:tcW w:type="dxa" w:w="4082"/>
            <w:tcMar>
              <w:top w:w="100" w:type="dxa"/>
              <w:start w:w="130" w:type="dxa"/>
              <w:bottom w:w="100" w:type="dxa"/>
              <w:end w:w="130" w:type="dxa"/>
            </w:tcMar>
            <w:vAlign w:val="center"/>
            <w:shd w:fill="356F99"/>
          </w:tcPr>
          <w:p>
            <w:pPr>
              <w:spacing w:after="0"/>
              <w:jc w:val="center"/>
            </w:pPr>
            <w:r/>
            <w:r>
              <w:rPr>
                <w:rFonts w:ascii="Aptos" w:hAnsi="Aptos"/>
                <w:b/>
                <w:color w:val="FFFFFF"/>
                <w:sz w:val="16"/>
              </w:rPr>
              <w:t>My plan</w:t>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Use case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One friction point + one patient value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Baseline</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Time, errors, experience, access or quality before AI</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Pilot</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Small scope; synthetic/test first; named owner</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FFFFF"/>
          </w:tcPr>
          <w:p>
            <w:pPr>
              <w:spacing w:after="0"/>
            </w:pPr>
            <w:r/>
            <w:r>
              <w:rPr>
                <w:rFonts w:ascii="Aptos" w:hAnsi="Aptos"/>
                <w:b w:val="0"/>
                <w:color w:val="18313F"/>
                <w:sz w:val="16"/>
              </w:rPr>
              <w:t>Check</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t>Sampling, POPLE, incident path and stop rule</w:t>
            </w:r>
          </w:p>
        </w:tc>
        <w:tc>
          <w:tcPr>
            <w:tcW w:type="dxa" w:w="4082"/>
            <w:tcMar>
              <w:top w:w="100" w:type="dxa"/>
              <w:start w:w="130" w:type="dxa"/>
              <w:bottom w:w="100" w:type="dxa"/>
              <w:end w:w="130" w:type="dxa"/>
            </w:tcMar>
            <w:vAlign w:val="center"/>
            <w:shd w:fill="FFFFFF"/>
          </w:tcPr>
          <w:p>
            <w:pPr>
              <w:spacing w:after="0"/>
            </w:pPr>
            <w:r/>
            <w:r>
              <w:rPr>
                <w:rFonts w:ascii="Aptos" w:hAnsi="Aptos"/>
                <w:b w:val="0"/>
                <w:color w:val="18313F"/>
                <w:sz w:val="16"/>
              </w:rPr>
            </w:r>
          </w:p>
        </w:tc>
      </w:tr>
      <w:tr>
        <w:tc>
          <w:tcPr>
            <w:tcW w:type="dxa" w:w="1361"/>
            <w:tcMar>
              <w:top w:w="100" w:type="dxa"/>
              <w:start w:w="130" w:type="dxa"/>
              <w:bottom w:w="100" w:type="dxa"/>
              <w:end w:w="130" w:type="dxa"/>
            </w:tcMar>
            <w:vAlign w:val="center"/>
            <w:shd w:fill="F7F4EE"/>
          </w:tcPr>
          <w:p>
            <w:pPr>
              <w:spacing w:after="0"/>
            </w:pPr>
            <w:r/>
            <w:r>
              <w:rPr>
                <w:rFonts w:ascii="Aptos" w:hAnsi="Aptos"/>
                <w:b w:val="0"/>
                <w:color w:val="18313F"/>
                <w:sz w:val="16"/>
              </w:rPr>
              <w:t>Decide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t>Continue, redesign or stop on a named date</w:t>
            </w:r>
          </w:p>
        </w:tc>
        <w:tc>
          <w:tcPr>
            <w:tcW w:type="dxa" w:w="4082"/>
            <w:tcMar>
              <w:top w:w="100" w:type="dxa"/>
              <w:start w:w="130" w:type="dxa"/>
              <w:bottom w:w="100" w:type="dxa"/>
              <w:end w:w="130" w:type="dxa"/>
            </w:tcMar>
            <w:vAlign w:val="center"/>
            <w:shd w:fill="F7F4EE"/>
          </w:tcPr>
          <w:p>
            <w:pPr>
              <w:spacing w:after="0"/>
            </w:pPr>
            <w:r/>
            <w:r>
              <w:rPr>
                <w:rFonts w:ascii="Aptos" w:hAnsi="Aptos"/>
                <w:b w:val="0"/>
                <w:color w:val="18313F"/>
                <w:sz w:val="16"/>
              </w:rPr>
            </w:r>
          </w:p>
        </w:tc>
      </w:tr>
    </w:tbl>
    <w:p>
      <w:pPr>
        <w:spacing w:after="0"/>
      </w:pPr>
    </w:p>
    <w:p>
      <w:r>
        <w:rPr>
          <w:b/>
          <w:color w:val="0B6E69"/>
        </w:rPr>
        <w:t>My commitment:</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p>
      <w:pPr>
        <w:spacing w:after="80"/>
      </w:pPr>
      <w:r>
        <w:rPr>
          <w:color w:val="D5DEDF"/>
        </w:rPr>
        <w:t>________________________________________________________________________________</w:t>
      </w:r>
    </w:p>
    <w:sectPr w:rsidR="00FC693F" w:rsidRPr="0006063C" w:rsidSect="00034616">
      <w:headerReference w:type="default" r:id="rId9"/>
      <w:footerReference w:type="default" r:id="rId10"/>
      <w:pgSz w:w="11906" w:h="16838"/>
      <w:pgMar w:top="964" w:right="992" w:bottom="879" w:left="992" w:header="369"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2747E"/>
        <w:sz w:val="16"/>
      </w:rPr>
      <w:t xml:space="preserve">Patient-Centric Healthcare 5.0  •  Dr. Alok Tiwari  •  </w:t>
    </w:r>
    <w:r>
      <w:rPr>
        <w:color w:val="62747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6E69"/>
        <w:sz w:val="15"/>
      </w:rPr>
      <w:t>PARTICIPANT WORKBOOK • 60 + 90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2438"/>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E6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56F9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243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Patient-Centric Healthcare 5.0 – Participant Workbook</dc:title>
  <dc:subject>150-minute MDP for doctors and pharmaceutical professionals</dc:subject>
  <dc:creator>Dr. Alok Tiwari</dc:creator>
  <cp:keywords>patient centricity, medical AI, diagnosis, research, professional presence</cp:keywords>
  <dc:description>generated by python-docx</dc:description>
  <cp:lastModifiedBy/>
  <cp:revision>1</cp:revision>
  <dcterms:created xsi:type="dcterms:W3CDTF">2013-12-23T23:15:00Z</dcterms:created>
  <dcterms:modified xsi:type="dcterms:W3CDTF">2013-12-23T23:15:00Z</dcterms:modified>
  <cp:category/>
</cp:coreProperties>
</file>