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22"/>
      </w:tblGrid>
      <w:tr>
        <w:tc>
          <w:tcPr>
            <w:tcW w:type="dxa" w:w="9922"/>
            <w:shd w:fill="0B2438"/>
            <w:tcMar>
              <w:top w:w="540" w:type="dxa"/>
              <w:start w:w="430" w:type="dxa"/>
              <w:bottom w:w="540" w:type="dxa"/>
              <w:end w:w="430" w:type="dxa"/>
            </w:tcMar>
          </w:tcPr>
          <w:p>
            <w:pPr>
              <w:jc w:val="left"/>
            </w:pPr>
            <w:r>
              <w:rPr>
                <w:rFonts w:ascii="Aptos" w:hAnsi="Aptos"/>
                <w:b/>
                <w:color w:val="E76F51"/>
                <w:sz w:val="20"/>
              </w:rPr>
              <w:t>COMPLETE HANDBOOK</w:t>
            </w:r>
          </w:p>
          <w:p>
            <w:pPr>
              <w:spacing w:before="360" w:after="160"/>
            </w:pPr>
            <w:r>
              <w:rPr>
                <w:rFonts w:ascii="Aptos Display" w:hAnsi="Aptos Display"/>
                <w:b/>
                <w:color w:val="FFFFFF"/>
                <w:sz w:val="62"/>
              </w:rPr>
              <w:t>Patient-Centric Healthcare 5.0</w:t>
            </w:r>
          </w:p>
          <w:p>
            <w:r>
              <w:rPr>
                <w:rFonts w:ascii="Aptos" w:hAnsi="Aptos"/>
                <w:color w:val="DCE8EC"/>
                <w:sz w:val="28"/>
              </w:rPr>
              <w:t>Seven complete cases, four demonstration workshops, eleven prompts and a medical-AI implementation toolkit</w:t>
            </w:r>
          </w:p>
          <w:p>
            <w:pPr>
              <w:spacing w:before="1100"/>
            </w:pPr>
            <w:r>
              <w:rPr>
                <w:rFonts w:ascii="Aptos" w:hAnsi="Aptos"/>
                <w:b/>
                <w:color w:val="FFFFFF"/>
                <w:sz w:val="22"/>
              </w:rPr>
              <w:t>AI assists  •  Professionals decide  •  Patients remain the purpose</w:t>
            </w:r>
          </w:p>
        </w:tc>
      </w:tr>
    </w:tbl>
    <w:p/>
    <w:p>
      <w:pPr>
        <w:jc w:val="center"/>
      </w:pPr>
      <w:r>
        <w:rPr>
          <w:rFonts w:ascii="Aptos" w:hAnsi="Aptos"/>
          <w:color w:val="62747E"/>
          <w:sz w:val="20"/>
        </w:rPr>
        <w:t>Exactly 60 minutes theory + 90 minutes hands-on workshop</w:t>
      </w:r>
    </w:p>
    <w:p>
      <w:pPr>
        <w:jc w:val="center"/>
      </w:pPr>
      <w:r>
        <w:rPr>
          <w:rFonts w:ascii="Aptos" w:hAnsi="Aptos"/>
          <w:color w:val="62747E"/>
          <w:sz w:val="20"/>
        </w:rPr>
        <w:t>Doctors × Pharmaceutical Professionals</w:t>
      </w:r>
    </w:p>
    <w:p>
      <w:pPr>
        <w:jc w:val="center"/>
      </w:pPr>
      <w:r>
        <w:rPr>
          <w:rFonts w:ascii="Aptos" w:hAnsi="Aptos"/>
          <w:b/>
          <w:color w:val="0B2438"/>
          <w:sz w:val="20"/>
        </w:rPr>
        <w:t>Dr. Alok Tiwari</w:t>
      </w:r>
    </w:p>
    <w:p>
      <w:pPr>
        <w:jc w:val="center"/>
      </w:pPr>
      <w:r>
        <w:rPr>
          <w:rFonts w:ascii="Aptos" w:hAnsi="Aptos"/>
          <w:color w:val="62747E"/>
          <w:sz w:val="20"/>
        </w:rPr>
        <w:t>Assistant Professor – Big Data Analytics | Goa Institute of Management</w:t>
      </w:r>
    </w:p>
    <w:p>
      <w:pPr>
        <w:jc w:val="center"/>
      </w:pPr>
      <w:r>
        <w:rPr>
          <w:rFonts w:ascii="Aptos" w:hAnsi="Aptos"/>
          <w:color w:val="62747E"/>
          <w:sz w:val="20"/>
        </w:rPr>
        <w:t>Version 3.0 • 21 July 2026</w:t>
      </w:r>
    </w:p>
    <w:p>
      <w:r>
        <w:br w:type="page"/>
      </w:r>
    </w:p>
    <w:p>
      <w:pPr>
        <w:pStyle w:val="Heading1"/>
      </w:pPr>
      <w:r>
        <w:t>Table of contents</w:t>
      </w:r>
    </w:p>
    <w:p>
      <w:r>
        <w:fldChar w:fldCharType="begin"/>
        <w:instrText xml:space="preserve">TOC \o "1-3" \h \z \u</w:instrText>
        <w:fldChar w:fldCharType="separate">
          <w:t>Right-click and update this field in Word to refresh the table of contents.</w:t>
        </w:fldChar>
        <w:fldChar w:fldCharType="end"/>
      </w:r>
    </w:p>
    <w:tbl>
      <w:tblPr>
        <w:tblW w:type="auto" w:w="0"/>
        <w:jc w:val="center"/>
        <w:tblLook w:firstColumn="1" w:firstRow="1" w:lastColumn="0" w:lastRow="0" w:noHBand="0" w:noVBand="1" w:val="04A0"/>
      </w:tblPr>
      <w:tblGrid>
        <w:gridCol w:w="9922"/>
      </w:tblGrid>
      <w:tr>
        <w:tc>
          <w:tcPr>
            <w:tcW w:type="dxa" w:w="9922"/>
            <w:shd w:fill="DFECF5"/>
            <w:tcMar>
              <w:top w:w="180" w:type="dxa"/>
              <w:start w:w="210" w:type="dxa"/>
              <w:bottom w:w="180" w:type="dxa"/>
              <w:end w:w="210" w:type="dxa"/>
            </w:tcMar>
          </w:tcPr>
          <w:p>
            <w:pPr>
              <w:spacing w:after="80"/>
            </w:pPr>
            <w:r>
              <w:rPr>
                <w:rFonts w:ascii="Aptos" w:hAnsi="Aptos"/>
                <w:b/>
                <w:color w:val="356F99"/>
                <w:sz w:val="16"/>
              </w:rPr>
              <w:t>DIGITAL COMPANION</w:t>
            </w:r>
          </w:p>
          <w:p>
            <w:pPr>
              <w:spacing w:after="0"/>
            </w:pPr>
            <w:r>
              <w:rPr>
                <w:rFonts w:ascii="Aptos" w:hAnsi="Aptos"/>
                <w:color w:val="18313F"/>
                <w:sz w:val="19"/>
              </w:rPr>
              <w:t>The accompanying Streamlit app provides interactive navigation, tool filtering, readiness checks, prompt downloads and assessment.</w:t>
            </w:r>
          </w:p>
        </w:tc>
      </w:tr>
    </w:tbl>
    <w:p>
      <w:pPr>
        <w:spacing w:after="0"/>
      </w:pPr>
    </w:p>
    <w:p>
      <w:r>
        <w:br w:type="page"/>
      </w:r>
    </w:p>
    <w:p>
      <w:pPr>
        <w:pStyle w:val="Heading1"/>
      </w:pPr>
      <w:r>
        <w:t>How to use this handbook</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PURPOSE</w:t>
            </w:r>
          </w:p>
          <w:p>
            <w:pPr>
              <w:spacing w:after="0"/>
            </w:pPr>
            <w:r>
              <w:rPr>
                <w:rFonts w:ascii="Aptos" w:hAnsi="Aptos"/>
                <w:color w:val="18313F"/>
                <w:sz w:val="19"/>
              </w:rPr>
              <w:t>Use this as the single teaching companion for the 60-minute theory, 90-minute laboratory, independent case preparation and post-programme adoption planning.</w:t>
            </w:r>
          </w:p>
        </w:tc>
      </w:tr>
    </w:tbl>
    <w:p>
      <w:pPr>
        <w:spacing w:after="0"/>
      </w:pP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268"/>
            <w:tcMar>
              <w:top w:w="100" w:type="dxa"/>
              <w:start w:w="130" w:type="dxa"/>
              <w:bottom w:w="100" w:type="dxa"/>
              <w:end w:w="130" w:type="dxa"/>
            </w:tcMar>
            <w:vAlign w:val="center"/>
            <w:shd w:fill="356F99"/>
          </w:tcPr>
          <w:p>
            <w:pPr>
              <w:spacing w:after="0"/>
              <w:jc w:val="center"/>
            </w:pPr>
            <w:r/>
            <w:r>
              <w:rPr>
                <w:rFonts w:ascii="Aptos" w:hAnsi="Aptos"/>
                <w:b/>
                <w:color w:val="FFFFFF"/>
                <w:sz w:val="16"/>
              </w:rPr>
              <w:t>Audience</w:t>
            </w:r>
          </w:p>
        </w:tc>
        <w:tc>
          <w:tcPr>
            <w:tcW w:type="dxa" w:w="7257"/>
            <w:tcMar>
              <w:top w:w="100" w:type="dxa"/>
              <w:start w:w="130" w:type="dxa"/>
              <w:bottom w:w="100" w:type="dxa"/>
              <w:end w:w="130" w:type="dxa"/>
            </w:tcMar>
            <w:vAlign w:val="center"/>
            <w:shd w:fill="356F99"/>
          </w:tcPr>
          <w:p>
            <w:pPr>
              <w:spacing w:after="0"/>
              <w:jc w:val="center"/>
            </w:pPr>
            <w:r/>
            <w:r>
              <w:rPr>
                <w:rFonts w:ascii="Aptos" w:hAnsi="Aptos"/>
                <w:b/>
                <w:color w:val="FFFFFF"/>
                <w:sz w:val="16"/>
              </w:rPr>
              <w:t>Use</w:t>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Facilitator</w:t>
            </w:r>
          </w:p>
        </w:tc>
        <w:tc>
          <w:tcPr>
            <w:tcW w:type="dxa" w:w="7257"/>
            <w:tcMar>
              <w:top w:w="100" w:type="dxa"/>
              <w:start w:w="130" w:type="dxa"/>
              <w:bottom w:w="100" w:type="dxa"/>
              <w:end w:w="130" w:type="dxa"/>
            </w:tcMar>
            <w:vAlign w:val="center"/>
            <w:shd w:fill="F7F4EE"/>
          </w:tcPr>
          <w:p>
            <w:pPr>
              <w:spacing w:after="0"/>
            </w:pPr>
            <w:r/>
            <w:r>
              <w:rPr>
                <w:rFonts w:ascii="Aptos" w:hAnsi="Aptos"/>
                <w:b w:val="0"/>
                <w:color w:val="18313F"/>
                <w:sz w:val="16"/>
              </w:rPr>
              <w:t>Run the exact clock, introduce evidence labels, conduct specialised-tool demonstrations and protect the debrief.</w:t>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Doctors</w:t>
            </w:r>
          </w:p>
        </w:tc>
        <w:tc>
          <w:tcPr>
            <w:tcW w:type="dxa" w:w="7257"/>
            <w:tcMar>
              <w:top w:w="100" w:type="dxa"/>
              <w:start w:w="130" w:type="dxa"/>
              <w:bottom w:w="100" w:type="dxa"/>
              <w:end w:w="130" w:type="dxa"/>
            </w:tcMar>
            <w:vAlign w:val="center"/>
            <w:shd w:fill="FFFFFF"/>
          </w:tcPr>
          <w:p>
            <w:pPr>
              <w:spacing w:after="0"/>
            </w:pPr>
            <w:r/>
            <w:r>
              <w:rPr>
                <w:rFonts w:ascii="Aptos" w:hAnsi="Aptos"/>
                <w:b w:val="0"/>
                <w:color w:val="18313F"/>
                <w:sz w:val="16"/>
              </w:rPr>
              <w:t>Practise patient communication, diagnostic support, medicine verification, workflow design and professional accountability.</w:t>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Pharma professionals</w:t>
            </w:r>
          </w:p>
        </w:tc>
        <w:tc>
          <w:tcPr>
            <w:tcW w:type="dxa" w:w="7257"/>
            <w:tcMar>
              <w:top w:w="100" w:type="dxa"/>
              <w:start w:w="130" w:type="dxa"/>
              <w:bottom w:w="100" w:type="dxa"/>
              <w:end w:w="130" w:type="dxa"/>
            </w:tcMar>
            <w:vAlign w:val="center"/>
            <w:shd w:fill="F7F4EE"/>
          </w:tcPr>
          <w:p>
            <w:pPr>
              <w:spacing w:after="0"/>
            </w:pPr>
            <w:r/>
            <w:r>
              <w:rPr>
                <w:rFonts w:ascii="Aptos" w:hAnsi="Aptos"/>
                <w:b w:val="0"/>
                <w:color w:val="18313F"/>
                <w:sz w:val="16"/>
              </w:rPr>
              <w:t>Practise neutral medical information, PV/PQC escalation, MLR review, patient education, evidence and professional boundaries.</w:t>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Participants</w:t>
            </w:r>
          </w:p>
        </w:tc>
        <w:tc>
          <w:tcPr>
            <w:tcW w:type="dxa" w:w="7257"/>
            <w:tcMar>
              <w:top w:w="100" w:type="dxa"/>
              <w:start w:w="130" w:type="dxa"/>
              <w:bottom w:w="100" w:type="dxa"/>
              <w:end w:w="130" w:type="dxa"/>
            </w:tcMar>
            <w:vAlign w:val="center"/>
            <w:shd w:fill="FFFFFF"/>
          </w:tcPr>
          <w:p>
            <w:pPr>
              <w:spacing w:after="0"/>
            </w:pPr>
            <w:r/>
            <w:r>
              <w:rPr>
                <w:rFonts w:ascii="Aptos" w:hAnsi="Aptos"/>
                <w:b w:val="0"/>
                <w:color w:val="18313F"/>
                <w:sz w:val="16"/>
              </w:rPr>
              <w:t>Use the prompts and worksheets with synthetic/approved data, then design one controlled 30-day experiment.</w:t>
            </w:r>
          </w:p>
        </w:tc>
      </w:tr>
    </w:tbl>
    <w:p>
      <w:pPr>
        <w:spacing w:after="0"/>
      </w:pPr>
    </w:p>
    <w:p>
      <w:pPr>
        <w:pStyle w:val="Heading2"/>
      </w:pPr>
      <w:r>
        <w:t>Non-negotiable safety contract</w:t>
      </w:r>
    </w:p>
    <w:p>
      <w:pPr>
        <w:pStyle w:val="ListBullet"/>
        <w:spacing w:after="60"/>
        <w:ind w:left="312" w:hanging="142"/>
      </w:pPr>
      <w:r>
        <w:t>Use only synthetic/de-identified examples or approved public information in training.</w:t>
      </w:r>
    </w:p>
    <w:p>
      <w:pPr>
        <w:pStyle w:val="ListBullet"/>
        <w:spacing w:after="60"/>
        <w:ind w:left="312" w:hanging="142"/>
      </w:pPr>
      <w:r>
        <w:t>Do not use an AI assistant to make a final diagnosis, prescribe, change a dose, reassure away a red flag or delay urgent care.</w:t>
      </w:r>
    </w:p>
    <w:p>
      <w:pPr>
        <w:pStyle w:val="ListBullet"/>
        <w:spacing w:after="60"/>
        <w:ind w:left="312" w:hanging="142"/>
      </w:pPr>
      <w:r>
        <w:t>Do not enter output into a record, send it to a patient or publish it externally without the named professional review.</w:t>
      </w:r>
    </w:p>
    <w:p>
      <w:pPr>
        <w:pStyle w:val="ListBullet"/>
        <w:spacing w:after="60"/>
        <w:ind w:left="312" w:hanging="142"/>
      </w:pPr>
      <w:r>
        <w:t>Open original evidence; verify citations, calculations, medicine facts, guidelines, labels and local protocols.</w:t>
      </w:r>
    </w:p>
    <w:p>
      <w:pPr>
        <w:pStyle w:val="ListBullet"/>
        <w:spacing w:after="60"/>
        <w:ind w:left="312" w:hanging="142"/>
      </w:pPr>
      <w:r>
        <w:t>Follow organisational privacy, clinical governance, MI, pharmacovigilance, product-quality and MLR procedures.</w:t>
      </w:r>
    </w:p>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UNIVERSAL DISCUSSION WRAPPER</w:t>
            </w:r>
          </w:p>
          <w:p>
            <w:pPr>
              <w:spacing w:after="0"/>
            </w:pPr>
            <w:r>
              <w:rPr>
                <w:rFonts w:ascii="Aptos" w:hAnsi="Aptos"/>
                <w:color w:val="18313F"/>
                <w:sz w:val="19"/>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r>
          </w:p>
        </w:tc>
      </w:tr>
    </w:tbl>
    <w:p>
      <w:pPr>
        <w:spacing w:after="0"/>
      </w:pPr>
    </w:p>
    <w:p>
      <w:r>
        <w:br w:type="page"/>
      </w:r>
    </w:p>
    <w:p>
      <w:pPr>
        <w:pStyle w:val="Heading1"/>
      </w:pPr>
      <w:r>
        <w:t>Programme architecture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01"/>
            <w:tcMar>
              <w:top w:w="100" w:type="dxa"/>
              <w:start w:w="130" w:type="dxa"/>
              <w:bottom w:w="100" w:type="dxa"/>
              <w:end w:w="130" w:type="dxa"/>
            </w:tcMar>
            <w:vAlign w:val="center"/>
            <w:shd w:fill="0B2438"/>
          </w:tcPr>
          <w:p>
            <w:pPr>
              <w:spacing w:after="0"/>
              <w:jc w:val="center"/>
            </w:pPr>
            <w:r/>
            <w:r>
              <w:rPr>
                <w:rFonts w:ascii="Aptos" w:hAnsi="Aptos"/>
                <w:b/>
                <w:color w:val="FFFFFF"/>
                <w:sz w:val="16"/>
              </w:rPr>
              <w:t>Block</w:t>
            </w:r>
          </w:p>
        </w:tc>
        <w:tc>
          <w:tcPr>
            <w:tcW w:type="dxa" w:w="1134"/>
            <w:tcMar>
              <w:top w:w="100" w:type="dxa"/>
              <w:start w:w="130" w:type="dxa"/>
              <w:bottom w:w="100" w:type="dxa"/>
              <w:end w:w="130" w:type="dxa"/>
            </w:tcMar>
            <w:vAlign w:val="center"/>
            <w:shd w:fill="0B2438"/>
          </w:tcPr>
          <w:p>
            <w:pPr>
              <w:spacing w:after="0"/>
              <w:jc w:val="center"/>
            </w:pPr>
            <w:r/>
            <w:r>
              <w:rPr>
                <w:rFonts w:ascii="Aptos" w:hAnsi="Aptos"/>
                <w:b/>
                <w:color w:val="FFFFFF"/>
                <w:sz w:val="16"/>
              </w:rPr>
              <w:t>Time</w:t>
            </w:r>
          </w:p>
        </w:tc>
        <w:tc>
          <w:tcPr>
            <w:tcW w:type="dxa" w:w="3855"/>
            <w:tcMar>
              <w:top w:w="100" w:type="dxa"/>
              <w:start w:w="130" w:type="dxa"/>
              <w:bottom w:w="100" w:type="dxa"/>
              <w:end w:w="130" w:type="dxa"/>
            </w:tcMar>
            <w:vAlign w:val="center"/>
            <w:shd w:fill="0B2438"/>
          </w:tcPr>
          <w:p>
            <w:pPr>
              <w:spacing w:after="0"/>
              <w:jc w:val="center"/>
            </w:pPr>
            <w:r/>
            <w:r>
              <w:rPr>
                <w:rFonts w:ascii="Aptos" w:hAnsi="Aptos"/>
                <w:b/>
                <w:color w:val="FFFFFF"/>
                <w:sz w:val="16"/>
              </w:rPr>
              <w:t>Method</w:t>
            </w:r>
          </w:p>
        </w:tc>
        <w:tc>
          <w:tcPr>
            <w:tcW w:type="dxa" w:w="2835"/>
            <w:tcMar>
              <w:top w:w="100" w:type="dxa"/>
              <w:start w:w="130" w:type="dxa"/>
              <w:bottom w:w="100" w:type="dxa"/>
              <w:end w:w="130" w:type="dxa"/>
            </w:tcMar>
            <w:vAlign w:val="center"/>
            <w:shd w:fill="0B2438"/>
          </w:tcPr>
          <w:p>
            <w:pPr>
              <w:spacing w:after="0"/>
              <w:jc w:val="center"/>
            </w:pPr>
            <w:r/>
            <w:r>
              <w:rPr>
                <w:rFonts w:ascii="Aptos" w:hAnsi="Aptos"/>
                <w:b/>
                <w:color w:val="FFFFFF"/>
                <w:sz w:val="16"/>
              </w:rPr>
              <w:t>Output</w:t>
            </w:r>
          </w:p>
        </w:tc>
      </w:tr>
      <w:tr>
        <w:tc>
          <w:tcPr>
            <w:tcW w:type="dxa" w:w="1701"/>
            <w:tcMar>
              <w:top w:w="100" w:type="dxa"/>
              <w:start w:w="130" w:type="dxa"/>
              <w:bottom w:w="100" w:type="dxa"/>
              <w:end w:w="130" w:type="dxa"/>
            </w:tcMar>
            <w:vAlign w:val="center"/>
            <w:shd w:fill="F7F4EE"/>
          </w:tcPr>
          <w:p>
            <w:pPr>
              <w:spacing w:after="0"/>
            </w:pPr>
            <w:r/>
            <w:r>
              <w:rPr>
                <w:rFonts w:ascii="Aptos" w:hAnsi="Aptos"/>
                <w:b w:val="0"/>
                <w:color w:val="18313F"/>
                <w:sz w:val="16"/>
              </w:rPr>
              <w:t>Theory</w:t>
            </w:r>
          </w:p>
        </w:tc>
        <w:tc>
          <w:tcPr>
            <w:tcW w:type="dxa" w:w="1134"/>
            <w:tcMar>
              <w:top w:w="100" w:type="dxa"/>
              <w:start w:w="130" w:type="dxa"/>
              <w:bottom w:w="100" w:type="dxa"/>
              <w:end w:w="130" w:type="dxa"/>
            </w:tcMar>
            <w:vAlign w:val="center"/>
            <w:shd w:fill="F7F4EE"/>
          </w:tcPr>
          <w:p>
            <w:pPr>
              <w:spacing w:after="0"/>
            </w:pPr>
            <w:r/>
            <w:r>
              <w:rPr>
                <w:rFonts w:ascii="Aptos" w:hAnsi="Aptos"/>
                <w:b w:val="0"/>
                <w:color w:val="18313F"/>
                <w:sz w:val="16"/>
              </w:rPr>
              <w:t>60 min</w:t>
            </w:r>
          </w:p>
        </w:tc>
        <w:tc>
          <w:tcPr>
            <w:tcW w:type="dxa" w:w="3855"/>
            <w:tcMar>
              <w:top w:w="100" w:type="dxa"/>
              <w:start w:w="130" w:type="dxa"/>
              <w:bottom w:w="100" w:type="dxa"/>
              <w:end w:w="130" w:type="dxa"/>
            </w:tcMar>
            <w:vAlign w:val="center"/>
            <w:shd w:fill="F7F4EE"/>
          </w:tcPr>
          <w:p>
            <w:pPr>
              <w:spacing w:after="0"/>
            </w:pPr>
            <w:r/>
            <w:r>
              <w:rPr>
                <w:rFonts w:ascii="Aptos" w:hAnsi="Aptos"/>
                <w:b w:val="0"/>
                <w:color w:val="18313F"/>
                <w:sz w:val="16"/>
              </w:rPr>
              <w:t>Seven evidence-labelled cases and guided discussion</w:t>
            </w:r>
          </w:p>
        </w:tc>
        <w:tc>
          <w:tcPr>
            <w:tcW w:type="dxa" w:w="2835"/>
            <w:tcMar>
              <w:top w:w="100" w:type="dxa"/>
              <w:start w:w="130" w:type="dxa"/>
              <w:bottom w:w="100" w:type="dxa"/>
              <w:end w:w="130" w:type="dxa"/>
            </w:tcMar>
            <w:vAlign w:val="center"/>
            <w:shd w:fill="F7F4EE"/>
          </w:tcPr>
          <w:p>
            <w:pPr>
              <w:spacing w:after="0"/>
            </w:pPr>
            <w:r/>
            <w:r>
              <w:rPr>
                <w:rFonts w:ascii="Aptos" w:hAnsi="Aptos"/>
                <w:b w:val="0"/>
                <w:color w:val="18313F"/>
                <w:sz w:val="16"/>
              </w:rPr>
              <w:t>Patient-centric operating principles</w:t>
            </w:r>
          </w:p>
        </w:tc>
      </w:tr>
      <w:tr>
        <w:tc>
          <w:tcPr>
            <w:tcW w:type="dxa" w:w="1701"/>
            <w:tcMar>
              <w:top w:w="100" w:type="dxa"/>
              <w:start w:w="130" w:type="dxa"/>
              <w:bottom w:w="100" w:type="dxa"/>
              <w:end w:w="130" w:type="dxa"/>
            </w:tcMar>
            <w:vAlign w:val="center"/>
            <w:shd w:fill="FFFFFF"/>
          </w:tcPr>
          <w:p>
            <w:pPr>
              <w:spacing w:after="0"/>
            </w:pPr>
            <w:r/>
            <w:r>
              <w:rPr>
                <w:rFonts w:ascii="Aptos" w:hAnsi="Aptos"/>
                <w:b w:val="0"/>
                <w:color w:val="18313F"/>
                <w:sz w:val="16"/>
              </w:rPr>
              <w:t>Workshop launch</w:t>
            </w:r>
          </w:p>
        </w:tc>
        <w:tc>
          <w:tcPr>
            <w:tcW w:type="dxa" w:w="1134"/>
            <w:tcMar>
              <w:top w:w="100" w:type="dxa"/>
              <w:start w:w="130" w:type="dxa"/>
              <w:bottom w:w="100" w:type="dxa"/>
              <w:end w:w="130" w:type="dxa"/>
            </w:tcMar>
            <w:vAlign w:val="center"/>
            <w:shd w:fill="FFFFFF"/>
          </w:tcPr>
          <w:p>
            <w:pPr>
              <w:spacing w:after="0"/>
            </w:pPr>
            <w:r/>
            <w:r>
              <w:rPr>
                <w:rFonts w:ascii="Aptos" w:hAnsi="Aptos"/>
                <w:b w:val="0"/>
                <w:color w:val="18313F"/>
                <w:sz w:val="16"/>
              </w:rPr>
              <w:t>8 min</w:t>
            </w:r>
          </w:p>
        </w:tc>
        <w:tc>
          <w:tcPr>
            <w:tcW w:type="dxa" w:w="3855"/>
            <w:tcMar>
              <w:top w:w="100" w:type="dxa"/>
              <w:start w:w="130" w:type="dxa"/>
              <w:bottom w:w="100" w:type="dxa"/>
              <w:end w:w="130" w:type="dxa"/>
            </w:tcMar>
            <w:vAlign w:val="center"/>
            <w:shd w:fill="FFFFFF"/>
          </w:tcPr>
          <w:p>
            <w:pPr>
              <w:spacing w:after="0"/>
            </w:pPr>
            <w:r/>
            <w:r>
              <w:rPr>
                <w:rFonts w:ascii="Aptos" w:hAnsi="Aptos"/>
                <w:b w:val="0"/>
                <w:color w:val="18313F"/>
                <w:sz w:val="16"/>
              </w:rPr>
              <w:t>Access map and universal safety wrapper</w:t>
            </w:r>
          </w:p>
        </w:tc>
        <w:tc>
          <w:tcPr>
            <w:tcW w:type="dxa" w:w="2835"/>
            <w:tcMar>
              <w:top w:w="100" w:type="dxa"/>
              <w:start w:w="130" w:type="dxa"/>
              <w:bottom w:w="100" w:type="dxa"/>
              <w:end w:w="130" w:type="dxa"/>
            </w:tcMar>
            <w:vAlign w:val="center"/>
            <w:shd w:fill="FFFFFF"/>
          </w:tcPr>
          <w:p>
            <w:pPr>
              <w:spacing w:after="0"/>
            </w:pPr>
            <w:r/>
            <w:r>
              <w:rPr>
                <w:rFonts w:ascii="Aptos" w:hAnsi="Aptos"/>
                <w:b w:val="0"/>
                <w:color w:val="18313F"/>
                <w:sz w:val="16"/>
              </w:rPr>
              <w:t>Group roles and safe-input contract</w:t>
            </w:r>
          </w:p>
        </w:tc>
      </w:tr>
      <w:tr>
        <w:tc>
          <w:tcPr>
            <w:tcW w:type="dxa" w:w="1701"/>
            <w:tcMar>
              <w:top w:w="100" w:type="dxa"/>
              <w:start w:w="130" w:type="dxa"/>
              <w:bottom w:w="100" w:type="dxa"/>
              <w:end w:w="130" w:type="dxa"/>
            </w:tcMar>
            <w:vAlign w:val="center"/>
            <w:shd w:fill="F7F4EE"/>
          </w:tcPr>
          <w:p>
            <w:pPr>
              <w:spacing w:after="0"/>
            </w:pPr>
            <w:r/>
            <w:r>
              <w:rPr>
                <w:rFonts w:ascii="Aptos" w:hAnsi="Aptos"/>
                <w:b w:val="0"/>
                <w:color w:val="18313F"/>
                <w:sz w:val="16"/>
              </w:rPr>
              <w:t>Four stations</w:t>
            </w:r>
          </w:p>
        </w:tc>
        <w:tc>
          <w:tcPr>
            <w:tcW w:type="dxa" w:w="1134"/>
            <w:tcMar>
              <w:top w:w="100" w:type="dxa"/>
              <w:start w:w="130" w:type="dxa"/>
              <w:bottom w:w="100" w:type="dxa"/>
              <w:end w:w="130" w:type="dxa"/>
            </w:tcMar>
            <w:vAlign w:val="center"/>
            <w:shd w:fill="F7F4EE"/>
          </w:tcPr>
          <w:p>
            <w:pPr>
              <w:spacing w:after="0"/>
            </w:pPr>
            <w:r/>
            <w:r>
              <w:rPr>
                <w:rFonts w:ascii="Aptos" w:hAnsi="Aptos"/>
                <w:b w:val="0"/>
                <w:color w:val="18313F"/>
                <w:sz w:val="16"/>
              </w:rPr>
              <w:t>75 min</w:t>
            </w:r>
          </w:p>
        </w:tc>
        <w:tc>
          <w:tcPr>
            <w:tcW w:type="dxa" w:w="3855"/>
            <w:tcMar>
              <w:top w:w="100" w:type="dxa"/>
              <w:start w:w="130" w:type="dxa"/>
              <w:bottom w:w="100" w:type="dxa"/>
              <w:end w:w="130" w:type="dxa"/>
            </w:tcMar>
            <w:vAlign w:val="center"/>
            <w:shd w:fill="F7F4EE"/>
          </w:tcPr>
          <w:p>
            <w:pPr>
              <w:spacing w:after="0"/>
            </w:pPr>
            <w:r/>
            <w:r>
              <w:rPr>
                <w:rFonts w:ascii="Aptos" w:hAnsi="Aptos"/>
                <w:b w:val="0"/>
                <w:color w:val="18313F"/>
                <w:sz w:val="16"/>
              </w:rPr>
              <w:t>Specialised-tool demonstration + paired ChatGPT practice</w:t>
            </w:r>
          </w:p>
        </w:tc>
        <w:tc>
          <w:tcPr>
            <w:tcW w:type="dxa" w:w="2835"/>
            <w:tcMar>
              <w:top w:w="100" w:type="dxa"/>
              <w:start w:w="130" w:type="dxa"/>
              <w:bottom w:w="100" w:type="dxa"/>
              <w:end w:w="130" w:type="dxa"/>
            </w:tcMar>
            <w:vAlign w:val="center"/>
            <w:shd w:fill="F7F4EE"/>
          </w:tcPr>
          <w:p>
            <w:pPr>
              <w:spacing w:after="0"/>
            </w:pPr>
            <w:r/>
            <w:r>
              <w:rPr>
                <w:rFonts w:ascii="Aptos" w:hAnsi="Aptos"/>
                <w:b w:val="0"/>
                <w:color w:val="18313F"/>
                <w:sz w:val="16"/>
              </w:rPr>
              <w:t>Four reviewed workflow outputs</w:t>
            </w:r>
          </w:p>
        </w:tc>
      </w:tr>
      <w:tr>
        <w:tc>
          <w:tcPr>
            <w:tcW w:type="dxa" w:w="1701"/>
            <w:tcMar>
              <w:top w:w="100" w:type="dxa"/>
              <w:start w:w="130" w:type="dxa"/>
              <w:bottom w:w="100" w:type="dxa"/>
              <w:end w:w="130" w:type="dxa"/>
            </w:tcMar>
            <w:vAlign w:val="center"/>
            <w:shd w:fill="FFFFFF"/>
          </w:tcPr>
          <w:p>
            <w:pPr>
              <w:spacing w:after="0"/>
            </w:pPr>
            <w:r/>
            <w:r>
              <w:rPr>
                <w:rFonts w:ascii="Aptos" w:hAnsi="Aptos"/>
                <w:b w:val="0"/>
                <w:color w:val="18313F"/>
                <w:sz w:val="16"/>
              </w:rPr>
              <w:t>Synthesis</w:t>
            </w:r>
          </w:p>
        </w:tc>
        <w:tc>
          <w:tcPr>
            <w:tcW w:type="dxa" w:w="1134"/>
            <w:tcMar>
              <w:top w:w="100" w:type="dxa"/>
              <w:start w:w="130" w:type="dxa"/>
              <w:bottom w:w="100" w:type="dxa"/>
              <w:end w:w="130" w:type="dxa"/>
            </w:tcMar>
            <w:vAlign w:val="center"/>
            <w:shd w:fill="FFFFFF"/>
          </w:tcPr>
          <w:p>
            <w:pPr>
              <w:spacing w:after="0"/>
            </w:pPr>
            <w:r/>
            <w:r>
              <w:rPr>
                <w:rFonts w:ascii="Aptos" w:hAnsi="Aptos"/>
                <w:b w:val="0"/>
                <w:color w:val="18313F"/>
                <w:sz w:val="16"/>
              </w:rPr>
              <w:t>7 min</w:t>
            </w:r>
          </w:p>
        </w:tc>
        <w:tc>
          <w:tcPr>
            <w:tcW w:type="dxa" w:w="3855"/>
            <w:tcMar>
              <w:top w:w="100" w:type="dxa"/>
              <w:start w:w="130" w:type="dxa"/>
              <w:bottom w:w="100" w:type="dxa"/>
              <w:end w:w="130" w:type="dxa"/>
            </w:tcMar>
            <w:vAlign w:val="center"/>
            <w:shd w:fill="FFFFFF"/>
          </w:tcPr>
          <w:p>
            <w:pPr>
              <w:spacing w:after="0"/>
            </w:pPr>
            <w:r/>
            <w:r>
              <w:rPr>
                <w:rFonts w:ascii="Aptos" w:hAnsi="Aptos"/>
                <w:b w:val="0"/>
                <w:color w:val="18313F"/>
                <w:sz w:val="16"/>
              </w:rPr>
              <w:t>POPLE scorecard and 30-day commitment</w:t>
            </w:r>
          </w:p>
        </w:tc>
        <w:tc>
          <w:tcPr>
            <w:tcW w:type="dxa" w:w="2835"/>
            <w:tcMar>
              <w:top w:w="100" w:type="dxa"/>
              <w:start w:w="130" w:type="dxa"/>
              <w:bottom w:w="100" w:type="dxa"/>
              <w:end w:w="130" w:type="dxa"/>
            </w:tcMar>
            <w:vAlign w:val="center"/>
            <w:shd w:fill="FFFFFF"/>
          </w:tcPr>
          <w:p>
            <w:pPr>
              <w:spacing w:after="0"/>
            </w:pPr>
            <w:r/>
            <w:r>
              <w:rPr>
                <w:rFonts w:ascii="Aptos" w:hAnsi="Aptos"/>
                <w:b w:val="0"/>
                <w:color w:val="18313F"/>
                <w:sz w:val="16"/>
              </w:rPr>
              <w:t>Controlled adoption experiment</w:t>
            </w:r>
          </w:p>
        </w:tc>
      </w:tr>
    </w:tbl>
    <w:p>
      <w:pPr>
        <w:spacing w:after="0"/>
      </w:pPr>
    </w:p>
    <w:p>
      <w:pPr>
        <w:pStyle w:val="Heading2"/>
      </w:pPr>
      <w:r>
        <w:t>Theory clock — exactly 60 minutes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247"/>
            <w:tcMar>
              <w:top w:w="100" w:type="dxa"/>
              <w:start w:w="130" w:type="dxa"/>
              <w:bottom w:w="100" w:type="dxa"/>
              <w:end w:w="130" w:type="dxa"/>
            </w:tcMar>
            <w:vAlign w:val="center"/>
            <w:shd w:fill="E76F51"/>
          </w:tcPr>
          <w:p>
            <w:pPr>
              <w:spacing w:after="0"/>
              <w:jc w:val="center"/>
            </w:pPr>
            <w:r/>
            <w:r>
              <w:rPr>
                <w:rFonts w:ascii="Aptos" w:hAnsi="Aptos"/>
                <w:b/>
                <w:color w:val="FFFFFF"/>
                <w:sz w:val="16"/>
              </w:rPr>
              <w:t>Clock</w:t>
            </w:r>
          </w:p>
        </w:tc>
        <w:tc>
          <w:tcPr>
            <w:tcW w:type="dxa" w:w="2948"/>
            <w:tcMar>
              <w:top w:w="100" w:type="dxa"/>
              <w:start w:w="130" w:type="dxa"/>
              <w:bottom w:w="100" w:type="dxa"/>
              <w:end w:w="130" w:type="dxa"/>
            </w:tcMar>
            <w:vAlign w:val="center"/>
            <w:shd w:fill="E76F51"/>
          </w:tcPr>
          <w:p>
            <w:pPr>
              <w:spacing w:after="0"/>
              <w:jc w:val="center"/>
            </w:pPr>
            <w:r/>
            <w:r>
              <w:rPr>
                <w:rFonts w:ascii="Aptos" w:hAnsi="Aptos"/>
                <w:b/>
                <w:color w:val="FFFFFF"/>
                <w:sz w:val="16"/>
              </w:rPr>
              <w:t>Module</w:t>
            </w:r>
          </w:p>
        </w:tc>
        <w:tc>
          <w:tcPr>
            <w:tcW w:type="dxa" w:w="5329"/>
            <w:tcMar>
              <w:top w:w="100" w:type="dxa"/>
              <w:start w:w="130" w:type="dxa"/>
              <w:bottom w:w="100" w:type="dxa"/>
              <w:end w:w="130" w:type="dxa"/>
            </w:tcMar>
            <w:vAlign w:val="center"/>
            <w:shd w:fill="E76F51"/>
          </w:tcPr>
          <w:p>
            <w:pPr>
              <w:spacing w:after="0"/>
              <w:jc w:val="center"/>
            </w:pPr>
            <w:r/>
            <w:r>
              <w:rPr>
                <w:rFonts w:ascii="Aptos" w:hAnsi="Aptos"/>
                <w:b/>
                <w:color w:val="FFFFFF"/>
                <w:sz w:val="16"/>
              </w:rPr>
              <w:t>Facilitator focus</w:t>
            </w:r>
          </w:p>
        </w:tc>
      </w:tr>
      <w:tr>
        <w:tc>
          <w:tcPr>
            <w:tcW w:type="dxa" w:w="1247"/>
            <w:tcMar>
              <w:top w:w="100" w:type="dxa"/>
              <w:start w:w="130" w:type="dxa"/>
              <w:bottom w:w="100" w:type="dxa"/>
              <w:end w:w="130" w:type="dxa"/>
            </w:tcMar>
            <w:vAlign w:val="center"/>
            <w:shd w:fill="F7F4EE"/>
          </w:tcPr>
          <w:p>
            <w:pPr>
              <w:spacing w:after="0"/>
            </w:pPr>
            <w:r/>
            <w:r>
              <w:rPr>
                <w:rFonts w:ascii="Aptos" w:hAnsi="Aptos"/>
                <w:b w:val="0"/>
                <w:color w:val="18313F"/>
                <w:sz w:val="16"/>
              </w:rPr>
              <w:t>00–05</w:t>
            </w:r>
          </w:p>
        </w:tc>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Opening and patient-purpose contract</w:t>
            </w:r>
          </w:p>
        </w:tc>
        <w:tc>
          <w:tcPr>
            <w:tcW w:type="dxa" w:w="5329"/>
            <w:tcMar>
              <w:top w:w="100" w:type="dxa"/>
              <w:start w:w="130" w:type="dxa"/>
              <w:bottom w:w="100" w:type="dxa"/>
              <w:end w:w="130" w:type="dxa"/>
            </w:tcMar>
            <w:vAlign w:val="center"/>
            <w:shd w:fill="F7F4EE"/>
          </w:tcPr>
          <w:p>
            <w:pPr>
              <w:spacing w:after="0"/>
            </w:pPr>
            <w:r/>
            <w:r>
              <w:rPr>
                <w:rFonts w:ascii="Aptos" w:hAnsi="Aptos"/>
                <w:b w:val="0"/>
                <w:color w:val="18313F"/>
                <w:sz w:val="16"/>
              </w:rPr>
              <w:t>Identify where technology steals attention or delays safety.</w:t>
            </w:r>
          </w:p>
        </w:tc>
      </w:tr>
      <w:tr>
        <w:tc>
          <w:tcPr>
            <w:tcW w:type="dxa" w:w="1247"/>
            <w:tcMar>
              <w:top w:w="100" w:type="dxa"/>
              <w:start w:w="130" w:type="dxa"/>
              <w:bottom w:w="100" w:type="dxa"/>
              <w:end w:w="130" w:type="dxa"/>
            </w:tcMar>
            <w:vAlign w:val="center"/>
            <w:shd w:fill="FFFFFF"/>
          </w:tcPr>
          <w:p>
            <w:pPr>
              <w:spacing w:after="0"/>
            </w:pPr>
            <w:r/>
            <w:r>
              <w:rPr>
                <w:rFonts w:ascii="Aptos" w:hAnsi="Aptos"/>
                <w:b w:val="0"/>
                <w:color w:val="18313F"/>
                <w:sz w:val="16"/>
              </w:rPr>
              <w:t>05–12</w:t>
            </w:r>
          </w:p>
        </w:tc>
        <w:tc>
          <w:tcPr>
            <w:tcW w:type="dxa" w:w="2948"/>
            <w:tcMar>
              <w:top w:w="100" w:type="dxa"/>
              <w:start w:w="130" w:type="dxa"/>
              <w:bottom w:w="100" w:type="dxa"/>
              <w:end w:w="130" w:type="dxa"/>
            </w:tcMar>
            <w:vAlign w:val="center"/>
            <w:shd w:fill="FFFFFF"/>
          </w:tcPr>
          <w:p>
            <w:pPr>
              <w:spacing w:after="0"/>
            </w:pPr>
            <w:r/>
            <w:r>
              <w:rPr>
                <w:rFonts w:ascii="Aptos" w:hAnsi="Aptos"/>
                <w:b w:val="0"/>
                <w:color w:val="18313F"/>
                <w:sz w:val="16"/>
              </w:rPr>
              <w:t>Capabilities + P-A-T-I-E-N-T</w:t>
            </w:r>
          </w:p>
        </w:tc>
        <w:tc>
          <w:tcPr>
            <w:tcW w:type="dxa" w:w="5329"/>
            <w:tcMar>
              <w:top w:w="100" w:type="dxa"/>
              <w:start w:w="130" w:type="dxa"/>
              <w:bottom w:w="100" w:type="dxa"/>
              <w:end w:w="130" w:type="dxa"/>
            </w:tcMar>
            <w:vAlign w:val="center"/>
            <w:shd w:fill="FFFFFF"/>
          </w:tcPr>
          <w:p>
            <w:pPr>
              <w:spacing w:after="0"/>
            </w:pPr>
            <w:r/>
            <w:r>
              <w:rPr>
                <w:rFonts w:ascii="Aptos" w:hAnsi="Aptos"/>
                <w:b w:val="0"/>
                <w:color w:val="18313F"/>
                <w:sz w:val="16"/>
              </w:rPr>
              <w:t>Own projection, research, diagnostic support and continuity under seven safeguards.</w:t>
            </w:r>
          </w:p>
        </w:tc>
      </w:tr>
      <w:tr>
        <w:tc>
          <w:tcPr>
            <w:tcW w:type="dxa" w:w="1247"/>
            <w:tcMar>
              <w:top w:w="100" w:type="dxa"/>
              <w:start w:w="130" w:type="dxa"/>
              <w:bottom w:w="100" w:type="dxa"/>
              <w:end w:w="130" w:type="dxa"/>
            </w:tcMar>
            <w:vAlign w:val="center"/>
            <w:shd w:fill="F7F4EE"/>
          </w:tcPr>
          <w:p>
            <w:pPr>
              <w:spacing w:after="0"/>
            </w:pPr>
            <w:r/>
            <w:r>
              <w:rPr>
                <w:rFonts w:ascii="Aptos" w:hAnsi="Aptos"/>
                <w:b w:val="0"/>
                <w:color w:val="18313F"/>
                <w:sz w:val="16"/>
              </w:rPr>
              <w:t>12–24</w:t>
            </w:r>
          </w:p>
        </w:tc>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Operational value and alert design</w:t>
            </w:r>
          </w:p>
        </w:tc>
        <w:tc>
          <w:tcPr>
            <w:tcW w:type="dxa" w:w="5329"/>
            <w:tcMar>
              <w:top w:w="100" w:type="dxa"/>
              <w:start w:w="130" w:type="dxa"/>
              <w:bottom w:w="100" w:type="dxa"/>
              <w:end w:w="130" w:type="dxa"/>
            </w:tcMar>
            <w:vAlign w:val="center"/>
            <w:shd w:fill="F7F4EE"/>
          </w:tcPr>
          <w:p>
            <w:pPr>
              <w:spacing w:after="0"/>
            </w:pPr>
            <w:r/>
            <w:r>
              <w:rPr>
                <w:rFonts w:ascii="Aptos" w:hAnsi="Aptos"/>
                <w:b w:val="0"/>
                <w:color w:val="18313F"/>
                <w:sz w:val="16"/>
              </w:rPr>
              <w:t>Serbia EHR and SepsisLab.</w:t>
            </w:r>
          </w:p>
        </w:tc>
      </w:tr>
      <w:tr>
        <w:tc>
          <w:tcPr>
            <w:tcW w:type="dxa" w:w="1247"/>
            <w:tcMar>
              <w:top w:w="100" w:type="dxa"/>
              <w:start w:w="130" w:type="dxa"/>
              <w:bottom w:w="100" w:type="dxa"/>
              <w:end w:w="130" w:type="dxa"/>
            </w:tcMar>
            <w:vAlign w:val="center"/>
            <w:shd w:fill="FFFFFF"/>
          </w:tcPr>
          <w:p>
            <w:pPr>
              <w:spacing w:after="0"/>
            </w:pPr>
            <w:r/>
            <w:r>
              <w:rPr>
                <w:rFonts w:ascii="Aptos" w:hAnsi="Aptos"/>
                <w:b w:val="0"/>
                <w:color w:val="18313F"/>
                <w:sz w:val="16"/>
              </w:rPr>
              <w:t>24–34</w:t>
            </w:r>
          </w:p>
        </w:tc>
        <w:tc>
          <w:tcPr>
            <w:tcW w:type="dxa" w:w="2948"/>
            <w:tcMar>
              <w:top w:w="100" w:type="dxa"/>
              <w:start w:w="130" w:type="dxa"/>
              <w:bottom w:w="100" w:type="dxa"/>
              <w:end w:w="130" w:type="dxa"/>
            </w:tcMar>
            <w:vAlign w:val="center"/>
            <w:shd w:fill="FFFFFF"/>
          </w:tcPr>
          <w:p>
            <w:pPr>
              <w:spacing w:after="0"/>
            </w:pPr>
            <w:r/>
            <w:r>
              <w:rPr>
                <w:rFonts w:ascii="Aptos" w:hAnsi="Aptos"/>
                <w:b w:val="0"/>
                <w:color w:val="18313F"/>
                <w:sz w:val="16"/>
              </w:rPr>
              <w:t>Trust and adoption</w:t>
            </w:r>
          </w:p>
        </w:tc>
        <w:tc>
          <w:tcPr>
            <w:tcW w:type="dxa" w:w="5329"/>
            <w:tcMar>
              <w:top w:w="100" w:type="dxa"/>
              <w:start w:w="130" w:type="dxa"/>
              <w:bottom w:w="100" w:type="dxa"/>
              <w:end w:w="130" w:type="dxa"/>
            </w:tcMar>
            <w:vAlign w:val="center"/>
            <w:shd w:fill="FFFFFF"/>
          </w:tcPr>
          <w:p>
            <w:pPr>
              <w:spacing w:after="0"/>
            </w:pPr>
            <w:r/>
            <w:r>
              <w:rPr>
                <w:rFonts w:ascii="Aptos" w:hAnsi="Aptos"/>
                <w:b w:val="0"/>
                <w:color w:val="18313F"/>
                <w:sz w:val="16"/>
              </w:rPr>
              <w:t>Qatar perceptions and ambient scribes.</w:t>
            </w:r>
          </w:p>
        </w:tc>
      </w:tr>
      <w:tr>
        <w:tc>
          <w:tcPr>
            <w:tcW w:type="dxa" w:w="1247"/>
            <w:tcMar>
              <w:top w:w="100" w:type="dxa"/>
              <w:start w:w="130" w:type="dxa"/>
              <w:bottom w:w="100" w:type="dxa"/>
              <w:end w:w="130" w:type="dxa"/>
            </w:tcMar>
            <w:vAlign w:val="center"/>
            <w:shd w:fill="F7F4EE"/>
          </w:tcPr>
          <w:p>
            <w:pPr>
              <w:spacing w:after="0"/>
            </w:pPr>
            <w:r/>
            <w:r>
              <w:rPr>
                <w:rFonts w:ascii="Aptos" w:hAnsi="Aptos"/>
                <w:b w:val="0"/>
                <w:color w:val="18313F"/>
                <w:sz w:val="16"/>
              </w:rPr>
              <w:t>34–46</w:t>
            </w:r>
          </w:p>
        </w:tc>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Learning and future readiness</w:t>
            </w:r>
          </w:p>
        </w:tc>
        <w:tc>
          <w:tcPr>
            <w:tcW w:type="dxa" w:w="5329"/>
            <w:tcMar>
              <w:top w:w="100" w:type="dxa"/>
              <w:start w:w="130" w:type="dxa"/>
              <w:bottom w:w="100" w:type="dxa"/>
              <w:end w:w="130" w:type="dxa"/>
            </w:tcMar>
            <w:vAlign w:val="center"/>
            <w:shd w:fill="F7F4EE"/>
          </w:tcPr>
          <w:p>
            <w:pPr>
              <w:spacing w:after="0"/>
            </w:pPr>
            <w:r/>
            <w:r>
              <w:rPr>
                <w:rFonts w:ascii="Aptos" w:hAnsi="Aptos"/>
                <w:b w:val="0"/>
                <w:color w:val="18313F"/>
                <w:sz w:val="16"/>
              </w:rPr>
              <w:t>China teaching and Trinity foresight.</w:t>
            </w:r>
          </w:p>
        </w:tc>
      </w:tr>
      <w:tr>
        <w:tc>
          <w:tcPr>
            <w:tcW w:type="dxa" w:w="1247"/>
            <w:tcMar>
              <w:top w:w="100" w:type="dxa"/>
              <w:start w:w="130" w:type="dxa"/>
              <w:bottom w:w="100" w:type="dxa"/>
              <w:end w:w="130" w:type="dxa"/>
            </w:tcMar>
            <w:vAlign w:val="center"/>
            <w:shd w:fill="FFFFFF"/>
          </w:tcPr>
          <w:p>
            <w:pPr>
              <w:spacing w:after="0"/>
            </w:pPr>
            <w:r/>
            <w:r>
              <w:rPr>
                <w:rFonts w:ascii="Aptos" w:hAnsi="Aptos"/>
                <w:b w:val="0"/>
                <w:color w:val="18313F"/>
                <w:sz w:val="16"/>
              </w:rPr>
              <w:t>46–54</w:t>
            </w:r>
          </w:p>
        </w:tc>
        <w:tc>
          <w:tcPr>
            <w:tcW w:type="dxa" w:w="2948"/>
            <w:tcMar>
              <w:top w:w="100" w:type="dxa"/>
              <w:start w:w="130" w:type="dxa"/>
              <w:bottom w:w="100" w:type="dxa"/>
              <w:end w:w="130" w:type="dxa"/>
            </w:tcMar>
            <w:vAlign w:val="center"/>
            <w:shd w:fill="FFFFFF"/>
          </w:tcPr>
          <w:p>
            <w:pPr>
              <w:spacing w:after="0"/>
            </w:pPr>
            <w:r/>
            <w:r>
              <w:rPr>
                <w:rFonts w:ascii="Aptos" w:hAnsi="Aptos"/>
                <w:b w:val="0"/>
                <w:color w:val="18313F"/>
                <w:sz w:val="16"/>
              </w:rPr>
              <w:t>Explainability and due diligence</w:t>
            </w:r>
          </w:p>
        </w:tc>
        <w:tc>
          <w:tcPr>
            <w:tcW w:type="dxa" w:w="5329"/>
            <w:tcMar>
              <w:top w:w="100" w:type="dxa"/>
              <w:start w:w="130" w:type="dxa"/>
              <w:bottom w:w="100" w:type="dxa"/>
              <w:end w:w="130" w:type="dxa"/>
            </w:tcMar>
            <w:vAlign w:val="center"/>
            <w:shd w:fill="FFFFFF"/>
          </w:tcPr>
          <w:p>
            <w:pPr>
              <w:spacing w:after="0"/>
            </w:pPr>
            <w:r/>
            <w:r>
              <w:rPr>
                <w:rFonts w:ascii="Aptos" w:hAnsi="Aptos"/>
                <w:b w:val="0"/>
                <w:color w:val="18313F"/>
                <w:sz w:val="16"/>
              </w:rPr>
              <w:t>Explanation supports scrutiny but does not prove benefit.</w:t>
            </w:r>
          </w:p>
        </w:tc>
      </w:tr>
      <w:tr>
        <w:tc>
          <w:tcPr>
            <w:tcW w:type="dxa" w:w="1247"/>
            <w:tcMar>
              <w:top w:w="100" w:type="dxa"/>
              <w:start w:w="130" w:type="dxa"/>
              <w:bottom w:w="100" w:type="dxa"/>
              <w:end w:w="130" w:type="dxa"/>
            </w:tcMar>
            <w:vAlign w:val="center"/>
            <w:shd w:fill="F7F4EE"/>
          </w:tcPr>
          <w:p>
            <w:pPr>
              <w:spacing w:after="0"/>
            </w:pPr>
            <w:r/>
            <w:r>
              <w:rPr>
                <w:rFonts w:ascii="Aptos" w:hAnsi="Aptos"/>
                <w:b w:val="0"/>
                <w:color w:val="18313F"/>
                <w:sz w:val="16"/>
              </w:rPr>
              <w:t>54–60</w:t>
            </w:r>
          </w:p>
        </w:tc>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Synthesis + India guardrails</w:t>
            </w:r>
          </w:p>
        </w:tc>
        <w:tc>
          <w:tcPr>
            <w:tcW w:type="dxa" w:w="5329"/>
            <w:tcMar>
              <w:top w:w="100" w:type="dxa"/>
              <w:start w:w="130" w:type="dxa"/>
              <w:bottom w:w="100" w:type="dxa"/>
              <w:end w:w="130" w:type="dxa"/>
            </w:tcMar>
            <w:vAlign w:val="center"/>
            <w:shd w:fill="F7F4EE"/>
          </w:tcPr>
          <w:p>
            <w:pPr>
              <w:spacing w:after="0"/>
            </w:pPr>
            <w:r/>
            <w:r>
              <w:rPr>
                <w:rFonts w:ascii="Aptos" w:hAnsi="Aptos"/>
                <w:b w:val="0"/>
                <w:color w:val="18313F"/>
                <w:sz w:val="16"/>
              </w:rPr>
              <w:t>Evidence labels, governance and transition to the lab.</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EVIDENCE-LANGUAGE RULE</w:t>
            </w:r>
          </w:p>
          <w:p>
            <w:pPr>
              <w:spacing w:after="0"/>
            </w:pPr>
            <w:r>
              <w:rPr>
                <w:rFonts w:ascii="Aptos" w:hAnsi="Aptos"/>
                <w:color w:val="18313F"/>
                <w:sz w:val="19"/>
              </w:rPr>
              <w:t>Speak the result with its study design and limitation. A survey is not effectiveness evidence; a prototype is not an outcome trial; a heatmap is not proof.</w:t>
            </w:r>
          </w:p>
        </w:tc>
      </w:tr>
    </w:tbl>
    <w:p>
      <w:pPr>
        <w:spacing w:after="0"/>
      </w:pPr>
    </w:p>
    <w:p>
      <w:pPr>
        <w:pStyle w:val="Heading2"/>
      </w:pPr>
      <w:r>
        <w:t>P-A-T-I-E-N-T operating system</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737"/>
            <w:tcMar>
              <w:top w:w="100" w:type="dxa"/>
              <w:start w:w="130" w:type="dxa"/>
              <w:bottom w:w="100" w:type="dxa"/>
              <w:end w:w="130" w:type="dxa"/>
            </w:tcMar>
            <w:vAlign w:val="center"/>
            <w:shd w:fill="0B6E69"/>
          </w:tcPr>
          <w:p>
            <w:pPr>
              <w:spacing w:after="0"/>
              <w:jc w:val="center"/>
            </w:pPr>
            <w:r/>
            <w:r>
              <w:rPr>
                <w:rFonts w:ascii="Aptos" w:hAnsi="Aptos"/>
                <w:b/>
                <w:color w:val="FFFFFF"/>
                <w:sz w:val="16"/>
              </w:rPr>
              <w:t>Letter</w:t>
            </w:r>
          </w:p>
        </w:tc>
        <w:tc>
          <w:tcPr>
            <w:tcW w:type="dxa" w:w="2324"/>
            <w:tcMar>
              <w:top w:w="100" w:type="dxa"/>
              <w:start w:w="130" w:type="dxa"/>
              <w:bottom w:w="100" w:type="dxa"/>
              <w:end w:w="130" w:type="dxa"/>
            </w:tcMar>
            <w:vAlign w:val="center"/>
            <w:shd w:fill="0B6E69"/>
          </w:tcPr>
          <w:p>
            <w:pPr>
              <w:spacing w:after="0"/>
              <w:jc w:val="center"/>
            </w:pPr>
            <w:r/>
            <w:r>
              <w:rPr>
                <w:rFonts w:ascii="Aptos" w:hAnsi="Aptos"/>
                <w:b/>
                <w:color w:val="FFFFFF"/>
                <w:sz w:val="16"/>
              </w:rPr>
              <w:t>Checkpoint</w:t>
            </w:r>
          </w:p>
        </w:tc>
        <w:tc>
          <w:tcPr>
            <w:tcW w:type="dxa" w:w="6463"/>
            <w:tcMar>
              <w:top w:w="100" w:type="dxa"/>
              <w:start w:w="130" w:type="dxa"/>
              <w:bottom w:w="100" w:type="dxa"/>
              <w:end w:w="130" w:type="dxa"/>
            </w:tcMar>
            <w:vAlign w:val="center"/>
            <w:shd w:fill="0B6E69"/>
          </w:tcPr>
          <w:p>
            <w:pPr>
              <w:spacing w:after="0"/>
              <w:jc w:val="center"/>
            </w:pPr>
            <w:r/>
            <w:r>
              <w:rPr>
                <w:rFonts w:ascii="Aptos" w:hAnsi="Aptos"/>
                <w:b/>
                <w:color w:val="FFFFFF"/>
                <w:sz w:val="16"/>
              </w:rPr>
              <w:t>Observable evidence</w:t>
            </w:r>
          </w:p>
        </w:tc>
      </w:tr>
      <w:tr>
        <w:tc>
          <w:tcPr>
            <w:tcW w:type="dxa" w:w="737"/>
            <w:tcMar>
              <w:top w:w="100" w:type="dxa"/>
              <w:start w:w="130" w:type="dxa"/>
              <w:bottom w:w="100" w:type="dxa"/>
              <w:end w:w="130" w:type="dxa"/>
            </w:tcMar>
            <w:vAlign w:val="center"/>
            <w:shd w:fill="F7F4EE"/>
          </w:tcPr>
          <w:p>
            <w:pPr>
              <w:spacing w:after="0"/>
            </w:pPr>
            <w:r/>
            <w:r>
              <w:rPr>
                <w:rFonts w:ascii="Aptos" w:hAnsi="Aptos"/>
                <w:b w:val="0"/>
                <w:color w:val="18313F"/>
                <w:sz w:val="16"/>
              </w:rPr>
              <w:t>P</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Protect privacy</w:t>
            </w:r>
          </w:p>
        </w:tc>
        <w:tc>
          <w:tcPr>
            <w:tcW w:type="dxa" w:w="6463"/>
            <w:tcMar>
              <w:top w:w="100" w:type="dxa"/>
              <w:start w:w="130" w:type="dxa"/>
              <w:bottom w:w="100" w:type="dxa"/>
              <w:end w:w="130" w:type="dxa"/>
            </w:tcMar>
            <w:vAlign w:val="center"/>
            <w:shd w:fill="F7F4EE"/>
          </w:tcPr>
          <w:p>
            <w:pPr>
              <w:spacing w:after="0"/>
            </w:pPr>
            <w:r/>
            <w:r>
              <w:rPr>
                <w:rFonts w:ascii="Aptos" w:hAnsi="Aptos"/>
                <w:b w:val="0"/>
                <w:color w:val="18313F"/>
                <w:sz w:val="16"/>
              </w:rPr>
              <w:t>Minimum data; approved environment; consent/notice; retention and access documented</w:t>
            </w:r>
          </w:p>
        </w:tc>
      </w:tr>
      <w:tr>
        <w:tc>
          <w:tcPr>
            <w:tcW w:type="dxa" w:w="737"/>
            <w:tcMar>
              <w:top w:w="100" w:type="dxa"/>
              <w:start w:w="130" w:type="dxa"/>
              <w:bottom w:w="100" w:type="dxa"/>
              <w:end w:w="130" w:type="dxa"/>
            </w:tcMar>
            <w:vAlign w:val="center"/>
            <w:shd w:fill="FFFFFF"/>
          </w:tcPr>
          <w:p>
            <w:pPr>
              <w:spacing w:after="0"/>
            </w:pPr>
            <w:r/>
            <w:r>
              <w:rPr>
                <w:rFonts w:ascii="Aptos" w:hAnsi="Aptos"/>
                <w:b w:val="0"/>
                <w:color w:val="18313F"/>
                <w:sz w:val="16"/>
              </w:rPr>
              <w:t>A</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Assess accuracy</w:t>
            </w:r>
          </w:p>
        </w:tc>
        <w:tc>
          <w:tcPr>
            <w:tcW w:type="dxa" w:w="6463"/>
            <w:tcMar>
              <w:top w:w="100" w:type="dxa"/>
              <w:start w:w="130" w:type="dxa"/>
              <w:bottom w:w="100" w:type="dxa"/>
              <w:end w:w="130" w:type="dxa"/>
            </w:tcMar>
            <w:vAlign w:val="center"/>
            <w:shd w:fill="FFFFFF"/>
          </w:tcPr>
          <w:p>
            <w:pPr>
              <w:spacing w:after="0"/>
            </w:pPr>
            <w:r/>
            <w:r>
              <w:rPr>
                <w:rFonts w:ascii="Aptos" w:hAnsi="Aptos"/>
                <w:b w:val="0"/>
                <w:color w:val="18313F"/>
                <w:sz w:val="16"/>
              </w:rPr>
              <w:t>Facts, omissions, calculations, citations, red flags and subgroup performance checked</w:t>
            </w:r>
          </w:p>
        </w:tc>
      </w:tr>
      <w:tr>
        <w:tc>
          <w:tcPr>
            <w:tcW w:type="dxa" w:w="737"/>
            <w:tcMar>
              <w:top w:w="100" w:type="dxa"/>
              <w:start w:w="130" w:type="dxa"/>
              <w:bottom w:w="100" w:type="dxa"/>
              <w:end w:w="130" w:type="dxa"/>
            </w:tcMar>
            <w:vAlign w:val="center"/>
            <w:shd w:fill="F7F4EE"/>
          </w:tcPr>
          <w:p>
            <w:pPr>
              <w:spacing w:after="0"/>
            </w:pPr>
            <w:r/>
            <w:r>
              <w:rPr>
                <w:rFonts w:ascii="Aptos" w:hAnsi="Aptos"/>
                <w:b w:val="0"/>
                <w:color w:val="18313F"/>
                <w:sz w:val="16"/>
              </w:rPr>
              <w:t>T</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Trace sources</w:t>
            </w:r>
          </w:p>
        </w:tc>
        <w:tc>
          <w:tcPr>
            <w:tcW w:type="dxa" w:w="6463"/>
            <w:tcMar>
              <w:top w:w="100" w:type="dxa"/>
              <w:start w:w="130" w:type="dxa"/>
              <w:bottom w:w="100" w:type="dxa"/>
              <w:end w:w="130" w:type="dxa"/>
            </w:tcMar>
            <w:vAlign w:val="center"/>
            <w:shd w:fill="F7F4EE"/>
          </w:tcPr>
          <w:p>
            <w:pPr>
              <w:spacing w:after="0"/>
            </w:pPr>
            <w:r/>
            <w:r>
              <w:rPr>
                <w:rFonts w:ascii="Aptos" w:hAnsi="Aptos"/>
                <w:b w:val="0"/>
                <w:color w:val="18313F"/>
                <w:sz w:val="16"/>
              </w:rPr>
              <w:t>Prompt, version, source, search and reviewer records preserved</w:t>
            </w:r>
          </w:p>
        </w:tc>
      </w:tr>
      <w:tr>
        <w:tc>
          <w:tcPr>
            <w:tcW w:type="dxa" w:w="737"/>
            <w:tcMar>
              <w:top w:w="100" w:type="dxa"/>
              <w:start w:w="130" w:type="dxa"/>
              <w:bottom w:w="100" w:type="dxa"/>
              <w:end w:w="130" w:type="dxa"/>
            </w:tcMar>
            <w:vAlign w:val="center"/>
            <w:shd w:fill="FFFFFF"/>
          </w:tcPr>
          <w:p>
            <w:pPr>
              <w:spacing w:after="0"/>
            </w:pPr>
            <w:r/>
            <w:r>
              <w:rPr>
                <w:rFonts w:ascii="Aptos" w:hAnsi="Aptos"/>
                <w:b w:val="0"/>
                <w:color w:val="18313F"/>
                <w:sz w:val="16"/>
              </w:rPr>
              <w:t>I</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Inform + consent</w:t>
            </w:r>
          </w:p>
        </w:tc>
        <w:tc>
          <w:tcPr>
            <w:tcW w:type="dxa" w:w="6463"/>
            <w:tcMar>
              <w:top w:w="100" w:type="dxa"/>
              <w:start w:w="130" w:type="dxa"/>
              <w:bottom w:w="100" w:type="dxa"/>
              <w:end w:w="130" w:type="dxa"/>
            </w:tcMar>
            <w:vAlign w:val="center"/>
            <w:shd w:fill="FFFFFF"/>
          </w:tcPr>
          <w:p>
            <w:pPr>
              <w:spacing w:after="0"/>
            </w:pPr>
            <w:r/>
            <w:r>
              <w:rPr>
                <w:rFonts w:ascii="Aptos" w:hAnsi="Aptos"/>
                <w:b w:val="0"/>
                <w:color w:val="18313F"/>
                <w:sz w:val="16"/>
              </w:rPr>
              <w:t>AI role, intended use, uncertainty and choice explained where relevant</w:t>
            </w:r>
          </w:p>
        </w:tc>
      </w:tr>
      <w:tr>
        <w:tc>
          <w:tcPr>
            <w:tcW w:type="dxa" w:w="737"/>
            <w:tcMar>
              <w:top w:w="100" w:type="dxa"/>
              <w:start w:w="130" w:type="dxa"/>
              <w:bottom w:w="100" w:type="dxa"/>
              <w:end w:w="130" w:type="dxa"/>
            </w:tcMar>
            <w:vAlign w:val="center"/>
            <w:shd w:fill="F7F4EE"/>
          </w:tcPr>
          <w:p>
            <w:pPr>
              <w:spacing w:after="0"/>
            </w:pPr>
            <w:r/>
            <w:r>
              <w:rPr>
                <w:rFonts w:ascii="Aptos" w:hAnsi="Aptos"/>
                <w:b w:val="0"/>
                <w:color w:val="18313F"/>
                <w:sz w:val="16"/>
              </w:rPr>
              <w:t>E</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Examine equity</w:t>
            </w:r>
          </w:p>
        </w:tc>
        <w:tc>
          <w:tcPr>
            <w:tcW w:type="dxa" w:w="6463"/>
            <w:tcMar>
              <w:top w:w="100" w:type="dxa"/>
              <w:start w:w="130" w:type="dxa"/>
              <w:bottom w:w="100" w:type="dxa"/>
              <w:end w:w="130" w:type="dxa"/>
            </w:tcMar>
            <w:vAlign w:val="center"/>
            <w:shd w:fill="F7F4EE"/>
          </w:tcPr>
          <w:p>
            <w:pPr>
              <w:spacing w:after="0"/>
            </w:pPr>
            <w:r/>
            <w:r>
              <w:rPr>
                <w:rFonts w:ascii="Aptos" w:hAnsi="Aptos"/>
                <w:b w:val="0"/>
                <w:color w:val="18313F"/>
                <w:sz w:val="16"/>
              </w:rPr>
              <w:t>Language, access, disability, literacy and subgroup effects evaluated</w:t>
            </w:r>
          </w:p>
        </w:tc>
      </w:tr>
      <w:tr>
        <w:tc>
          <w:tcPr>
            <w:tcW w:type="dxa" w:w="737"/>
            <w:tcMar>
              <w:top w:w="100" w:type="dxa"/>
              <w:start w:w="130" w:type="dxa"/>
              <w:bottom w:w="100" w:type="dxa"/>
              <w:end w:w="130" w:type="dxa"/>
            </w:tcMar>
            <w:vAlign w:val="center"/>
            <w:shd w:fill="FFFFFF"/>
          </w:tcPr>
          <w:p>
            <w:pPr>
              <w:spacing w:after="0"/>
            </w:pPr>
            <w:r/>
            <w:r>
              <w:rPr>
                <w:rFonts w:ascii="Aptos" w:hAnsi="Aptos"/>
                <w:b w:val="0"/>
                <w:color w:val="18313F"/>
                <w:sz w:val="16"/>
              </w:rPr>
              <w:t>N</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Never replace judgement</w:t>
            </w:r>
          </w:p>
        </w:tc>
        <w:tc>
          <w:tcPr>
            <w:tcW w:type="dxa" w:w="6463"/>
            <w:tcMar>
              <w:top w:w="100" w:type="dxa"/>
              <w:start w:w="130" w:type="dxa"/>
              <w:bottom w:w="100" w:type="dxa"/>
              <w:end w:w="130" w:type="dxa"/>
            </w:tcMar>
            <w:vAlign w:val="center"/>
            <w:shd w:fill="FFFFFF"/>
          </w:tcPr>
          <w:p>
            <w:pPr>
              <w:spacing w:after="0"/>
            </w:pPr>
            <w:r/>
            <w:r>
              <w:rPr>
                <w:rFonts w:ascii="Aptos" w:hAnsi="Aptos"/>
                <w:b w:val="0"/>
                <w:color w:val="18313F"/>
                <w:sz w:val="16"/>
              </w:rPr>
              <w:t>Licensed/authorised professional retains the decision</w:t>
            </w:r>
          </w:p>
        </w:tc>
      </w:tr>
      <w:tr>
        <w:tc>
          <w:tcPr>
            <w:tcW w:type="dxa" w:w="737"/>
            <w:tcMar>
              <w:top w:w="100" w:type="dxa"/>
              <w:start w:w="130" w:type="dxa"/>
              <w:bottom w:w="100" w:type="dxa"/>
              <w:end w:w="130" w:type="dxa"/>
            </w:tcMar>
            <w:vAlign w:val="center"/>
            <w:shd w:fill="F7F4EE"/>
          </w:tcPr>
          <w:p>
            <w:pPr>
              <w:spacing w:after="0"/>
            </w:pPr>
            <w:r/>
            <w:r>
              <w:rPr>
                <w:rFonts w:ascii="Aptos" w:hAnsi="Aptos"/>
                <w:b w:val="0"/>
                <w:color w:val="18313F"/>
                <w:sz w:val="16"/>
              </w:rPr>
              <w:t>T</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Take responsibility</w:t>
            </w:r>
          </w:p>
        </w:tc>
        <w:tc>
          <w:tcPr>
            <w:tcW w:type="dxa" w:w="6463"/>
            <w:tcMar>
              <w:top w:w="100" w:type="dxa"/>
              <w:start w:w="130" w:type="dxa"/>
              <w:bottom w:w="100" w:type="dxa"/>
              <w:end w:w="130" w:type="dxa"/>
            </w:tcMar>
            <w:vAlign w:val="center"/>
            <w:shd w:fill="F7F4EE"/>
          </w:tcPr>
          <w:p>
            <w:pPr>
              <w:spacing w:after="0"/>
            </w:pPr>
            <w:r/>
            <w:r>
              <w:rPr>
                <w:rFonts w:ascii="Aptos" w:hAnsi="Aptos"/>
                <w:b w:val="0"/>
                <w:color w:val="18313F"/>
                <w:sz w:val="16"/>
              </w:rPr>
              <w:t>Named reviewer, release, escalation, audit and stop rule</w:t>
            </w:r>
          </w:p>
        </w:tc>
      </w:tr>
    </w:tbl>
    <w:p>
      <w:pPr>
        <w:spacing w:after="0"/>
      </w:pPr>
    </w:p>
    <w:p>
      <w:r>
        <w:br w:type="page"/>
      </w:r>
    </w:p>
    <w:p>
      <w:pPr>
        <w:pStyle w:val="Heading1"/>
      </w:pPr>
      <w:r>
        <w:t>Part I — Seven complete theory cases</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CASE-METHOD INSTRUCTION</w:t>
            </w:r>
          </w:p>
          <w:p>
            <w:pPr>
              <w:spacing w:after="0"/>
            </w:pPr>
            <w:r>
              <w:rPr>
                <w:rFonts w:ascii="Aptos" w:hAnsi="Aptos"/>
                <w:color w:val="18313F"/>
                <w:sz w:val="19"/>
              </w:rPr>
              <w:t>Read the management dilemma first. Require participants to identify the decision, evidence design, patient-value outcome, risk, accountable professional and stop rule before discussing brands.</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CASE 1</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Serbia EHR — EHR-embedded X-ray triage and no-show prediction</w:t>
            </w:r>
          </w:p>
        </w:tc>
      </w:tr>
    </w:tbl>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MANAGEMENT DILEMMA</w:t>
            </w:r>
          </w:p>
          <w:p>
            <w:pPr>
              <w:spacing w:after="0"/>
            </w:pPr>
            <w:r>
              <w:rPr>
                <w:rFonts w:ascii="Aptos" w:hAnsi="Aptos"/>
                <w:color w:val="18313F"/>
                <w:sz w:val="19"/>
              </w:rPr>
              <w:t>Should the organisation scale the models across facilities now, run a controlled extension, or redesign the workflow first?</w:t>
            </w:r>
          </w:p>
        </w:tc>
      </w:tr>
    </w:tbl>
    <w:p>
      <w:pPr>
        <w:spacing w:after="0"/>
      </w:pPr>
    </w:p>
    <w:p>
      <w:pPr>
        <w:pStyle w:val="Heading2"/>
      </w:pPr>
      <w:r>
        <w:t>Case context</w:t>
      </w:r>
    </w:p>
    <w:p>
      <w:r>
        <w:t>A Serbian health system is considering how to scale two AI capabilities embedded in its electronic workflow: chest X-ray classification support and appointment-attendance prediction. The leadership question is not simply whether the models perform well, but whether the surrounding workflow improves access and preserves professional accountability.</w:t>
      </w:r>
    </w:p>
    <w:p>
      <w:pPr>
        <w:pStyle w:val="Heading2"/>
      </w:pPr>
      <w:r>
        <w:t>Case narrative</w:t>
      </w:r>
    </w:p>
    <w:p>
      <w:r>
        <w:t>Health Center Nis and the MEDIS.NET environment illustrate an operational approach in which AI is placed inside everyday information systems rather than offered as a separate experimental interface.</w:t>
      </w:r>
    </w:p>
    <w:p>
      <w:r>
        <w:t>The published case reports approximately 92% chest X-ray classification accuracy for the described task and a substantial reduction in appointment non-attendance when predictions were combined with staff action. These are local operational signals, not universal guarantees.</w:t>
      </w:r>
    </w:p>
    <w:p>
      <w:r>
        <w:t>The patient-centric challenge is to prevent a risk score from becoming an invisible decision. A high predicted no-show probability could trigger supportive outreach, but it could also create stigma, deprioritisation or inequity if staff do not understand the intended use and override rules.</w:t>
      </w:r>
    </w:p>
    <w:p>
      <w:r>
        <w:t>For imaging, the model can highlight or classify, but a radiologist remains responsible for the report. The management design must make the hand-off, audit trail and escalation route visible.</w:t>
      </w:r>
    </w:p>
    <w:p>
      <w:pPr>
        <w:pStyle w:val="Heading2"/>
      </w:pPr>
      <w:r>
        <w:t>Key facts</w:t>
      </w:r>
    </w:p>
    <w:p>
      <w:pPr>
        <w:pStyle w:val="ListBullet"/>
        <w:spacing w:after="60"/>
        <w:ind w:left="312" w:hanging="142"/>
      </w:pPr>
      <w:r>
        <w:t>Operational case and local model validation published in 2025.</w:t>
      </w:r>
    </w:p>
    <w:p>
      <w:pPr>
        <w:pStyle w:val="ListBullet"/>
        <w:spacing w:after="60"/>
        <w:ind w:left="312" w:hanging="142"/>
      </w:pPr>
      <w:r>
        <w:t>MEDIS.NET described across 25 facilities.</w:t>
      </w:r>
    </w:p>
    <w:p>
      <w:pPr>
        <w:pStyle w:val="ListBullet"/>
        <w:spacing w:after="60"/>
        <w:ind w:left="312" w:hanging="142"/>
      </w:pPr>
      <w:r>
        <w:t>VGG19-based chest X-ray classification support.</w:t>
      </w:r>
    </w:p>
    <w:p>
      <w:pPr>
        <w:pStyle w:val="ListBullet"/>
        <w:spacing w:after="60"/>
        <w:ind w:left="312" w:hanging="142"/>
      </w:pPr>
      <w:r>
        <w:t>Appointment-attendance prediction required staff action to create operational value.</w:t>
      </w:r>
    </w:p>
    <w:p>
      <w:pPr>
        <w:pStyle w:val="ListBullet"/>
        <w:spacing w:after="60"/>
        <w:ind w:left="312" w:hanging="142"/>
      </w:pPr>
      <w:r>
        <w:t>External and local validation remain necessary before transfer to another setting.</w:t>
      </w:r>
    </w:p>
    <w:p>
      <w:r>
        <w:rPr>
          <w:color w:val="356F99"/>
          <w:sz w:val="16"/>
        </w:rPr>
        <w:t>Primary source: https://www.mdpi.com/2073-431X/14/8/320</w:t>
      </w:r>
    </w:p>
    <w:p>
      <w:r>
        <w:br w:type="page"/>
      </w:r>
    </w:p>
    <w:p>
      <w:pPr>
        <w:pStyle w:val="Heading1"/>
      </w:pPr>
      <w:r>
        <w:t>Case 1 evidence and patient-centric analysis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81"/>
            <w:tcMar>
              <w:top w:w="100" w:type="dxa"/>
              <w:start w:w="130" w:type="dxa"/>
              <w:bottom w:w="100" w:type="dxa"/>
              <w:end w:w="130" w:type="dxa"/>
            </w:tcMar>
            <w:vAlign w:val="center"/>
            <w:shd w:fill="0B6E69"/>
          </w:tcPr>
          <w:p>
            <w:pPr>
              <w:spacing w:after="0"/>
              <w:jc w:val="center"/>
            </w:pPr>
            <w:r/>
            <w:r>
              <w:rPr>
                <w:rFonts w:ascii="Aptos" w:hAnsi="Aptos"/>
                <w:b/>
                <w:color w:val="FFFFFF"/>
                <w:sz w:val="15"/>
              </w:rPr>
              <w:t>Reported signal</w:t>
            </w:r>
          </w:p>
        </w:tc>
        <w:tc>
          <w:tcPr>
            <w:tcW w:type="dxa" w:w="1928"/>
            <w:tcMar>
              <w:top w:w="100" w:type="dxa"/>
              <w:start w:w="130" w:type="dxa"/>
              <w:bottom w:w="100" w:type="dxa"/>
              <w:end w:w="130" w:type="dxa"/>
            </w:tcMar>
            <w:vAlign w:val="center"/>
            <w:shd w:fill="0B6E69"/>
          </w:tcPr>
          <w:p>
            <w:pPr>
              <w:spacing w:after="0"/>
              <w:jc w:val="center"/>
            </w:pPr>
            <w:r/>
            <w:r>
              <w:rPr>
                <w:rFonts w:ascii="Aptos" w:hAnsi="Aptos"/>
                <w:b/>
                <w:color w:val="FFFFFF"/>
                <w:sz w:val="15"/>
              </w:rPr>
              <w:t>Evidence label</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5"/>
              </w:rPr>
              <w:t>Limitation</w:t>
            </w:r>
          </w:p>
        </w:tc>
        <w:tc>
          <w:tcPr>
            <w:tcW w:type="dxa" w:w="2494"/>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r>
      <w:tr>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The article reports about 92% X-ray classification accuracy and a substantial reduction in no-shows when models and staff action were combined.</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5"/>
              </w:rPr>
              <w:t>2025 operational case study and local model validation</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Single health-system context; model performance and workflow results require external and local validation.</w:t>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5"/>
              </w:rPr>
              <w:t>Radiologist signs the report; staff decide outreach or scheduling action.</w:t>
            </w:r>
          </w:p>
        </w:tc>
      </w:tr>
    </w:tbl>
    <w:p>
      <w:pPr>
        <w:spacing w:after="0"/>
      </w:pPr>
    </w:p>
    <w:p>
      <w:pPr>
        <w:pStyle w:val="Heading2"/>
      </w:pPr>
      <w:r>
        <w:t>Stakeholder map</w:t>
      </w:r>
    </w:p>
    <w:p>
      <w:pPr>
        <w:pStyle w:val="ListBullet"/>
        <w:spacing w:after="60"/>
        <w:ind w:left="312" w:hanging="142"/>
      </w:pPr>
      <w:r>
        <w:t>Patients needing timely imaging or appointments</w:t>
      </w:r>
    </w:p>
    <w:p>
      <w:pPr>
        <w:pStyle w:val="ListBullet"/>
        <w:spacing w:after="60"/>
        <w:ind w:left="312" w:hanging="142"/>
      </w:pPr>
      <w:r>
        <w:t>Radiologists and referring clinicians</w:t>
      </w:r>
    </w:p>
    <w:p>
      <w:pPr>
        <w:pStyle w:val="ListBullet"/>
        <w:spacing w:after="60"/>
        <w:ind w:left="312" w:hanging="142"/>
      </w:pPr>
      <w:r>
        <w:t>Scheduling and outreach teams</w:t>
      </w:r>
    </w:p>
    <w:p>
      <w:pPr>
        <w:pStyle w:val="ListBullet"/>
        <w:spacing w:after="60"/>
        <w:ind w:left="312" w:hanging="142"/>
      </w:pPr>
      <w:r>
        <w:t>Health-system leadership, IT, privacy and quality teams</w:t>
      </w:r>
    </w:p>
    <w:p>
      <w:pPr>
        <w:pStyle w:val="ListBullet"/>
        <w:spacing w:after="60"/>
        <w:ind w:left="312" w:hanging="142"/>
      </w:pPr>
      <w:r>
        <w:t>Communities that may be differently affected by outreach rules</w:t>
      </w:r>
    </w:p>
    <w:p>
      <w:pPr>
        <w:pStyle w:val="Heading2"/>
      </w:pPr>
      <w:r>
        <w:t>Patient-centric risks</w:t>
      </w:r>
    </w:p>
    <w:p>
      <w:pPr>
        <w:pStyle w:val="ListBullet"/>
        <w:spacing w:after="60"/>
        <w:ind w:left="312" w:hanging="142"/>
      </w:pPr>
      <w:r>
        <w:t>False reassurance or missed abnormality if classification is treated as a report.</w:t>
      </w:r>
    </w:p>
    <w:p>
      <w:pPr>
        <w:pStyle w:val="ListBullet"/>
        <w:spacing w:after="60"/>
        <w:ind w:left="312" w:hanging="142"/>
      </w:pPr>
      <w:r>
        <w:t>Unfair labelling or reduced access for patients predicted to miss appointments.</w:t>
      </w:r>
    </w:p>
    <w:p>
      <w:pPr>
        <w:pStyle w:val="ListBullet"/>
        <w:spacing w:after="60"/>
        <w:ind w:left="312" w:hanging="142"/>
      </w:pPr>
      <w:r>
        <w:t>Outreach that reveals sensitive information or ignores preferred communication channels.</w:t>
      </w:r>
    </w:p>
    <w:p>
      <w:pPr>
        <w:pStyle w:val="ListBullet"/>
        <w:spacing w:after="60"/>
        <w:ind w:left="312" w:hanging="142"/>
      </w:pPr>
      <w:r>
        <w:t>Performance drift when the model is transferred to another population or workflow.</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CENTRAL LESSON</w:t>
            </w:r>
          </w:p>
          <w:p>
            <w:pPr>
              <w:spacing w:after="0"/>
            </w:pPr>
            <w:r>
              <w:rPr>
                <w:rFonts w:ascii="Aptos" w:hAnsi="Aptos"/>
                <w:color w:val="18313F"/>
                <w:sz w:val="19"/>
              </w:rPr>
              <w:t>Embed probability in the workflow; do not hide decision ownership.</w:t>
            </w:r>
          </w:p>
        </w:tc>
      </w:tr>
    </w:tbl>
    <w:p>
      <w:pPr>
        <w:spacing w:after="0"/>
      </w:pPr>
    </w:p>
    <w:p>
      <w:r>
        <w:br w:type="page"/>
      </w:r>
    </w:p>
    <w:p>
      <w:pPr>
        <w:pStyle w:val="Heading1"/>
      </w:pPr>
      <w:r>
        <w:t>Case 1 teaching and transfer guide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025"/>
            <w:tcMar>
              <w:top w:w="100" w:type="dxa"/>
              <w:start w:w="130" w:type="dxa"/>
              <w:bottom w:w="100" w:type="dxa"/>
              <w:end w:w="130" w:type="dxa"/>
            </w:tcMar>
            <w:vAlign w:val="center"/>
            <w:shd w:fill="356F99"/>
          </w:tcPr>
          <w:p>
            <w:pPr>
              <w:spacing w:after="0"/>
              <w:jc w:val="center"/>
            </w:pPr>
            <w:r/>
            <w:r>
              <w:rPr>
                <w:rFonts w:ascii="Aptos" w:hAnsi="Aptos"/>
                <w:b/>
                <w:color w:val="FFFFFF"/>
                <w:sz w:val="16"/>
              </w:rPr>
              <w:t>Discussion question</w:t>
            </w:r>
          </w:p>
        </w:tc>
        <w:tc>
          <w:tcPr>
            <w:tcW w:type="dxa" w:w="5499"/>
            <w:tcMar>
              <w:top w:w="100" w:type="dxa"/>
              <w:start w:w="130" w:type="dxa"/>
              <w:bottom w:w="100" w:type="dxa"/>
              <w:end w:w="130" w:type="dxa"/>
            </w:tcMar>
            <w:vAlign w:val="center"/>
            <w:shd w:fill="356F99"/>
          </w:tcPr>
          <w:p>
            <w:pPr>
              <w:spacing w:after="0"/>
              <w:jc w:val="center"/>
            </w:pPr>
            <w:r/>
            <w:r>
              <w:rPr>
                <w:rFonts w:ascii="Aptos" w:hAnsi="Aptos"/>
                <w:b/>
                <w:color w:val="FFFFFF"/>
                <w:sz w:val="16"/>
              </w:rPr>
              <w:t>Suggested direction</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Which decision must remain visibly human in the imaging and attendance workflows?</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Scale through a controlled extension, not an automatic enterprise rollout.</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What should staff do—and never do—after a high no-show-risk prediction?</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Use attendance risk for supportive outreach, never punitive scheduling or denial of access.</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Which outcomes would demonstrate patient value beyond model accuracy?</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Measure completed appointments, time-to-care, false alerts, outreach burden, patient preference, subgroup performance and complaints.</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What subgroup and equity checks are required before expansion?</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Retain radiologist sign-off and make model output, confidence, override and final report auditable.</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What error or workflow failure should pause the pilot?</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Define stop criteria for clinically meaningful misses, inequity, privacy incidents and unowned alerts.</w:t>
            </w:r>
          </w:p>
        </w:tc>
      </w:tr>
    </w:tbl>
    <w:p>
      <w:pPr>
        <w:spacing w:after="0"/>
      </w:pPr>
    </w:p>
    <w:p>
      <w:pPr>
        <w:pStyle w:val="Heading2"/>
      </w:pPr>
      <w:r>
        <w:t>Workshop bridge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84"/>
            <w:tcMar>
              <w:top w:w="100" w:type="dxa"/>
              <w:start w:w="130" w:type="dxa"/>
              <w:bottom w:w="100" w:type="dxa"/>
              <w:end w:w="130" w:type="dxa"/>
            </w:tcMar>
            <w:vAlign w:val="center"/>
            <w:shd w:fill="C18B2F"/>
          </w:tcPr>
          <w:p>
            <w:pPr>
              <w:spacing w:after="0"/>
              <w:jc w:val="center"/>
            </w:pPr>
            <w:r/>
            <w:r>
              <w:rPr>
                <w:rFonts w:ascii="Aptos" w:hAnsi="Aptos"/>
                <w:b/>
                <w:color w:val="FFFFFF"/>
                <w:sz w:val="15"/>
              </w:rPr>
              <w:t>Demo</w:t>
            </w:r>
          </w:p>
        </w:tc>
        <w:tc>
          <w:tcPr>
            <w:tcW w:type="dxa" w:w="2381"/>
            <w:tcMar>
              <w:top w:w="100" w:type="dxa"/>
              <w:start w:w="130" w:type="dxa"/>
              <w:bottom w:w="100" w:type="dxa"/>
              <w:end w:w="130" w:type="dxa"/>
            </w:tcMar>
            <w:vAlign w:val="center"/>
            <w:shd w:fill="C18B2F"/>
          </w:tcPr>
          <w:p>
            <w:pPr>
              <w:spacing w:after="0"/>
              <w:jc w:val="center"/>
            </w:pPr>
            <w:r/>
            <w:r>
              <w:rPr>
                <w:rFonts w:ascii="Aptos" w:hAnsi="Aptos"/>
                <w:b/>
                <w:color w:val="FFFFFF"/>
                <w:sz w:val="15"/>
              </w:rPr>
              <w:t>Tools / prompt</w:t>
            </w:r>
          </w:p>
        </w:tc>
        <w:tc>
          <w:tcPr>
            <w:tcW w:type="dxa" w:w="2438"/>
            <w:tcMar>
              <w:top w:w="100" w:type="dxa"/>
              <w:start w:w="130" w:type="dxa"/>
              <w:bottom w:w="100" w:type="dxa"/>
              <w:end w:w="130" w:type="dxa"/>
            </w:tcMar>
            <w:vAlign w:val="center"/>
            <w:shd w:fill="C18B2F"/>
          </w:tcPr>
          <w:p>
            <w:pPr>
              <w:spacing w:after="0"/>
              <w:jc w:val="center"/>
            </w:pPr>
            <w:r/>
            <w:r>
              <w:rPr>
                <w:rFonts w:ascii="Aptos" w:hAnsi="Aptos"/>
                <w:b/>
                <w:color w:val="FFFFFF"/>
                <w:sz w:val="15"/>
              </w:rPr>
              <w:t>Expected output</w:t>
            </w:r>
          </w:p>
        </w:tc>
        <w:tc>
          <w:tcPr>
            <w:tcW w:type="dxa" w:w="2721"/>
            <w:tcMar>
              <w:top w:w="100" w:type="dxa"/>
              <w:start w:w="130" w:type="dxa"/>
              <w:bottom w:w="100" w:type="dxa"/>
              <w:end w:w="130" w:type="dxa"/>
            </w:tcMar>
            <w:vAlign w:val="center"/>
            <w:shd w:fill="C18B2F"/>
          </w:tcPr>
          <w:p>
            <w:pPr>
              <w:spacing w:after="0"/>
              <w:jc w:val="center"/>
            </w:pPr>
            <w:r/>
            <w:r>
              <w:rPr>
                <w:rFonts w:ascii="Aptos" w:hAnsi="Aptos"/>
                <w:b/>
                <w:color w:val="FFFFFF"/>
                <w:sz w:val="15"/>
              </w:rPr>
              <w:t>Human checkpoint</w:t>
            </w:r>
          </w:p>
        </w:tc>
      </w:tr>
      <w:tr>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5"/>
              </w:rPr>
              <w:t>Redesign a prediction-to-action workflow</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ChatGPT Prompt 8 plus an approved vendor evidence pack • Prompt 8</w:t>
            </w:r>
          </w:p>
        </w:tc>
        <w:tc>
          <w:tcPr>
            <w:tcW w:type="dxa" w:w="2438"/>
            <w:tcMar>
              <w:top w:w="100" w:type="dxa"/>
              <w:start w:w="130" w:type="dxa"/>
              <w:bottom w:w="100" w:type="dxa"/>
              <w:end w:w="130" w:type="dxa"/>
            </w:tcMar>
            <w:vAlign w:val="center"/>
            <w:shd w:fill="F7F4EE"/>
          </w:tcPr>
          <w:p>
            <w:pPr>
              <w:spacing w:after="0"/>
            </w:pPr>
            <w:r/>
            <w:r>
              <w:rPr>
                <w:rFonts w:ascii="Aptos" w:hAnsi="Aptos"/>
                <w:b w:val="0"/>
                <w:color w:val="18313F"/>
                <w:sz w:val="15"/>
              </w:rPr>
              <w:t>Vendor/workflow due-diligence table and controlled-pilot decision.</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Clinical, privacy, equity, IT/security and operational owners approve before deployment.</w:t>
            </w:r>
          </w:p>
        </w:tc>
      </w:tr>
    </w:tbl>
    <w:p>
      <w:pPr>
        <w:spacing w:after="0"/>
      </w:pPr>
    </w:p>
    <w:p>
      <w:pPr>
        <w:pStyle w:val="ListBullet"/>
        <w:spacing w:after="60"/>
        <w:ind w:left="312" w:hanging="142"/>
      </w:pPr>
      <w:r>
        <w:t>Define intended user, patient population and exact decision.</w:t>
      </w:r>
    </w:p>
    <w:p>
      <w:pPr>
        <w:pStyle w:val="ListBullet"/>
        <w:spacing w:after="60"/>
        <w:ind w:left="312" w:hanging="142"/>
      </w:pPr>
      <w:r>
        <w:t>Separate reported performance from evidence still required locally.</w:t>
      </w:r>
    </w:p>
    <w:p>
      <w:pPr>
        <w:pStyle w:val="ListBullet"/>
        <w:spacing w:after="60"/>
        <w:ind w:left="312" w:hanging="142"/>
      </w:pPr>
      <w:r>
        <w:t>Write supportive outreach rules, override and audit requirements.</w:t>
      </w:r>
    </w:p>
    <w:p>
      <w:pPr>
        <w:pStyle w:val="ListBullet"/>
        <w:spacing w:after="60"/>
        <w:ind w:left="312" w:hanging="142"/>
      </w:pPr>
      <w:r>
        <w:t>Choose patient-value, safety, equity and workload measures.</w:t>
      </w:r>
    </w:p>
    <w:p>
      <w:pPr>
        <w:pStyle w:val="ListBullet"/>
        <w:spacing w:after="60"/>
        <w:ind w:left="312" w:hanging="142"/>
      </w:pPr>
      <w:r>
        <w:t>Set continue, redesign and stop thresholds.</w:t>
      </w: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TRANSFER ASSIGNMENT</w:t>
            </w:r>
          </w:p>
          <w:p>
            <w:pPr>
              <w:spacing w:after="0"/>
            </w:pPr>
            <w:r>
              <w:rPr>
                <w:rFonts w:ascii="Aptos" w:hAnsi="Aptos"/>
                <w:color w:val="18313F"/>
                <w:sz w:val="19"/>
              </w:rPr>
              <w:t>Draft a one-page pilot charter for appointment outreach that makes patient choice, staff responsibility, equity monitoring and stop criteria explicit.</w:t>
            </w:r>
          </w:p>
        </w:tc>
      </w:tr>
    </w:tbl>
    <w:p>
      <w:pPr>
        <w:spacing w:after="0"/>
      </w:pPr>
    </w:p>
    <w:p>
      <w:r>
        <w:rPr>
          <w:b/>
          <w:color w:val="0B6E69"/>
        </w:rPr>
        <w:t>Participant decision and evidence: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CASE 2</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Qatar perceptions — What family physicians expect and fear</w:t>
            </w:r>
          </w:p>
        </w:tc>
      </w:tr>
    </w:tbl>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MANAGEMENT DILEMMA</w:t>
            </w:r>
          </w:p>
          <w:p>
            <w:pPr>
              <w:spacing w:after="0"/>
            </w:pPr>
            <w:r>
              <w:rPr>
                <w:rFonts w:ascii="Aptos" w:hAnsi="Aptos"/>
                <w:color w:val="18313F"/>
                <w:sz w:val="19"/>
              </w:rPr>
              <w:t>How should a primary-care organisation introduce AI when clinicians see potential value but remain concerned about confidentiality, accountability and patient satisfaction?</w:t>
            </w:r>
          </w:p>
        </w:tc>
      </w:tr>
    </w:tbl>
    <w:p>
      <w:pPr>
        <w:spacing w:after="0"/>
      </w:pPr>
    </w:p>
    <w:p>
      <w:pPr>
        <w:pStyle w:val="Heading2"/>
      </w:pPr>
      <w:r>
        <w:t>Case context</w:t>
      </w:r>
    </w:p>
    <w:p>
      <w:r>
        <w:t>Family physicians in Qatar were surveyed about their awareness and perceptions of AI applications in primary care. The case reveals that adoption depends on trust, accountability, confidentiality and patient experience—not awareness alone.</w:t>
      </w:r>
    </w:p>
    <w:p>
      <w:pPr>
        <w:pStyle w:val="Heading2"/>
      </w:pPr>
      <w:r>
        <w:t>Case narrative</w:t>
      </w:r>
    </w:p>
    <w:p>
      <w:r>
        <w:t>The cross-sectional survey received 102 eligible responses from 724 invited family physicians. It reported that 78.4% were aware of AI and that respondents perceived possible value in clinical, administrative and public-health tasks.</w:t>
      </w:r>
    </w:p>
    <w:p>
      <w:r>
        <w:t>The same respondents raised concerns about confidentiality, accountability and patient satisfaction. Because this was a perception survey, it cannot establish clinical effectiveness or safety.</w:t>
      </w:r>
    </w:p>
    <w:p>
      <w:r>
        <w:t>Leadership therefore faces a social and operating-model problem. A product demonstration may increase curiosity but will not answer who remains accountable, what data may be entered, how a patient is informed, or what happens when the tool is wrong.</w:t>
      </w:r>
    </w:p>
    <w:p>
      <w:r>
        <w:t>A patient-centric introduction should begin with a bounded workflow, visible safeguards, training and a channel for clinicians and patients to report concerns.</w:t>
      </w:r>
    </w:p>
    <w:p>
      <w:pPr>
        <w:pStyle w:val="Heading2"/>
      </w:pPr>
      <w:r>
        <w:t>Key facts</w:t>
      </w:r>
    </w:p>
    <w:p>
      <w:pPr>
        <w:pStyle w:val="ListBullet"/>
        <w:spacing w:after="60"/>
        <w:ind w:left="312" w:hanging="142"/>
      </w:pPr>
      <w:r>
        <w:t>2024 cross-sectional perception survey.</w:t>
      </w:r>
    </w:p>
    <w:p>
      <w:pPr>
        <w:pStyle w:val="ListBullet"/>
        <w:spacing w:after="60"/>
        <w:ind w:left="312" w:hanging="142"/>
      </w:pPr>
      <w:r>
        <w:t>102 eligible responses from 724 invited physicians.</w:t>
      </w:r>
    </w:p>
    <w:p>
      <w:pPr>
        <w:pStyle w:val="ListBullet"/>
        <w:spacing w:after="60"/>
        <w:ind w:left="312" w:hanging="142"/>
      </w:pPr>
      <w:r>
        <w:t>78.4% reported AI awareness.</w:t>
      </w:r>
    </w:p>
    <w:p>
      <w:pPr>
        <w:pStyle w:val="ListBullet"/>
        <w:spacing w:after="60"/>
        <w:ind w:left="312" w:hanging="142"/>
      </w:pPr>
      <w:r>
        <w:t>Positive expectations coexisted with confidentiality, accountability and satisfaction concerns.</w:t>
      </w:r>
    </w:p>
    <w:p>
      <w:pPr>
        <w:pStyle w:val="ListBullet"/>
        <w:spacing w:after="60"/>
        <w:ind w:left="312" w:hanging="142"/>
      </w:pPr>
      <w:r>
        <w:t>The study did not test clinical effectiveness.</w:t>
      </w:r>
    </w:p>
    <w:p>
      <w:r>
        <w:rPr>
          <w:color w:val="356F99"/>
          <w:sz w:val="16"/>
        </w:rPr>
        <w:t>Primary source: https://ai.jmir.org/2024/1/e40781</w:t>
      </w:r>
    </w:p>
    <w:p>
      <w:r>
        <w:br w:type="page"/>
      </w:r>
    </w:p>
    <w:p>
      <w:pPr>
        <w:pStyle w:val="Heading1"/>
      </w:pPr>
      <w:r>
        <w:t>Case 2 evidence and patient-centric analysis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81"/>
            <w:tcMar>
              <w:top w:w="100" w:type="dxa"/>
              <w:start w:w="130" w:type="dxa"/>
              <w:bottom w:w="100" w:type="dxa"/>
              <w:end w:w="130" w:type="dxa"/>
            </w:tcMar>
            <w:vAlign w:val="center"/>
            <w:shd w:fill="0B6E69"/>
          </w:tcPr>
          <w:p>
            <w:pPr>
              <w:spacing w:after="0"/>
              <w:jc w:val="center"/>
            </w:pPr>
            <w:r/>
            <w:r>
              <w:rPr>
                <w:rFonts w:ascii="Aptos" w:hAnsi="Aptos"/>
                <w:b/>
                <w:color w:val="FFFFFF"/>
                <w:sz w:val="15"/>
              </w:rPr>
              <w:t>Reported signal</w:t>
            </w:r>
          </w:p>
        </w:tc>
        <w:tc>
          <w:tcPr>
            <w:tcW w:type="dxa" w:w="1928"/>
            <w:tcMar>
              <w:top w:w="100" w:type="dxa"/>
              <w:start w:w="130" w:type="dxa"/>
              <w:bottom w:w="100" w:type="dxa"/>
              <w:end w:w="130" w:type="dxa"/>
            </w:tcMar>
            <w:vAlign w:val="center"/>
            <w:shd w:fill="0B6E69"/>
          </w:tcPr>
          <w:p>
            <w:pPr>
              <w:spacing w:after="0"/>
              <w:jc w:val="center"/>
            </w:pPr>
            <w:r/>
            <w:r>
              <w:rPr>
                <w:rFonts w:ascii="Aptos" w:hAnsi="Aptos"/>
                <w:b/>
                <w:color w:val="FFFFFF"/>
                <w:sz w:val="15"/>
              </w:rPr>
              <w:t>Evidence label</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5"/>
              </w:rPr>
              <w:t>Limitation</w:t>
            </w:r>
          </w:p>
        </w:tc>
        <w:tc>
          <w:tcPr>
            <w:tcW w:type="dxa" w:w="2494"/>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r>
      <w:tr>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78.4% reported AI awareness; respondents perceived value in task management but raised confidentiality, accountability and patient-satisfaction concerns.</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5"/>
              </w:rPr>
              <w:t>2024 cross-sectional perception survey</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Self-reported perceptions from 102 of 724 invited physicians; not a clinical-effectiveness study.</w:t>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5"/>
              </w:rPr>
              <w:t>Physicians asked for training, governance and clear accountability.</w:t>
            </w:r>
          </w:p>
        </w:tc>
      </w:tr>
    </w:tbl>
    <w:p>
      <w:pPr>
        <w:spacing w:after="0"/>
      </w:pPr>
    </w:p>
    <w:p>
      <w:pPr>
        <w:pStyle w:val="Heading2"/>
      </w:pPr>
      <w:r>
        <w:t>Stakeholder map</w:t>
      </w:r>
    </w:p>
    <w:p>
      <w:pPr>
        <w:pStyle w:val="ListBullet"/>
        <w:spacing w:after="60"/>
        <w:ind w:left="312" w:hanging="142"/>
      </w:pPr>
      <w:r>
        <w:t>Family physicians and clinical leaders</w:t>
      </w:r>
    </w:p>
    <w:p>
      <w:pPr>
        <w:pStyle w:val="ListBullet"/>
        <w:spacing w:after="60"/>
        <w:ind w:left="312" w:hanging="142"/>
      </w:pPr>
      <w:r>
        <w:t>Patients and caregivers</w:t>
      </w:r>
    </w:p>
    <w:p>
      <w:pPr>
        <w:pStyle w:val="ListBullet"/>
        <w:spacing w:after="60"/>
        <w:ind w:left="312" w:hanging="142"/>
      </w:pPr>
      <w:r>
        <w:t>Privacy, information-security and legal teams</w:t>
      </w:r>
    </w:p>
    <w:p>
      <w:pPr>
        <w:pStyle w:val="ListBullet"/>
        <w:spacing w:after="60"/>
        <w:ind w:left="312" w:hanging="142"/>
      </w:pPr>
      <w:r>
        <w:t>Training and quality-improvement teams</w:t>
      </w:r>
    </w:p>
    <w:p>
      <w:pPr>
        <w:pStyle w:val="ListBullet"/>
        <w:spacing w:after="60"/>
        <w:ind w:left="312" w:hanging="142"/>
      </w:pPr>
      <w:r>
        <w:t>Technology vendors and service owners</w:t>
      </w:r>
    </w:p>
    <w:p>
      <w:pPr>
        <w:pStyle w:val="Heading2"/>
      </w:pPr>
      <w:r>
        <w:t>Patient-centric risks</w:t>
      </w:r>
    </w:p>
    <w:p>
      <w:pPr>
        <w:pStyle w:val="ListBullet"/>
        <w:spacing w:after="60"/>
        <w:ind w:left="312" w:hanging="142"/>
      </w:pPr>
      <w:r>
        <w:t>Patients may not understand that AI assisted the encounter or communication.</w:t>
      </w:r>
    </w:p>
    <w:p>
      <w:pPr>
        <w:pStyle w:val="ListBullet"/>
        <w:spacing w:after="60"/>
        <w:ind w:left="312" w:hanging="142"/>
      </w:pPr>
      <w:r>
        <w:t>Clinicians may over-trust or avoid a tool because accountability is unclear.</w:t>
      </w:r>
    </w:p>
    <w:p>
      <w:pPr>
        <w:pStyle w:val="ListBullet"/>
        <w:spacing w:after="60"/>
        <w:ind w:left="312" w:hanging="142"/>
      </w:pPr>
      <w:r>
        <w:t>Confidential information may enter an unapproved environment.</w:t>
      </w:r>
    </w:p>
    <w:p>
      <w:pPr>
        <w:pStyle w:val="ListBullet"/>
        <w:spacing w:after="60"/>
        <w:ind w:left="312" w:hanging="142"/>
      </w:pPr>
      <w:r>
        <w:t>Implementation may optimise task speed while reducing conversation quality.</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CENTRAL LESSON</w:t>
            </w:r>
          </w:p>
          <w:p>
            <w:pPr>
              <w:spacing w:after="0"/>
            </w:pPr>
            <w:r>
              <w:rPr>
                <w:rFonts w:ascii="Aptos" w:hAnsi="Aptos"/>
                <w:color w:val="18313F"/>
                <w:sz w:val="19"/>
              </w:rPr>
              <w:t>Adoption is a trust and operating-model problem, not only a model problem.</w:t>
            </w:r>
          </w:p>
        </w:tc>
      </w:tr>
    </w:tbl>
    <w:p>
      <w:pPr>
        <w:spacing w:after="0"/>
      </w:pPr>
    </w:p>
    <w:p>
      <w:r>
        <w:br w:type="page"/>
      </w:r>
    </w:p>
    <w:p>
      <w:pPr>
        <w:pStyle w:val="Heading1"/>
      </w:pPr>
      <w:r>
        <w:t>Case 2 teaching and transfer guide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025"/>
            <w:tcMar>
              <w:top w:w="100" w:type="dxa"/>
              <w:start w:w="130" w:type="dxa"/>
              <w:bottom w:w="100" w:type="dxa"/>
              <w:end w:w="130" w:type="dxa"/>
            </w:tcMar>
            <w:vAlign w:val="center"/>
            <w:shd w:fill="356F99"/>
          </w:tcPr>
          <w:p>
            <w:pPr>
              <w:spacing w:after="0"/>
              <w:jc w:val="center"/>
            </w:pPr>
            <w:r/>
            <w:r>
              <w:rPr>
                <w:rFonts w:ascii="Aptos" w:hAnsi="Aptos"/>
                <w:b/>
                <w:color w:val="FFFFFF"/>
                <w:sz w:val="16"/>
              </w:rPr>
              <w:t>Discussion question</w:t>
            </w:r>
          </w:p>
        </w:tc>
        <w:tc>
          <w:tcPr>
            <w:tcW w:type="dxa" w:w="5499"/>
            <w:tcMar>
              <w:top w:w="100" w:type="dxa"/>
              <w:start w:w="130" w:type="dxa"/>
              <w:bottom w:w="100" w:type="dxa"/>
              <w:end w:w="130" w:type="dxa"/>
            </w:tcMar>
            <w:vAlign w:val="center"/>
            <w:shd w:fill="356F99"/>
          </w:tcPr>
          <w:p>
            <w:pPr>
              <w:spacing w:after="0"/>
              <w:jc w:val="center"/>
            </w:pPr>
            <w:r/>
            <w:r>
              <w:rPr>
                <w:rFonts w:ascii="Aptos" w:hAnsi="Aptos"/>
                <w:b/>
                <w:color w:val="FFFFFF"/>
                <w:sz w:val="16"/>
              </w:rPr>
              <w:t>Suggested direction</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What assurance would clinicians need before using a new AI tool?</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Select a low-risk, reviewable workflow such as synthetic training or draft patient education from approved evidence.</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What notice, consent or explanation should a patient receive?</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Publish a simple responsibility map covering input, review, release, escalation and audit.</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Who owns an incorrect output and its downstream consequences?</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Train users on limitations, privacy and verification rather than interface navigation alone.</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Which first use case is valuable, bounded and reversible?</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Collect both patient and clinician feedback; include opt-out and complaint routes where appropriate.</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How should patient satisfaction and clinician trust be measured?</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Treat trust as an outcome to measure, not a communication problem to manage away.</w:t>
            </w:r>
          </w:p>
        </w:tc>
      </w:tr>
    </w:tbl>
    <w:p>
      <w:pPr>
        <w:spacing w:after="0"/>
      </w:pPr>
    </w:p>
    <w:p>
      <w:pPr>
        <w:pStyle w:val="Heading2"/>
      </w:pPr>
      <w:r>
        <w:t>Workshop bridge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84"/>
            <w:tcMar>
              <w:top w:w="100" w:type="dxa"/>
              <w:start w:w="130" w:type="dxa"/>
              <w:bottom w:w="100" w:type="dxa"/>
              <w:end w:w="130" w:type="dxa"/>
            </w:tcMar>
            <w:vAlign w:val="center"/>
            <w:shd w:fill="C18B2F"/>
          </w:tcPr>
          <w:p>
            <w:pPr>
              <w:spacing w:after="0"/>
              <w:jc w:val="center"/>
            </w:pPr>
            <w:r/>
            <w:r>
              <w:rPr>
                <w:rFonts w:ascii="Aptos" w:hAnsi="Aptos"/>
                <w:b/>
                <w:color w:val="FFFFFF"/>
                <w:sz w:val="15"/>
              </w:rPr>
              <w:t>Demo</w:t>
            </w:r>
          </w:p>
        </w:tc>
        <w:tc>
          <w:tcPr>
            <w:tcW w:type="dxa" w:w="2381"/>
            <w:tcMar>
              <w:top w:w="100" w:type="dxa"/>
              <w:start w:w="130" w:type="dxa"/>
              <w:bottom w:w="100" w:type="dxa"/>
              <w:end w:w="130" w:type="dxa"/>
            </w:tcMar>
            <w:vAlign w:val="center"/>
            <w:shd w:fill="C18B2F"/>
          </w:tcPr>
          <w:p>
            <w:pPr>
              <w:spacing w:after="0"/>
              <w:jc w:val="center"/>
            </w:pPr>
            <w:r/>
            <w:r>
              <w:rPr>
                <w:rFonts w:ascii="Aptos" w:hAnsi="Aptos"/>
                <w:b/>
                <w:color w:val="FFFFFF"/>
                <w:sz w:val="15"/>
              </w:rPr>
              <w:t>Tools / prompt</w:t>
            </w:r>
          </w:p>
        </w:tc>
        <w:tc>
          <w:tcPr>
            <w:tcW w:type="dxa" w:w="2438"/>
            <w:tcMar>
              <w:top w:w="100" w:type="dxa"/>
              <w:start w:w="130" w:type="dxa"/>
              <w:bottom w:w="100" w:type="dxa"/>
              <w:end w:w="130" w:type="dxa"/>
            </w:tcMar>
            <w:vAlign w:val="center"/>
            <w:shd w:fill="C18B2F"/>
          </w:tcPr>
          <w:p>
            <w:pPr>
              <w:spacing w:after="0"/>
              <w:jc w:val="center"/>
            </w:pPr>
            <w:r/>
            <w:r>
              <w:rPr>
                <w:rFonts w:ascii="Aptos" w:hAnsi="Aptos"/>
                <w:b/>
                <w:color w:val="FFFFFF"/>
                <w:sz w:val="15"/>
              </w:rPr>
              <w:t>Expected output</w:t>
            </w:r>
          </w:p>
        </w:tc>
        <w:tc>
          <w:tcPr>
            <w:tcW w:type="dxa" w:w="2721"/>
            <w:tcMar>
              <w:top w:w="100" w:type="dxa"/>
              <w:start w:w="130" w:type="dxa"/>
              <w:bottom w:w="100" w:type="dxa"/>
              <w:end w:w="130" w:type="dxa"/>
            </w:tcMar>
            <w:vAlign w:val="center"/>
            <w:shd w:fill="C18B2F"/>
          </w:tcPr>
          <w:p>
            <w:pPr>
              <w:spacing w:after="0"/>
              <w:jc w:val="center"/>
            </w:pPr>
            <w:r/>
            <w:r>
              <w:rPr>
                <w:rFonts w:ascii="Aptos" w:hAnsi="Aptos"/>
                <w:b/>
                <w:color w:val="FFFFFF"/>
                <w:sz w:val="15"/>
              </w:rPr>
              <w:t>Human checkpoint</w:t>
            </w:r>
          </w:p>
        </w:tc>
      </w:tr>
      <w:tr>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5"/>
              </w:rPr>
              <w:t>Build an AI adoption assurance plan</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ChatGPT Prompt 6 and the Demo Readiness Checklist • Prompt 6</w:t>
            </w:r>
          </w:p>
        </w:tc>
        <w:tc>
          <w:tcPr>
            <w:tcW w:type="dxa" w:w="2438"/>
            <w:tcMar>
              <w:top w:w="100" w:type="dxa"/>
              <w:start w:w="130" w:type="dxa"/>
              <w:bottom w:w="100" w:type="dxa"/>
              <w:end w:w="130" w:type="dxa"/>
            </w:tcMar>
            <w:vAlign w:val="center"/>
            <w:shd w:fill="F7F4EE"/>
          </w:tcPr>
          <w:p>
            <w:pPr>
              <w:spacing w:after="0"/>
            </w:pPr>
            <w:r/>
            <w:r>
              <w:rPr>
                <w:rFonts w:ascii="Aptos" w:hAnsi="Aptos"/>
                <w:b w:val="0"/>
                <w:color w:val="18313F"/>
                <w:sz w:val="15"/>
              </w:rPr>
              <w:t>Six-week controlled pilot charter.</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Clinical governance, privacy, IT/security and service ownership approve the pilot.</w:t>
            </w:r>
          </w:p>
        </w:tc>
      </w:tr>
    </w:tbl>
    <w:p>
      <w:pPr>
        <w:spacing w:after="0"/>
      </w:pPr>
    </w:p>
    <w:p>
      <w:pPr>
        <w:pStyle w:val="ListBullet"/>
        <w:spacing w:after="60"/>
        <w:ind w:left="312" w:hanging="142"/>
      </w:pPr>
      <w:r>
        <w:t>Choose one bounded primary-care workflow.</w:t>
      </w:r>
    </w:p>
    <w:p>
      <w:pPr>
        <w:pStyle w:val="ListBullet"/>
        <w:spacing w:after="60"/>
        <w:ind w:left="312" w:hanging="142"/>
      </w:pPr>
      <w:r>
        <w:t>Define intended and excluded uses.</w:t>
      </w:r>
    </w:p>
    <w:p>
      <w:pPr>
        <w:pStyle w:val="ListBullet"/>
        <w:spacing w:after="60"/>
        <w:ind w:left="312" w:hanging="142"/>
      </w:pPr>
      <w:r>
        <w:t>Map notice/consent, minimum data and accountable reviewers.</w:t>
      </w:r>
    </w:p>
    <w:p>
      <w:pPr>
        <w:pStyle w:val="ListBullet"/>
        <w:spacing w:after="60"/>
        <w:ind w:left="312" w:hanging="142"/>
      </w:pPr>
      <w:r>
        <w:t>Specify trust, experience, time and safety measures.</w:t>
      </w:r>
    </w:p>
    <w:p>
      <w:pPr>
        <w:pStyle w:val="ListBullet"/>
        <w:spacing w:after="60"/>
        <w:ind w:left="312" w:hanging="142"/>
      </w:pPr>
      <w:r>
        <w:t>Write rollback and stop criteria.</w:t>
      </w: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TRANSFER ASSIGNMENT</w:t>
            </w:r>
          </w:p>
          <w:p>
            <w:pPr>
              <w:spacing w:after="0"/>
            </w:pPr>
            <w:r>
              <w:rPr>
                <w:rFonts w:ascii="Aptos" w:hAnsi="Aptos"/>
                <w:color w:val="18313F"/>
                <w:sz w:val="19"/>
              </w:rPr>
              <w:t>Create a one-page assurance statement that a clinician could explain to a patient and a regulator.</w:t>
            </w:r>
          </w:p>
        </w:tc>
      </w:tr>
    </w:tbl>
    <w:p>
      <w:pPr>
        <w:spacing w:after="0"/>
      </w:pPr>
    </w:p>
    <w:p>
      <w:r>
        <w:rPr>
          <w:b/>
          <w:color w:val="0B6E69"/>
        </w:rPr>
        <w:t>Participant decision and evidence: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C18B2F"/>
          </w:tcPr>
          <w:p>
            <w:pPr>
              <w:spacing w:after="0"/>
              <w:jc w:val="center"/>
            </w:pPr>
            <w:r/>
            <w:r>
              <w:rPr>
                <w:rFonts w:ascii="Aptos" w:hAnsi="Aptos"/>
                <w:b/>
                <w:color w:val="FFFFFF"/>
                <w:sz w:val="18"/>
              </w:rPr>
              <w:t>CASE 3</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China teaching — Generative AI in case-based medical learning</w:t>
            </w:r>
          </w:p>
        </w:tc>
      </w:tr>
    </w:tbl>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MANAGEMENT DILEMMA</w:t>
            </w:r>
          </w:p>
          <w:p>
            <w:pPr>
              <w:spacing w:after="0"/>
            </w:pPr>
            <w:r>
              <w:rPr>
                <w:rFonts w:ascii="Aptos" w:hAnsi="Aptos"/>
                <w:color w:val="18313F"/>
                <w:sz w:val="19"/>
              </w:rPr>
              <w:t>How can faculty use generative AI to reduce unproductive search time without removing productive struggle and independent reasoning?</w:t>
            </w:r>
          </w:p>
        </w:tc>
      </w:tr>
    </w:tbl>
    <w:p>
      <w:pPr>
        <w:spacing w:after="0"/>
      </w:pPr>
    </w:p>
    <w:p>
      <w:pPr>
        <w:pStyle w:val="Heading2"/>
      </w:pPr>
      <w:r>
        <w:t>Case context</w:t>
      </w:r>
    </w:p>
    <w:p>
      <w:r>
        <w:t>A comparative medical-education study at Chengdu Medical College examined the use of Kimi Chat 2.0 during a liver-cancer case assignment. It suggests efficiency and performance gains while exposing risks to reasoning, originality and interaction.</w:t>
      </w:r>
    </w:p>
    <w:p>
      <w:pPr>
        <w:pStyle w:val="Heading2"/>
      </w:pPr>
      <w:r>
        <w:t>Case narrative</w:t>
      </w:r>
    </w:p>
    <w:p>
      <w:r>
        <w:t>The study involved 79 students in two intact classes: a control group of 40 and an AI group of 39. The AI group used Kimi Chat 2.0 to research and present a liver-cancer case.</w:t>
      </w:r>
    </w:p>
    <w:p>
      <w:r>
        <w:t>Reported assignment time was 2.6 hours for the AI group versus 5.5 hours for the control group. Final scores were 77.3±4.3 versus 66.5±5.4, case scores 8.7±2.1 versus 6.4±3.5, and teacher questions fell from 35 to 10.</w:t>
      </w:r>
    </w:p>
    <w:p>
      <w:r>
        <w:t>These findings come from one course and two intact classes; they are educational signals, not clinical outcomes or universal proof that AI improves learning.</w:t>
      </w:r>
    </w:p>
    <w:p>
      <w:r>
        <w:t>The patient-centric connection is indirect but important: medical education should produce professionals who can notice uncertainty, challenge assumptions and communicate responsibly. Instant answers can weaken those capabilities if the activity is not redesigned.</w:t>
      </w:r>
    </w:p>
    <w:p>
      <w:pPr>
        <w:pStyle w:val="Heading2"/>
      </w:pPr>
      <w:r>
        <w:t>Key facts</w:t>
      </w:r>
    </w:p>
    <w:p>
      <w:pPr>
        <w:pStyle w:val="ListBullet"/>
        <w:spacing w:after="60"/>
        <w:ind w:left="312" w:hanging="142"/>
      </w:pPr>
      <w:r>
        <w:t>2025 comparative educational study, n=79.</w:t>
      </w:r>
    </w:p>
    <w:p>
      <w:pPr>
        <w:pStyle w:val="ListBullet"/>
        <w:spacing w:after="60"/>
        <w:ind w:left="312" w:hanging="142"/>
      </w:pPr>
      <w:r>
        <w:t>Control n=40; AI group n=39.</w:t>
      </w:r>
    </w:p>
    <w:p>
      <w:pPr>
        <w:pStyle w:val="ListBullet"/>
        <w:spacing w:after="60"/>
        <w:ind w:left="312" w:hanging="142"/>
      </w:pPr>
      <w:r>
        <w:t>Kimi Chat 2.0 used for a liver-cancer case assignment.</w:t>
      </w:r>
    </w:p>
    <w:p>
      <w:pPr>
        <w:pStyle w:val="ListBullet"/>
        <w:spacing w:after="60"/>
        <w:ind w:left="312" w:hanging="142"/>
      </w:pPr>
      <w:r>
        <w:t>Reported reductions in assignment time and teacher questions, with higher scores.</w:t>
      </w:r>
    </w:p>
    <w:p>
      <w:pPr>
        <w:pStyle w:val="ListBullet"/>
        <w:spacing w:after="60"/>
        <w:ind w:left="312" w:hanging="142"/>
      </w:pPr>
      <w:r>
        <w:t>Single-course, non-randomised institutional context limits generalisation.</w:t>
      </w:r>
    </w:p>
    <w:p>
      <w:r>
        <w:rPr>
          <w:color w:val="356F99"/>
          <w:sz w:val="16"/>
        </w:rPr>
        <w:t>Primary source: https://link.springer.com/article/10.1186/s12909-025-07567-z</w:t>
      </w:r>
    </w:p>
    <w:p>
      <w:r>
        <w:br w:type="page"/>
      </w:r>
    </w:p>
    <w:p>
      <w:pPr>
        <w:pStyle w:val="Heading1"/>
      </w:pPr>
      <w:r>
        <w:t>Case 3 evidence and patient-centric analysis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81"/>
            <w:tcMar>
              <w:top w:w="100" w:type="dxa"/>
              <w:start w:w="130" w:type="dxa"/>
              <w:bottom w:w="100" w:type="dxa"/>
              <w:end w:w="130" w:type="dxa"/>
            </w:tcMar>
            <w:vAlign w:val="center"/>
            <w:shd w:fill="0B6E69"/>
          </w:tcPr>
          <w:p>
            <w:pPr>
              <w:spacing w:after="0"/>
              <w:jc w:val="center"/>
            </w:pPr>
            <w:r/>
            <w:r>
              <w:rPr>
                <w:rFonts w:ascii="Aptos" w:hAnsi="Aptos"/>
                <w:b/>
                <w:color w:val="FFFFFF"/>
                <w:sz w:val="15"/>
              </w:rPr>
              <w:t>Reported signal</w:t>
            </w:r>
          </w:p>
        </w:tc>
        <w:tc>
          <w:tcPr>
            <w:tcW w:type="dxa" w:w="1928"/>
            <w:tcMar>
              <w:top w:w="100" w:type="dxa"/>
              <w:start w:w="130" w:type="dxa"/>
              <w:bottom w:w="100" w:type="dxa"/>
              <w:end w:w="130" w:type="dxa"/>
            </w:tcMar>
            <w:vAlign w:val="center"/>
            <w:shd w:fill="0B6E69"/>
          </w:tcPr>
          <w:p>
            <w:pPr>
              <w:spacing w:after="0"/>
              <w:jc w:val="center"/>
            </w:pPr>
            <w:r/>
            <w:r>
              <w:rPr>
                <w:rFonts w:ascii="Aptos" w:hAnsi="Aptos"/>
                <w:b/>
                <w:color w:val="FFFFFF"/>
                <w:sz w:val="15"/>
              </w:rPr>
              <w:t>Evidence label</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5"/>
              </w:rPr>
              <w:t>Limitation</w:t>
            </w:r>
          </w:p>
        </w:tc>
        <w:tc>
          <w:tcPr>
            <w:tcW w:type="dxa" w:w="2494"/>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r>
      <w:tr>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Assignment time was 2.6 vs 5.5 hours; final scores 77.3±4.3 vs 66.5±5.4; teacher questions fell from 35 to 10.</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5"/>
              </w:rPr>
              <w:t>2025 comparative educational study</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Two intact classes in one course; not randomised across institutions; learning and grading findings should not be treated as clinical outcomes.</w:t>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5"/>
              </w:rPr>
              <w:t>Faculty discussion remains essential for reasoning, originality and challenge.</w:t>
            </w:r>
          </w:p>
        </w:tc>
      </w:tr>
    </w:tbl>
    <w:p>
      <w:pPr>
        <w:spacing w:after="0"/>
      </w:pPr>
    </w:p>
    <w:p>
      <w:pPr>
        <w:pStyle w:val="Heading2"/>
      </w:pPr>
      <w:r>
        <w:t>Stakeholder map</w:t>
      </w:r>
    </w:p>
    <w:p>
      <w:pPr>
        <w:pStyle w:val="ListBullet"/>
        <w:spacing w:after="60"/>
        <w:ind w:left="312" w:hanging="142"/>
      </w:pPr>
      <w:r>
        <w:t>Students and faculty</w:t>
      </w:r>
    </w:p>
    <w:p>
      <w:pPr>
        <w:pStyle w:val="ListBullet"/>
        <w:spacing w:after="60"/>
        <w:ind w:left="312" w:hanging="142"/>
      </w:pPr>
      <w:r>
        <w:t>Curriculum and assessment leaders</w:t>
      </w:r>
    </w:p>
    <w:p>
      <w:pPr>
        <w:pStyle w:val="ListBullet"/>
        <w:spacing w:after="60"/>
        <w:ind w:left="312" w:hanging="142"/>
      </w:pPr>
      <w:r>
        <w:t>Future patients relying on graduates' reasoning</w:t>
      </w:r>
    </w:p>
    <w:p>
      <w:pPr>
        <w:pStyle w:val="ListBullet"/>
        <w:spacing w:after="60"/>
        <w:ind w:left="312" w:hanging="142"/>
      </w:pPr>
      <w:r>
        <w:t>Academic-integrity and technology teams</w:t>
      </w:r>
    </w:p>
    <w:p>
      <w:pPr>
        <w:pStyle w:val="ListBullet"/>
        <w:spacing w:after="60"/>
        <w:ind w:left="312" w:hanging="142"/>
      </w:pPr>
      <w:r>
        <w:t>Accreditation and quality-assurance bodies</w:t>
      </w:r>
    </w:p>
    <w:p>
      <w:pPr>
        <w:pStyle w:val="Heading2"/>
      </w:pPr>
      <w:r>
        <w:t>Patient-centric risks</w:t>
      </w:r>
    </w:p>
    <w:p>
      <w:pPr>
        <w:pStyle w:val="ListBullet"/>
        <w:spacing w:after="60"/>
        <w:ind w:left="312" w:hanging="142"/>
      </w:pPr>
      <w:r>
        <w:t>Students may learn polished answer patterns without building diagnostic reasoning.</w:t>
      </w:r>
    </w:p>
    <w:p>
      <w:pPr>
        <w:pStyle w:val="ListBullet"/>
        <w:spacing w:after="60"/>
        <w:ind w:left="312" w:hanging="142"/>
      </w:pPr>
      <w:r>
        <w:t>Homogeneous AI outputs may reduce originality and alternative viewpoints.</w:t>
      </w:r>
    </w:p>
    <w:p>
      <w:pPr>
        <w:pStyle w:val="ListBullet"/>
        <w:spacing w:after="60"/>
        <w:ind w:left="312" w:hanging="142"/>
      </w:pPr>
      <w:r>
        <w:t>Fabricated or misapplied evidence may be rewarded when only final presentation quality is graded.</w:t>
      </w:r>
    </w:p>
    <w:p>
      <w:pPr>
        <w:pStyle w:val="ListBullet"/>
        <w:spacing w:after="60"/>
        <w:ind w:left="312" w:hanging="142"/>
      </w:pPr>
      <w:r>
        <w:t>Reduced faculty dialogue may remove opportunities to expose unsafe assumptions.</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CENTRAL LESSON</w:t>
            </w:r>
          </w:p>
          <w:p>
            <w:pPr>
              <w:spacing w:after="0"/>
            </w:pPr>
            <w:r>
              <w:rPr>
                <w:rFonts w:ascii="Aptos" w:hAnsi="Aptos"/>
                <w:color w:val="18313F"/>
                <w:sz w:val="19"/>
              </w:rPr>
              <w:t>AI raises the floor and compresses search time; it can also homogenise thinking.</w:t>
            </w:r>
          </w:p>
        </w:tc>
      </w:tr>
    </w:tbl>
    <w:p>
      <w:pPr>
        <w:spacing w:after="0"/>
      </w:pPr>
    </w:p>
    <w:p>
      <w:r>
        <w:br w:type="page"/>
      </w:r>
    </w:p>
    <w:p>
      <w:pPr>
        <w:pStyle w:val="Heading1"/>
      </w:pPr>
      <w:r>
        <w:t>Case 3 teaching and transfer guide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025"/>
            <w:tcMar>
              <w:top w:w="100" w:type="dxa"/>
              <w:start w:w="130" w:type="dxa"/>
              <w:bottom w:w="100" w:type="dxa"/>
              <w:end w:w="130" w:type="dxa"/>
            </w:tcMar>
            <w:vAlign w:val="center"/>
            <w:shd w:fill="356F99"/>
          </w:tcPr>
          <w:p>
            <w:pPr>
              <w:spacing w:after="0"/>
              <w:jc w:val="center"/>
            </w:pPr>
            <w:r/>
            <w:r>
              <w:rPr>
                <w:rFonts w:ascii="Aptos" w:hAnsi="Aptos"/>
                <w:b/>
                <w:color w:val="FFFFFF"/>
                <w:sz w:val="16"/>
              </w:rPr>
              <w:t>Discussion question</w:t>
            </w:r>
          </w:p>
        </w:tc>
        <w:tc>
          <w:tcPr>
            <w:tcW w:type="dxa" w:w="5499"/>
            <w:tcMar>
              <w:top w:w="100" w:type="dxa"/>
              <w:start w:w="130" w:type="dxa"/>
              <w:bottom w:w="100" w:type="dxa"/>
              <w:end w:w="130" w:type="dxa"/>
            </w:tcMar>
            <w:vAlign w:val="center"/>
            <w:shd w:fill="356F99"/>
          </w:tcPr>
          <w:p>
            <w:pPr>
              <w:spacing w:after="0"/>
              <w:jc w:val="center"/>
            </w:pPr>
            <w:r/>
            <w:r>
              <w:rPr>
                <w:rFonts w:ascii="Aptos" w:hAnsi="Aptos"/>
                <w:b/>
                <w:color w:val="FFFFFF"/>
                <w:sz w:val="16"/>
              </w:rPr>
              <w:t>Suggested direction</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What part of the assignment should be completed before AI is used?</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Require an initial problem representation, hypotheses and uncertainty statement before AI access.</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How can assessment reward revision and source verification rather than polish?</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Use AI as a Socratic challenger that asks for evidence and contradiction rather than revealing the answer immediately.</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What evidence would show that reasoning—not only marks—improved?</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Grade source traceability, reasoning change, reflection and oral defence.</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When does saved time become lost learning?</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Use different cases or constraints to reduce look-alike submissions.</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How should AI assistance be disclosed?</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Faculty remain responsible for verified content and productive dialogue.</w:t>
            </w:r>
          </w:p>
        </w:tc>
      </w:tr>
    </w:tbl>
    <w:p>
      <w:pPr>
        <w:spacing w:after="0"/>
      </w:pPr>
    </w:p>
    <w:p>
      <w:pPr>
        <w:pStyle w:val="Heading2"/>
      </w:pPr>
      <w:r>
        <w:t>Workshop bridge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84"/>
            <w:tcMar>
              <w:top w:w="100" w:type="dxa"/>
              <w:start w:w="130" w:type="dxa"/>
              <w:bottom w:w="100" w:type="dxa"/>
              <w:end w:w="130" w:type="dxa"/>
            </w:tcMar>
            <w:vAlign w:val="center"/>
            <w:shd w:fill="C18B2F"/>
          </w:tcPr>
          <w:p>
            <w:pPr>
              <w:spacing w:after="0"/>
              <w:jc w:val="center"/>
            </w:pPr>
            <w:r/>
            <w:r>
              <w:rPr>
                <w:rFonts w:ascii="Aptos" w:hAnsi="Aptos"/>
                <w:b/>
                <w:color w:val="FFFFFF"/>
                <w:sz w:val="15"/>
              </w:rPr>
              <w:t>Demo</w:t>
            </w:r>
          </w:p>
        </w:tc>
        <w:tc>
          <w:tcPr>
            <w:tcW w:type="dxa" w:w="2381"/>
            <w:tcMar>
              <w:top w:w="100" w:type="dxa"/>
              <w:start w:w="130" w:type="dxa"/>
              <w:bottom w:w="100" w:type="dxa"/>
              <w:end w:w="130" w:type="dxa"/>
            </w:tcMar>
            <w:vAlign w:val="center"/>
            <w:shd w:fill="C18B2F"/>
          </w:tcPr>
          <w:p>
            <w:pPr>
              <w:spacing w:after="0"/>
              <w:jc w:val="center"/>
            </w:pPr>
            <w:r/>
            <w:r>
              <w:rPr>
                <w:rFonts w:ascii="Aptos" w:hAnsi="Aptos"/>
                <w:b/>
                <w:color w:val="FFFFFF"/>
                <w:sz w:val="15"/>
              </w:rPr>
              <w:t>Tools / prompt</w:t>
            </w:r>
          </w:p>
        </w:tc>
        <w:tc>
          <w:tcPr>
            <w:tcW w:type="dxa" w:w="2438"/>
            <w:tcMar>
              <w:top w:w="100" w:type="dxa"/>
              <w:start w:w="130" w:type="dxa"/>
              <w:bottom w:w="100" w:type="dxa"/>
              <w:end w:w="130" w:type="dxa"/>
            </w:tcMar>
            <w:vAlign w:val="center"/>
            <w:shd w:fill="C18B2F"/>
          </w:tcPr>
          <w:p>
            <w:pPr>
              <w:spacing w:after="0"/>
              <w:jc w:val="center"/>
            </w:pPr>
            <w:r/>
            <w:r>
              <w:rPr>
                <w:rFonts w:ascii="Aptos" w:hAnsi="Aptos"/>
                <w:b/>
                <w:color w:val="FFFFFF"/>
                <w:sz w:val="15"/>
              </w:rPr>
              <w:t>Expected output</w:t>
            </w:r>
          </w:p>
        </w:tc>
        <w:tc>
          <w:tcPr>
            <w:tcW w:type="dxa" w:w="2721"/>
            <w:tcMar>
              <w:top w:w="100" w:type="dxa"/>
              <w:start w:w="130" w:type="dxa"/>
              <w:bottom w:w="100" w:type="dxa"/>
              <w:end w:w="130" w:type="dxa"/>
            </w:tcMar>
            <w:vAlign w:val="center"/>
            <w:shd w:fill="C18B2F"/>
          </w:tcPr>
          <w:p>
            <w:pPr>
              <w:spacing w:after="0"/>
              <w:jc w:val="center"/>
            </w:pPr>
            <w:r/>
            <w:r>
              <w:rPr>
                <w:rFonts w:ascii="Aptos" w:hAnsi="Aptos"/>
                <w:b/>
                <w:color w:val="FFFFFF"/>
                <w:sz w:val="15"/>
              </w:rPr>
              <w:t>Human checkpoint</w:t>
            </w:r>
          </w:p>
        </w:tc>
      </w:tr>
      <w:tr>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5"/>
              </w:rPr>
              <w:t>Socratic case-based learning</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ChatGPT Prompt 9 • Prompt 9</w:t>
            </w:r>
          </w:p>
        </w:tc>
        <w:tc>
          <w:tcPr>
            <w:tcW w:type="dxa" w:w="2438"/>
            <w:tcMar>
              <w:top w:w="100" w:type="dxa"/>
              <w:start w:w="130" w:type="dxa"/>
              <w:bottom w:w="100" w:type="dxa"/>
              <w:end w:w="130" w:type="dxa"/>
            </w:tcMar>
            <w:vAlign w:val="center"/>
            <w:shd w:fill="F7F4EE"/>
          </w:tcPr>
          <w:p>
            <w:pPr>
              <w:spacing w:after="0"/>
            </w:pPr>
            <w:r/>
            <w:r>
              <w:rPr>
                <w:rFonts w:ascii="Aptos" w:hAnsi="Aptos"/>
                <w:b w:val="0"/>
                <w:color w:val="18313F"/>
                <w:sz w:val="15"/>
              </w:rPr>
              <w:t>Staged Socratic dialogue, revised reasoning and rubric feedback.</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Faculty verifies clinical content and preserves learner effort, originality and dialogue.</w:t>
            </w:r>
          </w:p>
        </w:tc>
      </w:tr>
    </w:tbl>
    <w:p>
      <w:pPr>
        <w:spacing w:after="0"/>
      </w:pPr>
    </w:p>
    <w:p>
      <w:pPr>
        <w:pStyle w:val="ListBullet"/>
        <w:spacing w:after="60"/>
        <w:ind w:left="312" w:hanging="142"/>
      </w:pPr>
      <w:r>
        <w:t>Learner writes a problem representation before prompting.</w:t>
      </w:r>
    </w:p>
    <w:p>
      <w:pPr>
        <w:pStyle w:val="ListBullet"/>
        <w:spacing w:after="60"/>
        <w:ind w:left="312" w:hanging="142"/>
      </w:pPr>
      <w:r>
        <w:t>AI asks for common, dangerous and alternative hypotheses.</w:t>
      </w:r>
    </w:p>
    <w:p>
      <w:pPr>
        <w:pStyle w:val="ListBullet"/>
        <w:spacing w:after="60"/>
        <w:ind w:left="312" w:hanging="142"/>
      </w:pPr>
      <w:r>
        <w:t>Learner identifies evidence for/against and missing information.</w:t>
      </w:r>
    </w:p>
    <w:p>
      <w:pPr>
        <w:pStyle w:val="ListBullet"/>
        <w:spacing w:after="60"/>
        <w:ind w:left="312" w:hanging="142"/>
      </w:pPr>
      <w:r>
        <w:t>AI challenges one assumption and introduces one verified source.</w:t>
      </w:r>
    </w:p>
    <w:p>
      <w:pPr>
        <w:pStyle w:val="ListBullet"/>
        <w:spacing w:after="60"/>
        <w:ind w:left="312" w:hanging="142"/>
      </w:pPr>
      <w:r>
        <w:t>Learner revises; faculty assesses reasoning with a transparent rubric.</w:t>
      </w: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TRANSFER ASSIGNMENT</w:t>
            </w:r>
          </w:p>
          <w:p>
            <w:pPr>
              <w:spacing w:after="0"/>
            </w:pPr>
            <w:r>
              <w:rPr>
                <w:rFonts w:ascii="Aptos" w:hAnsi="Aptos"/>
                <w:color w:val="18313F"/>
                <w:sz w:val="19"/>
              </w:rPr>
              <w:t>Redesign one existing medical or pharma training activity so the learner must commit, challenge, verify and revise.</w:t>
            </w:r>
          </w:p>
        </w:tc>
      </w:tr>
    </w:tbl>
    <w:p>
      <w:pPr>
        <w:spacing w:after="0"/>
      </w:pPr>
    </w:p>
    <w:p>
      <w:r>
        <w:rPr>
          <w:b/>
          <w:color w:val="0B6E69"/>
        </w:rPr>
        <w:t>Participant decision and evidence: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C18B2F"/>
          </w:tcPr>
          <w:p>
            <w:pPr>
              <w:spacing w:after="0"/>
              <w:jc w:val="center"/>
            </w:pPr>
            <w:r/>
            <w:r>
              <w:rPr>
                <w:rFonts w:ascii="Aptos" w:hAnsi="Aptos"/>
                <w:b/>
                <w:color w:val="FFFFFF"/>
                <w:sz w:val="18"/>
              </w:rPr>
              <w:t>CASE 4</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Trinity foresight — AI-supported scenario planning for medical curricula</w:t>
            </w:r>
          </w:p>
        </w:tc>
      </w:tr>
    </w:tbl>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MANAGEMENT DILEMMA</w:t>
            </w:r>
          </w:p>
          <w:p>
            <w:pPr>
              <w:spacing w:after="0"/>
            </w:pPr>
            <w:r>
              <w:rPr>
                <w:rFonts w:ascii="Aptos" w:hAnsi="Aptos"/>
                <w:color w:val="18313F"/>
                <w:sz w:val="19"/>
              </w:rPr>
              <w:t>How can an institution use AI-generated futures to support strategy without allowing the tool's framing to determine institutional values?</w:t>
            </w:r>
          </w:p>
        </w:tc>
      </w:tr>
    </w:tbl>
    <w:p>
      <w:pPr>
        <w:spacing w:after="0"/>
      </w:pPr>
    </w:p>
    <w:p>
      <w:pPr>
        <w:pStyle w:val="Heading2"/>
      </w:pPr>
      <w:r>
        <w:t>Case context</w:t>
      </w:r>
    </w:p>
    <w:p>
      <w:r>
        <w:t>A Trinity College Dublin workshop used generative tools to make four possible 2035 medical-education futures tangible. Participants then identified capabilities worth preserving across scenarios.</w:t>
      </w:r>
    </w:p>
    <w:p>
      <w:pPr>
        <w:pStyle w:val="Heading2"/>
      </w:pPr>
      <w:r>
        <w:t>Case narrative</w:t>
      </w:r>
    </w:p>
    <w:p>
      <w:r>
        <w:t>The 2024 participatory workshop involved 28 participants. ChatGPT supported scenario narratives, MidJourney produced visuals and Murf.AI supplied narration. Facilitators reviewed and refined all AI outputs.</w:t>
      </w:r>
    </w:p>
    <w:p>
      <w:r>
        <w:t>Participants worked with four scenarios and converged on capabilities including systems thinking, patient-centredness, continuous learning, participatory health, sustainability and technological adaptability.</w:t>
      </w:r>
    </w:p>
    <w:p>
      <w:r>
        <w:t>The study was qualitative and single-institution. It included no patient representatives and may have been affected by groupthink or framing. It should not be read as a universally applicable curriculum model.</w:t>
      </w:r>
    </w:p>
    <w:p>
      <w:r>
        <w:t>The central lesson is that AI can increase the vividness and speed of foresight, while people must choose the values, trade-offs and actions. Patient participation should be designed into future exercises rather than assumed.</w:t>
      </w:r>
    </w:p>
    <w:p>
      <w:pPr>
        <w:pStyle w:val="Heading2"/>
      </w:pPr>
      <w:r>
        <w:t>Key facts</w:t>
      </w:r>
    </w:p>
    <w:p>
      <w:pPr>
        <w:pStyle w:val="ListBullet"/>
        <w:spacing w:after="60"/>
        <w:ind w:left="312" w:hanging="142"/>
      </w:pPr>
      <w:r>
        <w:t>One participatory workshop with 28 participants.</w:t>
      </w:r>
    </w:p>
    <w:p>
      <w:pPr>
        <w:pStyle w:val="ListBullet"/>
        <w:spacing w:after="60"/>
        <w:ind w:left="312" w:hanging="142"/>
      </w:pPr>
      <w:r>
        <w:t>Four 2035 scenarios.</w:t>
      </w:r>
    </w:p>
    <w:p>
      <w:pPr>
        <w:pStyle w:val="ListBullet"/>
        <w:spacing w:after="60"/>
        <w:ind w:left="312" w:hanging="142"/>
      </w:pPr>
      <w:r>
        <w:t>ChatGPT, MidJourney and Murf.AI used to create reviewed scenario assets.</w:t>
      </w:r>
    </w:p>
    <w:p>
      <w:pPr>
        <w:pStyle w:val="ListBullet"/>
        <w:spacing w:after="60"/>
        <w:ind w:left="312" w:hanging="142"/>
      </w:pPr>
      <w:r>
        <w:t>Participants identified cross-scenario capabilities.</w:t>
      </w:r>
    </w:p>
    <w:p>
      <w:pPr>
        <w:pStyle w:val="ListBullet"/>
        <w:spacing w:after="60"/>
        <w:ind w:left="312" w:hanging="142"/>
      </w:pPr>
      <w:r>
        <w:t>No patient representatives and single-institution design limit transferability.</w:t>
      </w:r>
    </w:p>
    <w:p>
      <w:r>
        <w:rPr>
          <w:color w:val="356F99"/>
          <w:sz w:val="16"/>
        </w:rPr>
        <w:t>Primary source: https://www.jmir.org/2025/1/e73173</w:t>
      </w:r>
    </w:p>
    <w:p>
      <w:r>
        <w:br w:type="page"/>
      </w:r>
    </w:p>
    <w:p>
      <w:pPr>
        <w:pStyle w:val="Heading1"/>
      </w:pPr>
      <w:r>
        <w:t>Case 4 evidence and patient-centric analysis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81"/>
            <w:tcMar>
              <w:top w:w="100" w:type="dxa"/>
              <w:start w:w="130" w:type="dxa"/>
              <w:bottom w:w="100" w:type="dxa"/>
              <w:end w:w="130" w:type="dxa"/>
            </w:tcMar>
            <w:vAlign w:val="center"/>
            <w:shd w:fill="0B6E69"/>
          </w:tcPr>
          <w:p>
            <w:pPr>
              <w:spacing w:after="0"/>
              <w:jc w:val="center"/>
            </w:pPr>
            <w:r/>
            <w:r>
              <w:rPr>
                <w:rFonts w:ascii="Aptos" w:hAnsi="Aptos"/>
                <w:b/>
                <w:color w:val="FFFFFF"/>
                <w:sz w:val="15"/>
              </w:rPr>
              <w:t>Reported signal</w:t>
            </w:r>
          </w:p>
        </w:tc>
        <w:tc>
          <w:tcPr>
            <w:tcW w:type="dxa" w:w="1928"/>
            <w:tcMar>
              <w:top w:w="100" w:type="dxa"/>
              <w:start w:w="130" w:type="dxa"/>
              <w:bottom w:w="100" w:type="dxa"/>
              <w:end w:w="130" w:type="dxa"/>
            </w:tcMar>
            <w:vAlign w:val="center"/>
            <w:shd w:fill="0B6E69"/>
          </w:tcPr>
          <w:p>
            <w:pPr>
              <w:spacing w:after="0"/>
              <w:jc w:val="center"/>
            </w:pPr>
            <w:r/>
            <w:r>
              <w:rPr>
                <w:rFonts w:ascii="Aptos" w:hAnsi="Aptos"/>
                <w:b/>
                <w:color w:val="FFFFFF"/>
                <w:sz w:val="15"/>
              </w:rPr>
              <w:t>Evidence label</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5"/>
              </w:rPr>
              <w:t>Limitation</w:t>
            </w:r>
          </w:p>
        </w:tc>
        <w:tc>
          <w:tcPr>
            <w:tcW w:type="dxa" w:w="2494"/>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r>
      <w:tr>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Participants converged on systems thinking, patient-centredness, continuous learning, participatory health, sustainability and technological adaptability.</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5"/>
              </w:rPr>
              <w:t>2025 single-institution qualitative participatory-design case</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One workshop, no patient representatives, possible groupthink and framing effects; not universally generalisable.</w:t>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5"/>
              </w:rPr>
              <w:t>Facilitators reviewed and refined all AI outputs; participants chose competencies and actions.</w:t>
            </w:r>
          </w:p>
        </w:tc>
      </w:tr>
    </w:tbl>
    <w:p>
      <w:pPr>
        <w:spacing w:after="0"/>
      </w:pPr>
    </w:p>
    <w:p>
      <w:pPr>
        <w:pStyle w:val="Heading2"/>
      </w:pPr>
      <w:r>
        <w:t>Stakeholder map</w:t>
      </w:r>
    </w:p>
    <w:p>
      <w:pPr>
        <w:pStyle w:val="ListBullet"/>
        <w:spacing w:after="60"/>
        <w:ind w:left="312" w:hanging="142"/>
      </w:pPr>
      <w:r>
        <w:t>Students, faculty and curriculum leaders</w:t>
      </w:r>
    </w:p>
    <w:p>
      <w:pPr>
        <w:pStyle w:val="ListBullet"/>
        <w:spacing w:after="60"/>
        <w:ind w:left="312" w:hanging="142"/>
      </w:pPr>
      <w:r>
        <w:t>Patients and community representatives</w:t>
      </w:r>
    </w:p>
    <w:p>
      <w:pPr>
        <w:pStyle w:val="ListBullet"/>
        <w:spacing w:after="60"/>
        <w:ind w:left="312" w:hanging="142"/>
      </w:pPr>
      <w:r>
        <w:t>Health-system and pharma partners</w:t>
      </w:r>
    </w:p>
    <w:p>
      <w:pPr>
        <w:pStyle w:val="ListBullet"/>
        <w:spacing w:after="60"/>
        <w:ind w:left="312" w:hanging="142"/>
      </w:pPr>
      <w:r>
        <w:t>Professional and accreditation bodies</w:t>
      </w:r>
    </w:p>
    <w:p>
      <w:pPr>
        <w:pStyle w:val="ListBullet"/>
        <w:spacing w:after="60"/>
        <w:ind w:left="312" w:hanging="142"/>
      </w:pPr>
      <w:r>
        <w:t>Technology, sustainability and ethics experts</w:t>
      </w:r>
    </w:p>
    <w:p>
      <w:pPr>
        <w:pStyle w:val="Heading2"/>
      </w:pPr>
      <w:r>
        <w:t>Patient-centric risks</w:t>
      </w:r>
    </w:p>
    <w:p>
      <w:pPr>
        <w:pStyle w:val="ListBullet"/>
        <w:spacing w:after="60"/>
        <w:ind w:left="312" w:hanging="142"/>
      </w:pPr>
      <w:r>
        <w:t>AI framing may privilege technology-led futures over community priorities.</w:t>
      </w:r>
    </w:p>
    <w:p>
      <w:pPr>
        <w:pStyle w:val="ListBullet"/>
        <w:spacing w:after="60"/>
        <w:ind w:left="312" w:hanging="142"/>
      </w:pPr>
      <w:r>
        <w:t>Patients may be discussed as beneficiaries without participating in design.</w:t>
      </w:r>
    </w:p>
    <w:p>
      <w:pPr>
        <w:pStyle w:val="ListBullet"/>
        <w:spacing w:after="60"/>
        <w:ind w:left="312" w:hanging="142"/>
      </w:pPr>
      <w:r>
        <w:t>Compelling narratives and visuals can disguise weak assumptions.</w:t>
      </w:r>
    </w:p>
    <w:p>
      <w:pPr>
        <w:pStyle w:val="ListBullet"/>
        <w:spacing w:after="60"/>
        <w:ind w:left="312" w:hanging="142"/>
      </w:pPr>
      <w:r>
        <w:t>Consensus may reflect groupthink rather than robust disagreement.</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CENTRAL LESSON</w:t>
            </w:r>
          </w:p>
          <w:p>
            <w:pPr>
              <w:spacing w:after="0"/>
            </w:pPr>
            <w:r>
              <w:rPr>
                <w:rFonts w:ascii="Aptos" w:hAnsi="Aptos"/>
                <w:color w:val="18313F"/>
                <w:sz w:val="19"/>
              </w:rPr>
              <w:t>AI can make futures tangible; people must choose values and priorities.</w:t>
            </w:r>
          </w:p>
        </w:tc>
      </w:tr>
    </w:tbl>
    <w:p>
      <w:pPr>
        <w:spacing w:after="0"/>
      </w:pPr>
    </w:p>
    <w:p>
      <w:r>
        <w:br w:type="page"/>
      </w:r>
    </w:p>
    <w:p>
      <w:pPr>
        <w:pStyle w:val="Heading1"/>
      </w:pPr>
      <w:r>
        <w:t>Case 4 teaching and transfer guide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025"/>
            <w:tcMar>
              <w:top w:w="100" w:type="dxa"/>
              <w:start w:w="130" w:type="dxa"/>
              <w:bottom w:w="100" w:type="dxa"/>
              <w:end w:w="130" w:type="dxa"/>
            </w:tcMar>
            <w:vAlign w:val="center"/>
            <w:shd w:fill="356F99"/>
          </w:tcPr>
          <w:p>
            <w:pPr>
              <w:spacing w:after="0"/>
              <w:jc w:val="center"/>
            </w:pPr>
            <w:r/>
            <w:r>
              <w:rPr>
                <w:rFonts w:ascii="Aptos" w:hAnsi="Aptos"/>
                <w:b/>
                <w:color w:val="FFFFFF"/>
                <w:sz w:val="16"/>
              </w:rPr>
              <w:t>Discussion question</w:t>
            </w:r>
          </w:p>
        </w:tc>
        <w:tc>
          <w:tcPr>
            <w:tcW w:type="dxa" w:w="5499"/>
            <w:tcMar>
              <w:top w:w="100" w:type="dxa"/>
              <w:start w:w="130" w:type="dxa"/>
              <w:bottom w:w="100" w:type="dxa"/>
              <w:end w:w="130" w:type="dxa"/>
            </w:tcMar>
            <w:vAlign w:val="center"/>
            <w:shd w:fill="356F99"/>
          </w:tcPr>
          <w:p>
            <w:pPr>
              <w:spacing w:after="0"/>
              <w:jc w:val="center"/>
            </w:pPr>
            <w:r/>
            <w:r>
              <w:rPr>
                <w:rFonts w:ascii="Aptos" w:hAnsi="Aptos"/>
                <w:b/>
                <w:color w:val="FFFFFF"/>
                <w:sz w:val="16"/>
              </w:rPr>
              <w:t>Suggested direction</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Which capability remains essential in every plausible future?</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Use multiple scenario prompts and deliberately include adverse or low-technology futures.</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Whose voice is absent from the scenario process?</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Invite patients/community representatives as co-designers with decision rights.</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Which assumptions came from evidence and which came from AI framing?</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Label AI-generated assumptions and require evidence or rationale for each.</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What scenario would make today's strategy unsafe or irrelevant?</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Use anonymous challenge rounds before convergence to reduce groupthink.</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How should patient representatives participate?</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Translate capabilities into measurable curriculum or workforce actions.</w:t>
            </w:r>
          </w:p>
        </w:tc>
      </w:tr>
    </w:tbl>
    <w:p>
      <w:pPr>
        <w:spacing w:after="0"/>
      </w:pPr>
    </w:p>
    <w:p>
      <w:pPr>
        <w:pStyle w:val="Heading2"/>
      </w:pPr>
      <w:r>
        <w:t>Workshop bridge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84"/>
            <w:tcMar>
              <w:top w:w="100" w:type="dxa"/>
              <w:start w:w="130" w:type="dxa"/>
              <w:bottom w:w="100" w:type="dxa"/>
              <w:end w:w="130" w:type="dxa"/>
            </w:tcMar>
            <w:vAlign w:val="center"/>
            <w:shd w:fill="C18B2F"/>
          </w:tcPr>
          <w:p>
            <w:pPr>
              <w:spacing w:after="0"/>
              <w:jc w:val="center"/>
            </w:pPr>
            <w:r/>
            <w:r>
              <w:rPr>
                <w:rFonts w:ascii="Aptos" w:hAnsi="Aptos"/>
                <w:b/>
                <w:color w:val="FFFFFF"/>
                <w:sz w:val="15"/>
              </w:rPr>
              <w:t>Demo</w:t>
            </w:r>
          </w:p>
        </w:tc>
        <w:tc>
          <w:tcPr>
            <w:tcW w:type="dxa" w:w="2381"/>
            <w:tcMar>
              <w:top w:w="100" w:type="dxa"/>
              <w:start w:w="130" w:type="dxa"/>
              <w:bottom w:w="100" w:type="dxa"/>
              <w:end w:w="130" w:type="dxa"/>
            </w:tcMar>
            <w:vAlign w:val="center"/>
            <w:shd w:fill="C18B2F"/>
          </w:tcPr>
          <w:p>
            <w:pPr>
              <w:spacing w:after="0"/>
              <w:jc w:val="center"/>
            </w:pPr>
            <w:r/>
            <w:r>
              <w:rPr>
                <w:rFonts w:ascii="Aptos" w:hAnsi="Aptos"/>
                <w:b/>
                <w:color w:val="FFFFFF"/>
                <w:sz w:val="15"/>
              </w:rPr>
              <w:t>Tools / prompt</w:t>
            </w:r>
          </w:p>
        </w:tc>
        <w:tc>
          <w:tcPr>
            <w:tcW w:type="dxa" w:w="2438"/>
            <w:tcMar>
              <w:top w:w="100" w:type="dxa"/>
              <w:start w:w="130" w:type="dxa"/>
              <w:bottom w:w="100" w:type="dxa"/>
              <w:end w:w="130" w:type="dxa"/>
            </w:tcMar>
            <w:vAlign w:val="center"/>
            <w:shd w:fill="C18B2F"/>
          </w:tcPr>
          <w:p>
            <w:pPr>
              <w:spacing w:after="0"/>
              <w:jc w:val="center"/>
            </w:pPr>
            <w:r/>
            <w:r>
              <w:rPr>
                <w:rFonts w:ascii="Aptos" w:hAnsi="Aptos"/>
                <w:b/>
                <w:color w:val="FFFFFF"/>
                <w:sz w:val="15"/>
              </w:rPr>
              <w:t>Expected output</w:t>
            </w:r>
          </w:p>
        </w:tc>
        <w:tc>
          <w:tcPr>
            <w:tcW w:type="dxa" w:w="2721"/>
            <w:tcMar>
              <w:top w:w="100" w:type="dxa"/>
              <w:start w:w="130" w:type="dxa"/>
              <w:bottom w:w="100" w:type="dxa"/>
              <w:end w:w="130" w:type="dxa"/>
            </w:tcMar>
            <w:vAlign w:val="center"/>
            <w:shd w:fill="C18B2F"/>
          </w:tcPr>
          <w:p>
            <w:pPr>
              <w:spacing w:after="0"/>
              <w:jc w:val="center"/>
            </w:pPr>
            <w:r/>
            <w:r>
              <w:rPr>
                <w:rFonts w:ascii="Aptos" w:hAnsi="Aptos"/>
                <w:b/>
                <w:color w:val="FFFFFF"/>
                <w:sz w:val="15"/>
              </w:rPr>
              <w:t>Human checkpoint</w:t>
            </w:r>
          </w:p>
        </w:tc>
      </w:tr>
      <w:tr>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5"/>
              </w:rPr>
              <w:t>Create and challenge a 2035 patient-care scenario</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ChatGPT plus Canva or Gamma • Prompt 10</w:t>
            </w:r>
          </w:p>
        </w:tc>
        <w:tc>
          <w:tcPr>
            <w:tcW w:type="dxa" w:w="2438"/>
            <w:tcMar>
              <w:top w:w="100" w:type="dxa"/>
              <w:start w:w="130" w:type="dxa"/>
              <w:bottom w:w="100" w:type="dxa"/>
              <w:end w:w="130" w:type="dxa"/>
            </w:tcMar>
            <w:vAlign w:val="center"/>
            <w:shd w:fill="F7F4EE"/>
          </w:tcPr>
          <w:p>
            <w:pPr>
              <w:spacing w:after="0"/>
            </w:pPr>
            <w:r/>
            <w:r>
              <w:rPr>
                <w:rFonts w:ascii="Aptos" w:hAnsi="Aptos"/>
                <w:b w:val="0"/>
                <w:color w:val="18313F"/>
                <w:sz w:val="15"/>
              </w:rPr>
              <w:t>Reviewed scenario card and no-regret action.</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Participants—not the model—choose values, priorities and commitments.</w:t>
            </w:r>
          </w:p>
        </w:tc>
      </w:tr>
    </w:tbl>
    <w:p>
      <w:pPr>
        <w:spacing w:after="0"/>
      </w:pPr>
    </w:p>
    <w:p>
      <w:pPr>
        <w:pStyle w:val="ListBullet"/>
        <w:spacing w:after="60"/>
        <w:ind w:left="312" w:hanging="142"/>
      </w:pPr>
      <w:r>
        <w:t>Generate one optimistic, one constrained and one adverse scenario.</w:t>
      </w:r>
    </w:p>
    <w:p>
      <w:pPr>
        <w:pStyle w:val="ListBullet"/>
        <w:spacing w:after="60"/>
        <w:ind w:left="312" w:hanging="142"/>
      </w:pPr>
      <w:r>
        <w:t>Mark every assumption as evidence-based, value choice or speculation.</w:t>
      </w:r>
    </w:p>
    <w:p>
      <w:pPr>
        <w:pStyle w:val="ListBullet"/>
        <w:spacing w:after="60"/>
        <w:ind w:left="312" w:hanging="142"/>
      </w:pPr>
      <w:r>
        <w:t>Add a patient/community perspective and an equity consequence.</w:t>
      </w:r>
    </w:p>
    <w:p>
      <w:pPr>
        <w:pStyle w:val="ListBullet"/>
        <w:spacing w:after="60"/>
        <w:ind w:left="312" w:hanging="142"/>
      </w:pPr>
      <w:r>
        <w:t>Identify capabilities robust across all scenarios.</w:t>
      </w:r>
    </w:p>
    <w:p>
      <w:pPr>
        <w:pStyle w:val="ListBullet"/>
        <w:spacing w:after="60"/>
        <w:ind w:left="312" w:hanging="142"/>
      </w:pPr>
      <w:r>
        <w:t>Choose one no-regret action for the next 12 months.</w:t>
      </w: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TRANSFER ASSIGNMENT</w:t>
            </w:r>
          </w:p>
          <w:p>
            <w:pPr>
              <w:spacing w:after="0"/>
            </w:pPr>
            <w:r>
              <w:rPr>
                <w:rFonts w:ascii="Aptos" w:hAnsi="Aptos"/>
                <w:color w:val="18313F"/>
                <w:sz w:val="19"/>
              </w:rPr>
              <w:t>Build a one-page future capability map that includes a patient representative's decision role.</w:t>
            </w:r>
          </w:p>
        </w:tc>
      </w:tr>
    </w:tbl>
    <w:p>
      <w:pPr>
        <w:spacing w:after="0"/>
      </w:pPr>
    </w:p>
    <w:p>
      <w:r>
        <w:rPr>
          <w:b/>
          <w:color w:val="0B6E69"/>
        </w:rPr>
        <w:t>Participant decision and evidence: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0B6E69"/>
          </w:tcPr>
          <w:p>
            <w:pPr>
              <w:spacing w:after="0"/>
              <w:jc w:val="center"/>
            </w:pPr>
            <w:r/>
            <w:r>
              <w:rPr>
                <w:rFonts w:ascii="Aptos" w:hAnsi="Aptos"/>
                <w:b/>
                <w:color w:val="FFFFFF"/>
                <w:sz w:val="18"/>
              </w:rPr>
              <w:t>CASE 5</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SepsisLab — Why clinicians ignore alerts—and how design can restore trust</w:t>
            </w:r>
          </w:p>
        </w:tc>
      </w:tr>
    </w:tbl>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MANAGEMENT DILEMMA</w:t>
            </w:r>
          </w:p>
          <w:p>
            <w:pPr>
              <w:spacing w:after="0"/>
            </w:pPr>
            <w:r>
              <w:rPr>
                <w:rFonts w:ascii="Aptos" w:hAnsi="Aptos"/>
                <w:color w:val="18313F"/>
                <w:sz w:val="19"/>
              </w:rPr>
              <w:t>Should a hospital add another alert, redesign the existing decision-support interaction, or pause deployment until information needs and workflow timing are understood?</w:t>
            </w:r>
          </w:p>
        </w:tc>
      </w:tr>
    </w:tbl>
    <w:p>
      <w:pPr>
        <w:spacing w:after="0"/>
      </w:pPr>
    </w:p>
    <w:p>
      <w:pPr>
        <w:pStyle w:val="Heading2"/>
      </w:pPr>
      <w:r>
        <w:t>Case context</w:t>
      </w:r>
    </w:p>
    <w:p>
      <w:r>
        <w:t>SepsisLab explored why clinicians ignore or distrust sepsis alerts and how a prototype with trends, uncertainty and what-if exploration could support a more collaborative interaction.</w:t>
      </w:r>
    </w:p>
    <w:p>
      <w:pPr>
        <w:pStyle w:val="Heading2"/>
      </w:pPr>
      <w:r>
        <w:t>Case narrative</w:t>
      </w:r>
    </w:p>
    <w:p>
      <w:r>
        <w:t>The study engaged six experienced US clinicians in discussion of the Epic Sepsis Model and a prototype. Participants considered ranked information needs, trend and uncertainty visualisation, and what-if exploration.</w:t>
      </w:r>
    </w:p>
    <w:p>
      <w:r>
        <w:t>Clinicians described the redesigned prototype more as a collaborator than a static score. This is a qualitative design insight from a very small sample, not evidence of improved clinical outcomes or safety.</w:t>
      </w:r>
    </w:p>
    <w:p>
      <w:r>
        <w:t>The case highlights that an alert can fail even when its score is statistically useful. If it arrives after the decision, hides uncertainty, interrupts without actionability, or generates repeated false positives, clinicians learn to override it.</w:t>
      </w:r>
    </w:p>
    <w:p>
      <w:r>
        <w:t>A patient-centric alert should help before the decision, make change and uncertainty visible, and clarify what information or professional action could reduce risk.</w:t>
      </w:r>
    </w:p>
    <w:p>
      <w:pPr>
        <w:pStyle w:val="Heading2"/>
      </w:pPr>
      <w:r>
        <w:t>Key facts</w:t>
      </w:r>
    </w:p>
    <w:p>
      <w:pPr>
        <w:pStyle w:val="ListBullet"/>
        <w:spacing w:after="60"/>
        <w:ind w:left="312" w:hanging="142"/>
      </w:pPr>
      <w:r>
        <w:t>2024 qualitative study and human-AI prototype evaluation.</w:t>
      </w:r>
    </w:p>
    <w:p>
      <w:pPr>
        <w:pStyle w:val="ListBullet"/>
        <w:spacing w:after="60"/>
        <w:ind w:left="312" w:hanging="142"/>
      </w:pPr>
      <w:r>
        <w:t>Six experienced US clinicians.</w:t>
      </w:r>
    </w:p>
    <w:p>
      <w:pPr>
        <w:pStyle w:val="ListBullet"/>
        <w:spacing w:after="60"/>
        <w:ind w:left="312" w:hanging="142"/>
      </w:pPr>
      <w:r>
        <w:t>Trend, uncertainty, ranked information needs and what-if simulation examined.</w:t>
      </w:r>
    </w:p>
    <w:p>
      <w:pPr>
        <w:pStyle w:val="ListBullet"/>
        <w:spacing w:after="60"/>
        <w:ind w:left="312" w:hanging="142"/>
      </w:pPr>
      <w:r>
        <w:t>Collaborator framing emerged from participant feedback.</w:t>
      </w:r>
    </w:p>
    <w:p>
      <w:pPr>
        <w:pStyle w:val="ListBullet"/>
        <w:spacing w:after="60"/>
        <w:ind w:left="312" w:hanging="142"/>
      </w:pPr>
      <w:r>
        <w:t>Not an outcome, safety or prospective effectiveness trial.</w:t>
      </w:r>
    </w:p>
    <w:p>
      <w:r>
        <w:rPr>
          <w:color w:val="356F99"/>
          <w:sz w:val="16"/>
        </w:rPr>
        <w:t>Primary source: https://pmc.ncbi.nlm.nih.gov/articles/PMC11149368/</w:t>
      </w:r>
    </w:p>
    <w:p>
      <w:r>
        <w:br w:type="page"/>
      </w:r>
    </w:p>
    <w:p>
      <w:pPr>
        <w:pStyle w:val="Heading1"/>
      </w:pPr>
      <w:r>
        <w:t>Case 5 evidence and patient-centric analysis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81"/>
            <w:tcMar>
              <w:top w:w="100" w:type="dxa"/>
              <w:start w:w="130" w:type="dxa"/>
              <w:bottom w:w="100" w:type="dxa"/>
              <w:end w:w="130" w:type="dxa"/>
            </w:tcMar>
            <w:vAlign w:val="center"/>
            <w:shd w:fill="0B6E69"/>
          </w:tcPr>
          <w:p>
            <w:pPr>
              <w:spacing w:after="0"/>
              <w:jc w:val="center"/>
            </w:pPr>
            <w:r/>
            <w:r>
              <w:rPr>
                <w:rFonts w:ascii="Aptos" w:hAnsi="Aptos"/>
                <w:b/>
                <w:color w:val="FFFFFF"/>
                <w:sz w:val="15"/>
              </w:rPr>
              <w:t>Reported signal</w:t>
            </w:r>
          </w:p>
        </w:tc>
        <w:tc>
          <w:tcPr>
            <w:tcW w:type="dxa" w:w="1928"/>
            <w:tcMar>
              <w:top w:w="100" w:type="dxa"/>
              <w:start w:w="130" w:type="dxa"/>
              <w:bottom w:w="100" w:type="dxa"/>
              <w:end w:w="130" w:type="dxa"/>
            </w:tcMar>
            <w:vAlign w:val="center"/>
            <w:shd w:fill="0B6E69"/>
          </w:tcPr>
          <w:p>
            <w:pPr>
              <w:spacing w:after="0"/>
              <w:jc w:val="center"/>
            </w:pPr>
            <w:r/>
            <w:r>
              <w:rPr>
                <w:rFonts w:ascii="Aptos" w:hAnsi="Aptos"/>
                <w:b/>
                <w:color w:val="FFFFFF"/>
                <w:sz w:val="15"/>
              </w:rPr>
              <w:t>Evidence label</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5"/>
              </w:rPr>
              <w:t>Limitation</w:t>
            </w:r>
          </w:p>
        </w:tc>
        <w:tc>
          <w:tcPr>
            <w:tcW w:type="dxa" w:w="2494"/>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r>
      <w:tr>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Clinicians described the redesigned system more as a collaborator than a static score.</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5"/>
              </w:rPr>
              <w:t>2024 qualitative study and human-AI prototype evaluation</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Very small qualitative sample and prototype setting; not an outcome or safety trial.</w:t>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5"/>
              </w:rPr>
              <w:t>Clinician interprets risk, orders information and decides action.</w:t>
            </w:r>
          </w:p>
        </w:tc>
      </w:tr>
    </w:tbl>
    <w:p>
      <w:pPr>
        <w:spacing w:after="0"/>
      </w:pPr>
    </w:p>
    <w:p>
      <w:pPr>
        <w:pStyle w:val="Heading2"/>
      </w:pPr>
      <w:r>
        <w:t>Stakeholder map</w:t>
      </w:r>
    </w:p>
    <w:p>
      <w:pPr>
        <w:pStyle w:val="ListBullet"/>
        <w:spacing w:after="60"/>
        <w:ind w:left="312" w:hanging="142"/>
      </w:pPr>
      <w:r>
        <w:t>Patients at risk of sepsis</w:t>
      </w:r>
    </w:p>
    <w:p>
      <w:pPr>
        <w:pStyle w:val="ListBullet"/>
        <w:spacing w:after="60"/>
        <w:ind w:left="312" w:hanging="142"/>
      </w:pPr>
      <w:r>
        <w:t>Nurses, physicians and rapid-response teams</w:t>
      </w:r>
    </w:p>
    <w:p>
      <w:pPr>
        <w:pStyle w:val="ListBullet"/>
        <w:spacing w:after="60"/>
        <w:ind w:left="312" w:hanging="142"/>
      </w:pPr>
      <w:r>
        <w:t>EHR/CDS, quality and patient-safety teams</w:t>
      </w:r>
    </w:p>
    <w:p>
      <w:pPr>
        <w:pStyle w:val="ListBullet"/>
        <w:spacing w:after="60"/>
        <w:ind w:left="312" w:hanging="142"/>
      </w:pPr>
      <w:r>
        <w:t>Data scientists and vendors</w:t>
      </w:r>
    </w:p>
    <w:p>
      <w:pPr>
        <w:pStyle w:val="ListBullet"/>
        <w:spacing w:after="60"/>
        <w:ind w:left="312" w:hanging="142"/>
      </w:pPr>
      <w:r>
        <w:t>Leadership responsible for alert burden and outcomes</w:t>
      </w:r>
    </w:p>
    <w:p>
      <w:pPr>
        <w:pStyle w:val="Heading2"/>
      </w:pPr>
      <w:r>
        <w:t>Patient-centric risks</w:t>
      </w:r>
    </w:p>
    <w:p>
      <w:pPr>
        <w:pStyle w:val="ListBullet"/>
        <w:spacing w:after="60"/>
        <w:ind w:left="312" w:hanging="142"/>
      </w:pPr>
      <w:r>
        <w:t>False negatives may delay recognition; false positives may create fatigue and unnecessary action.</w:t>
      </w:r>
    </w:p>
    <w:p>
      <w:pPr>
        <w:pStyle w:val="ListBullet"/>
        <w:spacing w:after="60"/>
        <w:ind w:left="312" w:hanging="142"/>
      </w:pPr>
      <w:r>
        <w:t>Late alerts explain a decision after it was already required.</w:t>
      </w:r>
    </w:p>
    <w:p>
      <w:pPr>
        <w:pStyle w:val="ListBullet"/>
        <w:spacing w:after="60"/>
        <w:ind w:left="312" w:hanging="142"/>
      </w:pPr>
      <w:r>
        <w:t>A single score may hide trajectory, uncertainty and missing information.</w:t>
      </w:r>
    </w:p>
    <w:p>
      <w:pPr>
        <w:pStyle w:val="ListBullet"/>
        <w:spacing w:after="60"/>
        <w:ind w:left="312" w:hanging="142"/>
      </w:pPr>
      <w:r>
        <w:t>Unowned alerts can shift responsibility without changing care.</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CENTRAL LESSON</w:t>
            </w:r>
          </w:p>
          <w:p>
            <w:pPr>
              <w:spacing w:after="0"/>
            </w:pPr>
            <w:r>
              <w:rPr>
                <w:rFonts w:ascii="Aptos" w:hAnsi="Aptos"/>
                <w:color w:val="18313F"/>
                <w:sz w:val="19"/>
              </w:rPr>
              <w:t>Timely, explainable and actionable support can beat another interruptive alert.</w:t>
            </w:r>
          </w:p>
        </w:tc>
      </w:tr>
    </w:tbl>
    <w:p>
      <w:pPr>
        <w:spacing w:after="0"/>
      </w:pPr>
    </w:p>
    <w:p>
      <w:r>
        <w:br w:type="page"/>
      </w:r>
    </w:p>
    <w:p>
      <w:pPr>
        <w:pStyle w:val="Heading1"/>
      </w:pPr>
      <w:r>
        <w:t>Case 5 teaching and transfer guide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025"/>
            <w:tcMar>
              <w:top w:w="100" w:type="dxa"/>
              <w:start w:w="130" w:type="dxa"/>
              <w:bottom w:w="100" w:type="dxa"/>
              <w:end w:w="130" w:type="dxa"/>
            </w:tcMar>
            <w:vAlign w:val="center"/>
            <w:shd w:fill="356F99"/>
          </w:tcPr>
          <w:p>
            <w:pPr>
              <w:spacing w:after="0"/>
              <w:jc w:val="center"/>
            </w:pPr>
            <w:r/>
            <w:r>
              <w:rPr>
                <w:rFonts w:ascii="Aptos" w:hAnsi="Aptos"/>
                <w:b/>
                <w:color w:val="FFFFFF"/>
                <w:sz w:val="16"/>
              </w:rPr>
              <w:t>Discussion question</w:t>
            </w:r>
          </w:p>
        </w:tc>
        <w:tc>
          <w:tcPr>
            <w:tcW w:type="dxa" w:w="5499"/>
            <w:tcMar>
              <w:top w:w="100" w:type="dxa"/>
              <w:start w:w="130" w:type="dxa"/>
              <w:bottom w:w="100" w:type="dxa"/>
              <w:end w:w="130" w:type="dxa"/>
            </w:tcMar>
            <w:vAlign w:val="center"/>
            <w:shd w:fill="356F99"/>
          </w:tcPr>
          <w:p>
            <w:pPr>
              <w:spacing w:after="0"/>
              <w:jc w:val="center"/>
            </w:pPr>
            <w:r/>
            <w:r>
              <w:rPr>
                <w:rFonts w:ascii="Aptos" w:hAnsi="Aptos"/>
                <w:b/>
                <w:color w:val="FFFFFF"/>
                <w:sz w:val="16"/>
              </w:rPr>
              <w:t>Suggested direction</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Does the alert arrive before the decision?</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Begin with the decision and information need, not the existing score interface.</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What changed and why did the alert appear now?</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Show trend, uncertainty, contributing data and missing information.</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What information could reduce uncertainty?</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Provide an owned escalation and documented override route.</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Who must review, override, escalate and document?</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Measure timeliness, false-positive/negative burden, response, workload, equity and patient outcomes prospectively.</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Which prospective measures and stop criteria are required?</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Do not claim clinical benefit from a usability prototype alone.</w:t>
            </w:r>
          </w:p>
        </w:tc>
      </w:tr>
    </w:tbl>
    <w:p>
      <w:pPr>
        <w:spacing w:after="0"/>
      </w:pPr>
    </w:p>
    <w:p>
      <w:pPr>
        <w:pStyle w:val="Heading2"/>
      </w:pPr>
      <w:r>
        <w:t>Workshop bridge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84"/>
            <w:tcMar>
              <w:top w:w="100" w:type="dxa"/>
              <w:start w:w="130" w:type="dxa"/>
              <w:bottom w:w="100" w:type="dxa"/>
              <w:end w:w="130" w:type="dxa"/>
            </w:tcMar>
            <w:vAlign w:val="center"/>
            <w:shd w:fill="C18B2F"/>
          </w:tcPr>
          <w:p>
            <w:pPr>
              <w:spacing w:after="0"/>
              <w:jc w:val="center"/>
            </w:pPr>
            <w:r/>
            <w:r>
              <w:rPr>
                <w:rFonts w:ascii="Aptos" w:hAnsi="Aptos"/>
                <w:b/>
                <w:color w:val="FFFFFF"/>
                <w:sz w:val="15"/>
              </w:rPr>
              <w:t>Demo</w:t>
            </w:r>
          </w:p>
        </w:tc>
        <w:tc>
          <w:tcPr>
            <w:tcW w:type="dxa" w:w="2381"/>
            <w:tcMar>
              <w:top w:w="100" w:type="dxa"/>
              <w:start w:w="130" w:type="dxa"/>
              <w:bottom w:w="100" w:type="dxa"/>
              <w:end w:w="130" w:type="dxa"/>
            </w:tcMar>
            <w:vAlign w:val="center"/>
            <w:shd w:fill="C18B2F"/>
          </w:tcPr>
          <w:p>
            <w:pPr>
              <w:spacing w:after="0"/>
              <w:jc w:val="center"/>
            </w:pPr>
            <w:r/>
            <w:r>
              <w:rPr>
                <w:rFonts w:ascii="Aptos" w:hAnsi="Aptos"/>
                <w:b/>
                <w:color w:val="FFFFFF"/>
                <w:sz w:val="15"/>
              </w:rPr>
              <w:t>Tools / prompt</w:t>
            </w:r>
          </w:p>
        </w:tc>
        <w:tc>
          <w:tcPr>
            <w:tcW w:type="dxa" w:w="2438"/>
            <w:tcMar>
              <w:top w:w="100" w:type="dxa"/>
              <w:start w:w="130" w:type="dxa"/>
              <w:bottom w:w="100" w:type="dxa"/>
              <w:end w:w="130" w:type="dxa"/>
            </w:tcMar>
            <w:vAlign w:val="center"/>
            <w:shd w:fill="C18B2F"/>
          </w:tcPr>
          <w:p>
            <w:pPr>
              <w:spacing w:after="0"/>
              <w:jc w:val="center"/>
            </w:pPr>
            <w:r/>
            <w:r>
              <w:rPr>
                <w:rFonts w:ascii="Aptos" w:hAnsi="Aptos"/>
                <w:b/>
                <w:color w:val="FFFFFF"/>
                <w:sz w:val="15"/>
              </w:rPr>
              <w:t>Expected output</w:t>
            </w:r>
          </w:p>
        </w:tc>
        <w:tc>
          <w:tcPr>
            <w:tcW w:type="dxa" w:w="2721"/>
            <w:tcMar>
              <w:top w:w="100" w:type="dxa"/>
              <w:start w:w="130" w:type="dxa"/>
              <w:bottom w:w="100" w:type="dxa"/>
              <w:end w:w="130" w:type="dxa"/>
            </w:tcMar>
            <w:vAlign w:val="center"/>
            <w:shd w:fill="C18B2F"/>
          </w:tcPr>
          <w:p>
            <w:pPr>
              <w:spacing w:after="0"/>
              <w:jc w:val="center"/>
            </w:pPr>
            <w:r/>
            <w:r>
              <w:rPr>
                <w:rFonts w:ascii="Aptos" w:hAnsi="Aptos"/>
                <w:b/>
                <w:color w:val="FFFFFF"/>
                <w:sz w:val="15"/>
              </w:rPr>
              <w:t>Human checkpoint</w:t>
            </w:r>
          </w:p>
        </w:tc>
      </w:tr>
      <w:tr>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5"/>
              </w:rPr>
              <w:t>Redesign an unhelpful alert</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ChatGPT Prompt 5 • Prompt 5</w:t>
            </w:r>
          </w:p>
        </w:tc>
        <w:tc>
          <w:tcPr>
            <w:tcW w:type="dxa" w:w="2438"/>
            <w:tcMar>
              <w:top w:w="100" w:type="dxa"/>
              <w:start w:w="130" w:type="dxa"/>
              <w:bottom w:w="100" w:type="dxa"/>
              <w:end w:w="130" w:type="dxa"/>
            </w:tcMar>
            <w:vAlign w:val="center"/>
            <w:shd w:fill="F7F4EE"/>
          </w:tcPr>
          <w:p>
            <w:pPr>
              <w:spacing w:after="0"/>
            </w:pPr>
            <w:r/>
            <w:r>
              <w:rPr>
                <w:rFonts w:ascii="Aptos" w:hAnsi="Aptos"/>
                <w:b w:val="0"/>
                <w:color w:val="18313F"/>
                <w:sz w:val="15"/>
              </w:rPr>
              <w:t>Before/after alert specification and prospective pilot measures.</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Clinical governance approves intended use, thresholds, escalation and monitoring.</w:t>
            </w:r>
          </w:p>
        </w:tc>
      </w:tr>
    </w:tbl>
    <w:p>
      <w:pPr>
        <w:spacing w:after="0"/>
      </w:pPr>
    </w:p>
    <w:p>
      <w:pPr>
        <w:pStyle w:val="ListBullet"/>
        <w:spacing w:after="60"/>
        <w:ind w:left="312" w:hanging="142"/>
      </w:pPr>
      <w:r>
        <w:t>Analyse timeliness, burden, uncertainty, explanation and actionability.</w:t>
      </w:r>
    </w:p>
    <w:p>
      <w:pPr>
        <w:pStyle w:val="ListBullet"/>
        <w:spacing w:after="60"/>
        <w:ind w:left="312" w:hanging="142"/>
      </w:pPr>
      <w:r>
        <w:t>Specify what changed and why the alert appeared.</w:t>
      </w:r>
    </w:p>
    <w:p>
      <w:pPr>
        <w:pStyle w:val="ListBullet"/>
        <w:spacing w:after="60"/>
        <w:ind w:left="312" w:hanging="142"/>
      </w:pPr>
      <w:r>
        <w:t>List information that could reduce uncertainty.</w:t>
      </w:r>
    </w:p>
    <w:p>
      <w:pPr>
        <w:pStyle w:val="ListBullet"/>
        <w:spacing w:after="60"/>
        <w:ind w:left="312" w:hanging="142"/>
      </w:pPr>
      <w:r>
        <w:t>Create override, escalation and audit paths.</w:t>
      </w:r>
    </w:p>
    <w:p>
      <w:pPr>
        <w:pStyle w:val="ListBullet"/>
        <w:spacing w:after="60"/>
        <w:ind w:left="312" w:hanging="142"/>
      </w:pPr>
      <w:r>
        <w:t>Define pilot measures and stop criteria.</w:t>
      </w: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TRANSFER ASSIGNMENT</w:t>
            </w:r>
          </w:p>
          <w:p>
            <w:pPr>
              <w:spacing w:after="0"/>
            </w:pPr>
            <w:r>
              <w:rPr>
                <w:rFonts w:ascii="Aptos" w:hAnsi="Aptos"/>
                <w:color w:val="18313F"/>
                <w:sz w:val="19"/>
              </w:rPr>
              <w:t>Bring one non-identifiable alert from your setting and redesign its decision timing, uncertainty and ownership.</w:t>
            </w:r>
          </w:p>
        </w:tc>
      </w:tr>
    </w:tbl>
    <w:p>
      <w:pPr>
        <w:spacing w:after="0"/>
      </w:pPr>
    </w:p>
    <w:p>
      <w:r>
        <w:rPr>
          <w:b/>
          <w:color w:val="0B6E69"/>
        </w:rPr>
        <w:t>Participant decision and evidence: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CASE 6</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Ambient scribes — The real workflow cost and payoff of ambient documentation</w:t>
            </w:r>
          </w:p>
        </w:tc>
      </w:tr>
    </w:tbl>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MANAGEMENT DILEMMA</w:t>
            </w:r>
          </w:p>
          <w:p>
            <w:pPr>
              <w:spacing w:after="0"/>
            </w:pPr>
            <w:r>
              <w:rPr>
                <w:rFonts w:ascii="Aptos" w:hAnsi="Aptos"/>
                <w:color w:val="18313F"/>
                <w:sz w:val="19"/>
              </w:rPr>
              <w:t>Should a five-practice group roll out an ambient scribe broadly after promising time-saving reports, or use a controlled pilot that treats review quality as a new clinical process?</w:t>
            </w:r>
          </w:p>
        </w:tc>
      </w:tr>
    </w:tbl>
    <w:p>
      <w:pPr>
        <w:spacing w:after="0"/>
      </w:pPr>
    </w:p>
    <w:p>
      <w:pPr>
        <w:pStyle w:val="Heading2"/>
      </w:pPr>
      <w:r>
        <w:t>Case context</w:t>
      </w:r>
    </w:p>
    <w:p>
      <w:r>
        <w:t>Ambient documentation tools can return attention to the consultation, but they also create a new workflow for consent, review, omission detection, correction, retention and audit.</w:t>
      </w:r>
    </w:p>
    <w:p>
      <w:pPr>
        <w:pStyle w:val="Heading2"/>
      </w:pPr>
      <w:r>
        <w:t>Case narrative</w:t>
      </w:r>
    </w:p>
    <w:p>
      <w:r>
        <w:t>The supplied implementation dissertation describes a multi-practice deployment with initial resistance, new review work and potential benefits. The programme triangulates this with growing multi-site peer-reviewed observational evidence on ambient documentation.</w:t>
      </w:r>
    </w:p>
    <w:p>
      <w:r>
        <w:t>Across products and settings, reports suggest potential reductions in after-hours EHR work and documentation burden. Outcomes, adoption maturity, measures and product behaviour vary, so local safety and effectiveness cannot be assumed.</w:t>
      </w:r>
    </w:p>
    <w:p>
      <w:r>
        <w:t>Ambient capture changes the consultation: patients need an appropriate notice or consent process, clinicians must review drafts, and the organisation must decide retention, data location, access and incident handling.</w:t>
      </w:r>
    </w:p>
    <w:p>
      <w:r>
        <w:t>The key management insight is that time saved at the keyboard creates a new quality-assurance workflow. A pilot must measure both the returned attention and the errors or omissions that reviewers must catch.</w:t>
      </w:r>
    </w:p>
    <w:p>
      <w:pPr>
        <w:pStyle w:val="Heading2"/>
      </w:pPr>
      <w:r>
        <w:t>Key facts</w:t>
      </w:r>
    </w:p>
    <w:p>
      <w:pPr>
        <w:pStyle w:val="ListBullet"/>
        <w:spacing w:after="60"/>
        <w:ind w:left="312" w:hanging="142"/>
      </w:pPr>
      <w:r>
        <w:t>Implementation dissertation plus growing observational health-system evidence.</w:t>
      </w:r>
    </w:p>
    <w:p>
      <w:pPr>
        <w:pStyle w:val="ListBullet"/>
        <w:spacing w:after="60"/>
        <w:ind w:left="312" w:hanging="142"/>
      </w:pPr>
      <w:r>
        <w:t>Potential reductions in after-hours documentation and burden are reported.</w:t>
      </w:r>
    </w:p>
    <w:p>
      <w:pPr>
        <w:pStyle w:val="ListBullet"/>
        <w:spacing w:after="60"/>
        <w:ind w:left="312" w:hanging="142"/>
      </w:pPr>
      <w:r>
        <w:t>Product, setting, adoption maturity and outcome measures vary.</w:t>
      </w:r>
    </w:p>
    <w:p>
      <w:pPr>
        <w:pStyle w:val="ListBullet"/>
        <w:spacing w:after="60"/>
        <w:ind w:left="312" w:hanging="142"/>
      </w:pPr>
      <w:r>
        <w:t>Consent, review, retention and audit are workflow requirements.</w:t>
      </w:r>
    </w:p>
    <w:p>
      <w:pPr>
        <w:pStyle w:val="ListBullet"/>
        <w:spacing w:after="60"/>
        <w:ind w:left="312" w:hanging="142"/>
      </w:pPr>
      <w:r>
        <w:t>Time saving alone does not establish safety.</w:t>
      </w:r>
    </w:p>
    <w:p>
      <w:r>
        <w:rPr>
          <w:color w:val="356F99"/>
          <w:sz w:val="16"/>
        </w:rPr>
        <w:t>Primary source: https://www.proquest.com/openview/574eebe7a1f1dcd2ca5d88f6a9a22a7b/1?pq-origsite=gscholar&amp;cbl=18750&amp;diss=y</w:t>
      </w:r>
    </w:p>
    <w:p>
      <w:r>
        <w:br w:type="page"/>
      </w:r>
    </w:p>
    <w:p>
      <w:pPr>
        <w:pStyle w:val="Heading1"/>
      </w:pPr>
      <w:r>
        <w:t>Case 6 evidence and patient-centric analysis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81"/>
            <w:tcMar>
              <w:top w:w="100" w:type="dxa"/>
              <w:start w:w="130" w:type="dxa"/>
              <w:bottom w:w="100" w:type="dxa"/>
              <w:end w:w="130" w:type="dxa"/>
            </w:tcMar>
            <w:vAlign w:val="center"/>
            <w:shd w:fill="0B6E69"/>
          </w:tcPr>
          <w:p>
            <w:pPr>
              <w:spacing w:after="0"/>
              <w:jc w:val="center"/>
            </w:pPr>
            <w:r/>
            <w:r>
              <w:rPr>
                <w:rFonts w:ascii="Aptos" w:hAnsi="Aptos"/>
                <w:b/>
                <w:color w:val="FFFFFF"/>
                <w:sz w:val="15"/>
              </w:rPr>
              <w:t>Reported signal</w:t>
            </w:r>
          </w:p>
        </w:tc>
        <w:tc>
          <w:tcPr>
            <w:tcW w:type="dxa" w:w="1928"/>
            <w:tcMar>
              <w:top w:w="100" w:type="dxa"/>
              <w:start w:w="130" w:type="dxa"/>
              <w:bottom w:w="100" w:type="dxa"/>
              <w:end w:w="130" w:type="dxa"/>
            </w:tcMar>
            <w:vAlign w:val="center"/>
            <w:shd w:fill="0B6E69"/>
          </w:tcPr>
          <w:p>
            <w:pPr>
              <w:spacing w:after="0"/>
              <w:jc w:val="center"/>
            </w:pPr>
            <w:r/>
            <w:r>
              <w:rPr>
                <w:rFonts w:ascii="Aptos" w:hAnsi="Aptos"/>
                <w:b/>
                <w:color w:val="FFFFFF"/>
                <w:sz w:val="15"/>
              </w:rPr>
              <w:t>Evidence label</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5"/>
              </w:rPr>
              <w:t>Limitation</w:t>
            </w:r>
          </w:p>
        </w:tc>
        <w:tc>
          <w:tcPr>
            <w:tcW w:type="dxa" w:w="2494"/>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r>
      <w:tr>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Reports describe initial resistance, new review work and potential reductions in after-hours EHR time and burden after adoption.</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5"/>
              </w:rPr>
              <w:t>Implementation dissertation plus growing health-system observational evidence</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Product, setting, adoption maturity and outcome measures vary; product-specific safety and local effect require validation.</w:t>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5"/>
              </w:rPr>
              <w:t>Clinician or designated reviewer edits and signs; organisation owns consent, retention and audit.</w:t>
            </w:r>
          </w:p>
        </w:tc>
      </w:tr>
    </w:tbl>
    <w:p>
      <w:pPr>
        <w:spacing w:after="0"/>
      </w:pPr>
    </w:p>
    <w:p>
      <w:pPr>
        <w:pStyle w:val="Heading2"/>
      </w:pPr>
      <w:r>
        <w:t>Stakeholder map</w:t>
      </w:r>
    </w:p>
    <w:p>
      <w:pPr>
        <w:pStyle w:val="ListBullet"/>
        <w:spacing w:after="60"/>
        <w:ind w:left="312" w:hanging="142"/>
      </w:pPr>
      <w:r>
        <w:t>Patients and caregivers in recorded encounters</w:t>
      </w:r>
    </w:p>
    <w:p>
      <w:pPr>
        <w:pStyle w:val="ListBullet"/>
        <w:spacing w:after="60"/>
        <w:ind w:left="312" w:hanging="142"/>
      </w:pPr>
      <w:r>
        <w:t>Clinicians and designated reviewers</w:t>
      </w:r>
    </w:p>
    <w:p>
      <w:pPr>
        <w:pStyle w:val="ListBullet"/>
        <w:spacing w:after="60"/>
        <w:ind w:left="312" w:hanging="142"/>
      </w:pPr>
      <w:r>
        <w:t>Health-information management and quality teams</w:t>
      </w:r>
    </w:p>
    <w:p>
      <w:pPr>
        <w:pStyle w:val="ListBullet"/>
        <w:spacing w:after="60"/>
        <w:ind w:left="312" w:hanging="142"/>
      </w:pPr>
      <w:r>
        <w:t>Privacy, IT/security, procurement and legal teams</w:t>
      </w:r>
    </w:p>
    <w:p>
      <w:pPr>
        <w:pStyle w:val="ListBullet"/>
        <w:spacing w:after="60"/>
        <w:ind w:left="312" w:hanging="142"/>
      </w:pPr>
      <w:r>
        <w:t>Ambient-scribe vendors and implementation partners</w:t>
      </w:r>
    </w:p>
    <w:p>
      <w:pPr>
        <w:pStyle w:val="Heading2"/>
      </w:pPr>
      <w:r>
        <w:t>Patient-centric risks</w:t>
      </w:r>
    </w:p>
    <w:p>
      <w:pPr>
        <w:pStyle w:val="ListBullet"/>
        <w:spacing w:after="60"/>
        <w:ind w:left="312" w:hanging="142"/>
      </w:pPr>
      <w:r>
        <w:t>Patients may not understand capture, retention or use.</w:t>
      </w:r>
    </w:p>
    <w:p>
      <w:pPr>
        <w:pStyle w:val="ListBullet"/>
        <w:spacing w:after="60"/>
        <w:ind w:left="312" w:hanging="142"/>
      </w:pPr>
      <w:r>
        <w:t>The draft may omit uncertainty, context, negation or sensitive discussion.</w:t>
      </w:r>
    </w:p>
    <w:p>
      <w:pPr>
        <w:pStyle w:val="ListBullet"/>
        <w:spacing w:after="60"/>
        <w:ind w:left="312" w:hanging="142"/>
      </w:pPr>
      <w:r>
        <w:t>Reviewers may become automation-biased or rush sign-off.</w:t>
      </w:r>
    </w:p>
    <w:p>
      <w:pPr>
        <w:pStyle w:val="ListBullet"/>
        <w:spacing w:after="60"/>
        <w:ind w:left="312" w:hanging="142"/>
      </w:pPr>
      <w:r>
        <w:t>Data handling may conflict with policy, contract or patient expectation.</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CENTRAL LESSON</w:t>
            </w:r>
          </w:p>
          <w:p>
            <w:pPr>
              <w:spacing w:after="0"/>
            </w:pPr>
            <w:r>
              <w:rPr>
                <w:rFonts w:ascii="Aptos" w:hAnsi="Aptos"/>
                <w:color w:val="18313F"/>
                <w:sz w:val="19"/>
              </w:rPr>
              <w:t>Time saved at the keyboard creates a new quality-assurance workflow.</w:t>
            </w:r>
          </w:p>
        </w:tc>
      </w:tr>
    </w:tbl>
    <w:p>
      <w:pPr>
        <w:spacing w:after="0"/>
      </w:pPr>
    </w:p>
    <w:p>
      <w:r>
        <w:br w:type="page"/>
      </w:r>
    </w:p>
    <w:p>
      <w:pPr>
        <w:pStyle w:val="Heading1"/>
      </w:pPr>
      <w:r>
        <w:t>Case 6 teaching and transfer guide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025"/>
            <w:tcMar>
              <w:top w:w="100" w:type="dxa"/>
              <w:start w:w="130" w:type="dxa"/>
              <w:bottom w:w="100" w:type="dxa"/>
              <w:end w:w="130" w:type="dxa"/>
            </w:tcMar>
            <w:vAlign w:val="center"/>
            <w:shd w:fill="356F99"/>
          </w:tcPr>
          <w:p>
            <w:pPr>
              <w:spacing w:after="0"/>
              <w:jc w:val="center"/>
            </w:pPr>
            <w:r/>
            <w:r>
              <w:rPr>
                <w:rFonts w:ascii="Aptos" w:hAnsi="Aptos"/>
                <w:b/>
                <w:color w:val="FFFFFF"/>
                <w:sz w:val="16"/>
              </w:rPr>
              <w:t>Discussion question</w:t>
            </w:r>
          </w:p>
        </w:tc>
        <w:tc>
          <w:tcPr>
            <w:tcW w:type="dxa" w:w="5499"/>
            <w:tcMar>
              <w:top w:w="100" w:type="dxa"/>
              <w:start w:w="130" w:type="dxa"/>
              <w:bottom w:w="100" w:type="dxa"/>
              <w:end w:w="130" w:type="dxa"/>
            </w:tcMar>
            <w:vAlign w:val="center"/>
            <w:shd w:fill="356F99"/>
          </w:tcPr>
          <w:p>
            <w:pPr>
              <w:spacing w:after="0"/>
              <w:jc w:val="center"/>
            </w:pPr>
            <w:r/>
            <w:r>
              <w:rPr>
                <w:rFonts w:ascii="Aptos" w:hAnsi="Aptos"/>
                <w:b/>
                <w:color w:val="FFFFFF"/>
                <w:sz w:val="16"/>
              </w:rPr>
              <w:t>Suggested direction</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What attention does the tool return to the patient?</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Pilot in a bounded service with explicit exclusions and trained reviewers.</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What new review work and error types appear?</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Use synthetic data before any live encounter and obtain governance approval.</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Who reviews the reviewer and how are omissions sampled?</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Sample notes using an error taxonomy that includes hallucination, omission, negation, medicine and follow-up errors.</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What notice/consent and data-retention model is appropriate?</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Measure clinician time, after-hours work, patient experience, correction burden and safety incidents.</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Which error would immediately stop the pilot?</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Publish rollback and stop criteria; make the final signer accountable.</w:t>
            </w:r>
          </w:p>
        </w:tc>
      </w:tr>
    </w:tbl>
    <w:p>
      <w:pPr>
        <w:spacing w:after="0"/>
      </w:pPr>
    </w:p>
    <w:p>
      <w:pPr>
        <w:pStyle w:val="Heading2"/>
      </w:pPr>
      <w:r>
        <w:t>Workshop bridge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84"/>
            <w:tcMar>
              <w:top w:w="100" w:type="dxa"/>
              <w:start w:w="130" w:type="dxa"/>
              <w:bottom w:w="100" w:type="dxa"/>
              <w:end w:w="130" w:type="dxa"/>
            </w:tcMar>
            <w:vAlign w:val="center"/>
            <w:shd w:fill="C18B2F"/>
          </w:tcPr>
          <w:p>
            <w:pPr>
              <w:spacing w:after="0"/>
              <w:jc w:val="center"/>
            </w:pPr>
            <w:r/>
            <w:r>
              <w:rPr>
                <w:rFonts w:ascii="Aptos" w:hAnsi="Aptos"/>
                <w:b/>
                <w:color w:val="FFFFFF"/>
                <w:sz w:val="15"/>
              </w:rPr>
              <w:t>Demo</w:t>
            </w:r>
          </w:p>
        </w:tc>
        <w:tc>
          <w:tcPr>
            <w:tcW w:type="dxa" w:w="2381"/>
            <w:tcMar>
              <w:top w:w="100" w:type="dxa"/>
              <w:start w:w="130" w:type="dxa"/>
              <w:bottom w:w="100" w:type="dxa"/>
              <w:end w:w="130" w:type="dxa"/>
            </w:tcMar>
            <w:vAlign w:val="center"/>
            <w:shd w:fill="C18B2F"/>
          </w:tcPr>
          <w:p>
            <w:pPr>
              <w:spacing w:after="0"/>
              <w:jc w:val="center"/>
            </w:pPr>
            <w:r/>
            <w:r>
              <w:rPr>
                <w:rFonts w:ascii="Aptos" w:hAnsi="Aptos"/>
                <w:b/>
                <w:color w:val="FFFFFF"/>
                <w:sz w:val="15"/>
              </w:rPr>
              <w:t>Tools / prompt</w:t>
            </w:r>
          </w:p>
        </w:tc>
        <w:tc>
          <w:tcPr>
            <w:tcW w:type="dxa" w:w="2438"/>
            <w:tcMar>
              <w:top w:w="100" w:type="dxa"/>
              <w:start w:w="130" w:type="dxa"/>
              <w:bottom w:w="100" w:type="dxa"/>
              <w:end w:w="130" w:type="dxa"/>
            </w:tcMar>
            <w:vAlign w:val="center"/>
            <w:shd w:fill="C18B2F"/>
          </w:tcPr>
          <w:p>
            <w:pPr>
              <w:spacing w:after="0"/>
              <w:jc w:val="center"/>
            </w:pPr>
            <w:r/>
            <w:r>
              <w:rPr>
                <w:rFonts w:ascii="Aptos" w:hAnsi="Aptos"/>
                <w:b/>
                <w:color w:val="FFFFFF"/>
                <w:sz w:val="15"/>
              </w:rPr>
              <w:t>Expected output</w:t>
            </w:r>
          </w:p>
        </w:tc>
        <w:tc>
          <w:tcPr>
            <w:tcW w:type="dxa" w:w="2721"/>
            <w:tcMar>
              <w:top w:w="100" w:type="dxa"/>
              <w:start w:w="130" w:type="dxa"/>
              <w:bottom w:w="100" w:type="dxa"/>
              <w:end w:w="130" w:type="dxa"/>
            </w:tcMar>
            <w:vAlign w:val="center"/>
            <w:shd w:fill="C18B2F"/>
          </w:tcPr>
          <w:p>
            <w:pPr>
              <w:spacing w:after="0"/>
              <w:jc w:val="center"/>
            </w:pPr>
            <w:r/>
            <w:r>
              <w:rPr>
                <w:rFonts w:ascii="Aptos" w:hAnsi="Aptos"/>
                <w:b/>
                <w:color w:val="FFFFFF"/>
                <w:sz w:val="15"/>
              </w:rPr>
              <w:t>Human checkpoint</w:t>
            </w:r>
          </w:p>
        </w:tc>
      </w:tr>
      <w:tr>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5"/>
              </w:rPr>
              <w:t>Ambient scribe versus structured ChatGPT draft</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Heidi, Nabla or Abridge demonstration plus ChatGPT Prompts 1 and 6 • Prompt 1</w:t>
            </w:r>
          </w:p>
        </w:tc>
        <w:tc>
          <w:tcPr>
            <w:tcW w:type="dxa" w:w="2438"/>
            <w:tcMar>
              <w:top w:w="100" w:type="dxa"/>
              <w:start w:w="130" w:type="dxa"/>
              <w:bottom w:w="100" w:type="dxa"/>
              <w:end w:w="130" w:type="dxa"/>
            </w:tcMar>
            <w:vAlign w:val="center"/>
            <w:shd w:fill="F7F4EE"/>
          </w:tcPr>
          <w:p>
            <w:pPr>
              <w:spacing w:after="0"/>
            </w:pPr>
            <w:r/>
            <w:r>
              <w:rPr>
                <w:rFonts w:ascii="Aptos" w:hAnsi="Aptos"/>
                <w:b w:val="0"/>
                <w:color w:val="18313F"/>
                <w:sz w:val="15"/>
              </w:rPr>
              <w:t>Reviewed draft comparison and controlled-pilot charter.</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Clinician/designated reviewer edits and signs; governance owners approve consent, data and audit.</w:t>
            </w:r>
          </w:p>
        </w:tc>
      </w:tr>
    </w:tbl>
    <w:p>
      <w:pPr>
        <w:spacing w:after="0"/>
      </w:pPr>
    </w:p>
    <w:p>
      <w:pPr>
        <w:pStyle w:val="ListBullet"/>
        <w:spacing w:after="60"/>
        <w:ind w:left="312" w:hanging="142"/>
      </w:pPr>
      <w:r>
        <w:t>Label and enter the supplied synthetic consultation.</w:t>
      </w:r>
    </w:p>
    <w:p>
      <w:pPr>
        <w:pStyle w:val="ListBullet"/>
        <w:spacing w:after="60"/>
        <w:ind w:left="312" w:hanging="142"/>
      </w:pPr>
      <w:r>
        <w:t>Generate a note and patient summary in the specialised tool.</w:t>
      </w:r>
    </w:p>
    <w:p>
      <w:pPr>
        <w:pStyle w:val="ListBullet"/>
        <w:spacing w:after="60"/>
        <w:ind w:left="312" w:hanging="142"/>
      </w:pPr>
      <w:r>
        <w:t>Run Prompt 1 in ChatGPT with the same transcript.</w:t>
      </w:r>
    </w:p>
    <w:p>
      <w:pPr>
        <w:pStyle w:val="ListBullet"/>
        <w:spacing w:after="60"/>
        <w:ind w:left="312" w:hanging="142"/>
      </w:pPr>
      <w:r>
        <w:t>Compare omissions, inventions, teach-back and escalation.</w:t>
      </w:r>
    </w:p>
    <w:p>
      <w:pPr>
        <w:pStyle w:val="ListBullet"/>
        <w:spacing w:after="60"/>
        <w:ind w:left="312" w:hanging="142"/>
      </w:pPr>
      <w:r>
        <w:t>Use Prompt 6 to create a six-week pilot and stop rules.</w:t>
      </w: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TRANSFER ASSIGNMENT</w:t>
            </w:r>
          </w:p>
          <w:p>
            <w:pPr>
              <w:spacing w:after="0"/>
            </w:pPr>
            <w:r>
              <w:rPr>
                <w:rFonts w:ascii="Aptos" w:hAnsi="Aptos"/>
                <w:color w:val="18313F"/>
                <w:sz w:val="19"/>
              </w:rPr>
              <w:t>Create an ambient-scribe error taxonomy and a weekly sampling plan for a six-week pilot.</w:t>
            </w:r>
          </w:p>
        </w:tc>
      </w:tr>
    </w:tbl>
    <w:p>
      <w:pPr>
        <w:spacing w:after="0"/>
      </w:pPr>
    </w:p>
    <w:p>
      <w:r>
        <w:rPr>
          <w:b/>
          <w:color w:val="0B6E69"/>
        </w:rPr>
        <w:t>Participant decision and evidence: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0B6E69"/>
          </w:tcPr>
          <w:p>
            <w:pPr>
              <w:spacing w:after="0"/>
              <w:jc w:val="center"/>
            </w:pPr>
            <w:r/>
            <w:r>
              <w:rPr>
                <w:rFonts w:ascii="Aptos" w:hAnsi="Aptos"/>
                <w:b/>
                <w:color w:val="FFFFFF"/>
                <w:sz w:val="18"/>
              </w:rPr>
              <w:t>CASE 7</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Explainable AI — Why a visible explanation is necessary—but not sufficient</w:t>
            </w:r>
          </w:p>
        </w:tc>
      </w:tr>
    </w:tbl>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MANAGEMENT DILEMMA</w:t>
            </w:r>
          </w:p>
          <w:p>
            <w:pPr>
              <w:spacing w:after="0"/>
            </w:pPr>
            <w:r>
              <w:rPr>
                <w:rFonts w:ascii="Aptos" w:hAnsi="Aptos"/>
                <w:color w:val="18313F"/>
                <w:sz w:val="19"/>
              </w:rPr>
              <w:t>Should a clinical or pharma team accept a medical-AI product because its predictions are accompanied by attractive explanations?</w:t>
            </w:r>
          </w:p>
        </w:tc>
      </w:tr>
    </w:tbl>
    <w:p>
      <w:pPr>
        <w:spacing w:after="0"/>
      </w:pPr>
    </w:p>
    <w:p>
      <w:pPr>
        <w:pStyle w:val="Heading2"/>
      </w:pPr>
      <w:r>
        <w:t>Case context</w:t>
      </w:r>
    </w:p>
    <w:p>
      <w:r>
        <w:t>Explainable AI methods such as heatmaps, attention maps and feature attribution can support scrutiny, but an explanation may be plausible, unstable or clinically irrelevant.</w:t>
      </w:r>
    </w:p>
    <w:p>
      <w:pPr>
        <w:pStyle w:val="Heading2"/>
      </w:pPr>
      <w:r>
        <w:t>Case narrative</w:t>
      </w:r>
    </w:p>
    <w:p>
      <w:r>
        <w:t>The 2025 reference chapter discusses explainable-AI applications across imaging, drug discovery and personalised medicine. It illustrates how explanations may support audit, teaching and clinician sense-checking.</w:t>
      </w:r>
    </w:p>
    <w:p>
      <w:r>
        <w:t>As a narrative reference chapter, it is useful for concepts and examples but does not prove that any particular explanation method improves accuracy, safety or patient outcomes.</w:t>
      </w:r>
    </w:p>
    <w:p>
      <w:r>
        <w:t>A heatmap can focus attention while still being unstable, sensitive to model changes or unrelated to clinically meaningful evidence. Explanations should therefore be evaluated alongside intended use, validation, subgroup performance and error consequences.</w:t>
      </w:r>
    </w:p>
    <w:p>
      <w:r>
        <w:t>For patient centricity, explanations must be appropriate to the audience. A technical attribution plot may support professional audit, while a patient needs an honest explanation of what the system did, its uncertainty and who made the final decision.</w:t>
      </w:r>
    </w:p>
    <w:p>
      <w:pPr>
        <w:pStyle w:val="Heading2"/>
      </w:pPr>
      <w:r>
        <w:t>Key facts</w:t>
      </w:r>
    </w:p>
    <w:p>
      <w:pPr>
        <w:pStyle w:val="ListBullet"/>
        <w:spacing w:after="60"/>
        <w:ind w:left="312" w:hanging="142"/>
      </w:pPr>
      <w:r>
        <w:t>2025 narrative reference chapter.</w:t>
      </w:r>
    </w:p>
    <w:p>
      <w:pPr>
        <w:pStyle w:val="ListBullet"/>
        <w:spacing w:after="60"/>
        <w:ind w:left="312" w:hanging="142"/>
      </w:pPr>
      <w:r>
        <w:t>Covers imaging, drug discovery and personalised medicine examples.</w:t>
      </w:r>
    </w:p>
    <w:p>
      <w:pPr>
        <w:pStyle w:val="ListBullet"/>
        <w:spacing w:after="60"/>
        <w:ind w:left="312" w:hanging="142"/>
      </w:pPr>
      <w:r>
        <w:t>Discusses heatmaps, attention maps and feature attribution.</w:t>
      </w:r>
    </w:p>
    <w:p>
      <w:pPr>
        <w:pStyle w:val="ListBullet"/>
        <w:spacing w:after="60"/>
        <w:ind w:left="312" w:hanging="142"/>
      </w:pPr>
      <w:r>
        <w:t>Supports explanation and audit concepts.</w:t>
      </w:r>
    </w:p>
    <w:p>
      <w:pPr>
        <w:pStyle w:val="ListBullet"/>
        <w:spacing w:after="60"/>
        <w:ind w:left="312" w:hanging="142"/>
      </w:pPr>
      <w:r>
        <w:t>Explanation is not evidence of accuracy, benefit, fairness or regulatory approval.</w:t>
      </w:r>
    </w:p>
    <w:p>
      <w:r>
        <w:rPr>
          <w:color w:val="356F99"/>
          <w:sz w:val="16"/>
        </w:rPr>
        <w:t>Primary source: https://www.sciencedirect.com/science/article/pii/B9780443239793000063</w:t>
      </w:r>
    </w:p>
    <w:p>
      <w:r>
        <w:br w:type="page"/>
      </w:r>
    </w:p>
    <w:p>
      <w:pPr>
        <w:pStyle w:val="Heading1"/>
      </w:pPr>
      <w:r>
        <w:t>Case 7 evidence and patient-centric analysis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81"/>
            <w:tcMar>
              <w:top w:w="100" w:type="dxa"/>
              <w:start w:w="130" w:type="dxa"/>
              <w:bottom w:w="100" w:type="dxa"/>
              <w:end w:w="130" w:type="dxa"/>
            </w:tcMar>
            <w:vAlign w:val="center"/>
            <w:shd w:fill="0B6E69"/>
          </w:tcPr>
          <w:p>
            <w:pPr>
              <w:spacing w:after="0"/>
              <w:jc w:val="center"/>
            </w:pPr>
            <w:r/>
            <w:r>
              <w:rPr>
                <w:rFonts w:ascii="Aptos" w:hAnsi="Aptos"/>
                <w:b/>
                <w:color w:val="FFFFFF"/>
                <w:sz w:val="15"/>
              </w:rPr>
              <w:t>Reported signal</w:t>
            </w:r>
          </w:p>
        </w:tc>
        <w:tc>
          <w:tcPr>
            <w:tcW w:type="dxa" w:w="1928"/>
            <w:tcMar>
              <w:top w:w="100" w:type="dxa"/>
              <w:start w:w="130" w:type="dxa"/>
              <w:bottom w:w="100" w:type="dxa"/>
              <w:end w:w="130" w:type="dxa"/>
            </w:tcMar>
            <w:vAlign w:val="center"/>
            <w:shd w:fill="0B6E69"/>
          </w:tcPr>
          <w:p>
            <w:pPr>
              <w:spacing w:after="0"/>
              <w:jc w:val="center"/>
            </w:pPr>
            <w:r/>
            <w:r>
              <w:rPr>
                <w:rFonts w:ascii="Aptos" w:hAnsi="Aptos"/>
                <w:b/>
                <w:color w:val="FFFFFF"/>
                <w:sz w:val="15"/>
              </w:rPr>
              <w:t>Evidence label</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5"/>
              </w:rPr>
              <w:t>Limitation</w:t>
            </w:r>
          </w:p>
        </w:tc>
        <w:tc>
          <w:tcPr>
            <w:tcW w:type="dxa" w:w="2494"/>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r>
      <w:tr>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The chapter illustrates how explanation can support audit, teaching and clinician sense-checking.</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5"/>
              </w:rPr>
              <w:t>Narrative reference chapter with illustrative case applications</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An explanation can be plausible yet unstable or misleading; explainability is not proof of accuracy or benefit.</w:t>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5"/>
              </w:rPr>
              <w:t>Professional compares the explanation with intended use, validation and patient context.</w:t>
            </w:r>
          </w:p>
        </w:tc>
      </w:tr>
    </w:tbl>
    <w:p>
      <w:pPr>
        <w:spacing w:after="0"/>
      </w:pPr>
    </w:p>
    <w:p>
      <w:pPr>
        <w:pStyle w:val="Heading2"/>
      </w:pPr>
      <w:r>
        <w:t>Stakeholder map</w:t>
      </w:r>
    </w:p>
    <w:p>
      <w:pPr>
        <w:pStyle w:val="ListBullet"/>
        <w:spacing w:after="60"/>
        <w:ind w:left="312" w:hanging="142"/>
      </w:pPr>
      <w:r>
        <w:t>Patients and caregivers</w:t>
      </w:r>
    </w:p>
    <w:p>
      <w:pPr>
        <w:pStyle w:val="ListBullet"/>
        <w:spacing w:after="60"/>
        <w:ind w:left="312" w:hanging="142"/>
      </w:pPr>
      <w:r>
        <w:t>Clinicians, radiologists, pathologists and pharmacists</w:t>
      </w:r>
    </w:p>
    <w:p>
      <w:pPr>
        <w:pStyle w:val="ListBullet"/>
        <w:spacing w:after="60"/>
        <w:ind w:left="312" w:hanging="142"/>
      </w:pPr>
      <w:r>
        <w:t>Medical, safety and regulatory professionals</w:t>
      </w:r>
    </w:p>
    <w:p>
      <w:pPr>
        <w:pStyle w:val="ListBullet"/>
        <w:spacing w:after="60"/>
        <w:ind w:left="312" w:hanging="142"/>
      </w:pPr>
      <w:r>
        <w:t>Data-science and model-risk teams</w:t>
      </w:r>
    </w:p>
    <w:p>
      <w:pPr>
        <w:pStyle w:val="ListBullet"/>
        <w:spacing w:after="60"/>
        <w:ind w:left="312" w:hanging="142"/>
      </w:pPr>
      <w:r>
        <w:t>Procurement, governance and vendors</w:t>
      </w:r>
    </w:p>
    <w:p>
      <w:pPr>
        <w:pStyle w:val="Heading2"/>
      </w:pPr>
      <w:r>
        <w:t>Patient-centric risks</w:t>
      </w:r>
    </w:p>
    <w:p>
      <w:pPr>
        <w:pStyle w:val="ListBullet"/>
        <w:spacing w:after="60"/>
        <w:ind w:left="312" w:hanging="142"/>
      </w:pPr>
      <w:r>
        <w:t>A persuasive visual may create false confidence.</w:t>
      </w:r>
    </w:p>
    <w:p>
      <w:pPr>
        <w:pStyle w:val="ListBullet"/>
        <w:spacing w:after="60"/>
        <w:ind w:left="312" w:hanging="142"/>
      </w:pPr>
      <w:r>
        <w:t>An explanation may not be stable across similar inputs or model versions.</w:t>
      </w:r>
    </w:p>
    <w:p>
      <w:pPr>
        <w:pStyle w:val="ListBullet"/>
        <w:spacing w:after="60"/>
        <w:ind w:left="312" w:hanging="142"/>
      </w:pPr>
      <w:r>
        <w:t>Technical explanations may be incomprehensible or misleading to patients.</w:t>
      </w:r>
    </w:p>
    <w:p>
      <w:pPr>
        <w:pStyle w:val="ListBullet"/>
        <w:spacing w:after="60"/>
        <w:ind w:left="312" w:hanging="142"/>
      </w:pPr>
      <w:r>
        <w:t>Teams may overlook subgroup performance, false negatives or weak external validation.</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CENTRAL LESSON</w:t>
            </w:r>
          </w:p>
          <w:p>
            <w:pPr>
              <w:spacing w:after="0"/>
            </w:pPr>
            <w:r>
              <w:rPr>
                <w:rFonts w:ascii="Aptos" w:hAnsi="Aptos"/>
                <w:color w:val="18313F"/>
                <w:sz w:val="19"/>
              </w:rPr>
              <w:t>Ask why, for whom and under what validation—not only what the model predicted.</w:t>
            </w:r>
          </w:p>
        </w:tc>
      </w:tr>
    </w:tbl>
    <w:p>
      <w:pPr>
        <w:spacing w:after="0"/>
      </w:pPr>
    </w:p>
    <w:p>
      <w:r>
        <w:br w:type="page"/>
      </w:r>
    </w:p>
    <w:p>
      <w:pPr>
        <w:pStyle w:val="Heading1"/>
      </w:pPr>
      <w:r>
        <w:t>Case 7 teaching and transfer guide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025"/>
            <w:tcMar>
              <w:top w:w="100" w:type="dxa"/>
              <w:start w:w="130" w:type="dxa"/>
              <w:bottom w:w="100" w:type="dxa"/>
              <w:end w:w="130" w:type="dxa"/>
            </w:tcMar>
            <w:vAlign w:val="center"/>
            <w:shd w:fill="356F99"/>
          </w:tcPr>
          <w:p>
            <w:pPr>
              <w:spacing w:after="0"/>
              <w:jc w:val="center"/>
            </w:pPr>
            <w:r/>
            <w:r>
              <w:rPr>
                <w:rFonts w:ascii="Aptos" w:hAnsi="Aptos"/>
                <w:b/>
                <w:color w:val="FFFFFF"/>
                <w:sz w:val="16"/>
              </w:rPr>
              <w:t>Discussion question</w:t>
            </w:r>
          </w:p>
        </w:tc>
        <w:tc>
          <w:tcPr>
            <w:tcW w:type="dxa" w:w="5499"/>
            <w:tcMar>
              <w:top w:w="100" w:type="dxa"/>
              <w:start w:w="130" w:type="dxa"/>
              <w:bottom w:w="100" w:type="dxa"/>
              <w:end w:w="130" w:type="dxa"/>
            </w:tcMar>
            <w:vAlign w:val="center"/>
            <w:shd w:fill="356F99"/>
          </w:tcPr>
          <w:p>
            <w:pPr>
              <w:spacing w:after="0"/>
              <w:jc w:val="center"/>
            </w:pPr>
            <w:r/>
            <w:r>
              <w:rPr>
                <w:rFonts w:ascii="Aptos" w:hAnsi="Aptos"/>
                <w:b/>
                <w:color w:val="FFFFFF"/>
                <w:sz w:val="16"/>
              </w:rPr>
              <w:t>Suggested direction</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Is the explanation clinically meaningful or merely decorative?</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Evaluate explanation as one part of a due-diligence package, not a substitute for performance evidence.</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Was the explanation method tested for stability and usefulness?</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Ask for intended use, external/local validation, subgroup performance and clinically meaningful error analysis.</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What validation population, comparator and subgroup results are available?</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Test stability on similar synthetic examples and compare with expert reasoning.</w:t>
            </w:r>
          </w:p>
        </w:tc>
      </w:tr>
      <w:tr>
        <w:tc>
          <w:tcPr>
            <w:tcW w:type="dxa" w:w="4025"/>
            <w:tcMar>
              <w:top w:w="100" w:type="dxa"/>
              <w:start w:w="130" w:type="dxa"/>
              <w:bottom w:w="100" w:type="dxa"/>
              <w:end w:w="130" w:type="dxa"/>
            </w:tcMar>
            <w:vAlign w:val="center"/>
            <w:shd w:fill="FFFFFF"/>
          </w:tcPr>
          <w:p>
            <w:pPr>
              <w:spacing w:after="0"/>
            </w:pPr>
            <w:r/>
            <w:r>
              <w:rPr>
                <w:rFonts w:ascii="Aptos" w:hAnsi="Aptos"/>
                <w:b w:val="0"/>
                <w:color w:val="18313F"/>
                <w:sz w:val="16"/>
              </w:rPr>
              <w:t>How are false positives and false negatives handled?</w:t>
            </w:r>
          </w:p>
        </w:tc>
        <w:tc>
          <w:tcPr>
            <w:tcW w:type="dxa" w:w="5499"/>
            <w:tcMar>
              <w:top w:w="100" w:type="dxa"/>
              <w:start w:w="130" w:type="dxa"/>
              <w:bottom w:w="100" w:type="dxa"/>
              <w:end w:w="130" w:type="dxa"/>
            </w:tcMar>
            <w:vAlign w:val="center"/>
            <w:shd w:fill="FFFFFF"/>
          </w:tcPr>
          <w:p>
            <w:pPr>
              <w:spacing w:after="0"/>
            </w:pPr>
            <w:r/>
            <w:r>
              <w:rPr>
                <w:rFonts w:ascii="Aptos" w:hAnsi="Aptos"/>
                <w:b w:val="0"/>
                <w:color w:val="18313F"/>
                <w:sz w:val="16"/>
              </w:rPr>
              <w:t>Separate professional audit explanations from patient-facing communication.</w:t>
            </w:r>
          </w:p>
        </w:tc>
      </w:tr>
      <w:tr>
        <w:tc>
          <w:tcPr>
            <w:tcW w:type="dxa" w:w="4025"/>
            <w:tcMar>
              <w:top w:w="100" w:type="dxa"/>
              <w:start w:w="130" w:type="dxa"/>
              <w:bottom w:w="100" w:type="dxa"/>
              <w:end w:w="130" w:type="dxa"/>
            </w:tcMar>
            <w:vAlign w:val="center"/>
            <w:shd w:fill="F7F4EE"/>
          </w:tcPr>
          <w:p>
            <w:pPr>
              <w:spacing w:after="0"/>
            </w:pPr>
            <w:r/>
            <w:r>
              <w:rPr>
                <w:rFonts w:ascii="Aptos" w:hAnsi="Aptos"/>
                <w:b w:val="0"/>
                <w:color w:val="18313F"/>
                <w:sz w:val="16"/>
              </w:rPr>
              <w:t>What explanation does a patient need—and who owns the final decision?</w:t>
            </w:r>
          </w:p>
        </w:tc>
        <w:tc>
          <w:tcPr>
            <w:tcW w:type="dxa" w:w="5499"/>
            <w:tcMar>
              <w:top w:w="100" w:type="dxa"/>
              <w:start w:w="130" w:type="dxa"/>
              <w:bottom w:w="100" w:type="dxa"/>
              <w:end w:w="130" w:type="dxa"/>
            </w:tcMar>
            <w:vAlign w:val="center"/>
            <w:shd w:fill="F7F4EE"/>
          </w:tcPr>
          <w:p>
            <w:pPr>
              <w:spacing w:after="0"/>
            </w:pPr>
            <w:r/>
            <w:r>
              <w:rPr>
                <w:rFonts w:ascii="Aptos" w:hAnsi="Aptos"/>
                <w:b w:val="0"/>
                <w:color w:val="18313F"/>
                <w:sz w:val="16"/>
              </w:rPr>
              <w:t>Document override, audit, data and regulatory-status questions before a pilot.</w:t>
            </w:r>
          </w:p>
        </w:tc>
      </w:tr>
    </w:tbl>
    <w:p>
      <w:pPr>
        <w:spacing w:after="0"/>
      </w:pPr>
    </w:p>
    <w:p>
      <w:pPr>
        <w:pStyle w:val="Heading2"/>
      </w:pPr>
      <w:r>
        <w:t>Workshop bridge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84"/>
            <w:tcMar>
              <w:top w:w="100" w:type="dxa"/>
              <w:start w:w="130" w:type="dxa"/>
              <w:bottom w:w="100" w:type="dxa"/>
              <w:end w:w="130" w:type="dxa"/>
            </w:tcMar>
            <w:vAlign w:val="center"/>
            <w:shd w:fill="C18B2F"/>
          </w:tcPr>
          <w:p>
            <w:pPr>
              <w:spacing w:after="0"/>
              <w:jc w:val="center"/>
            </w:pPr>
            <w:r/>
            <w:r>
              <w:rPr>
                <w:rFonts w:ascii="Aptos" w:hAnsi="Aptos"/>
                <w:b/>
                <w:color w:val="FFFFFF"/>
                <w:sz w:val="15"/>
              </w:rPr>
              <w:t>Demo</w:t>
            </w:r>
          </w:p>
        </w:tc>
        <w:tc>
          <w:tcPr>
            <w:tcW w:type="dxa" w:w="2381"/>
            <w:tcMar>
              <w:top w:w="100" w:type="dxa"/>
              <w:start w:w="130" w:type="dxa"/>
              <w:bottom w:w="100" w:type="dxa"/>
              <w:end w:w="130" w:type="dxa"/>
            </w:tcMar>
            <w:vAlign w:val="center"/>
            <w:shd w:fill="C18B2F"/>
          </w:tcPr>
          <w:p>
            <w:pPr>
              <w:spacing w:after="0"/>
              <w:jc w:val="center"/>
            </w:pPr>
            <w:r/>
            <w:r>
              <w:rPr>
                <w:rFonts w:ascii="Aptos" w:hAnsi="Aptos"/>
                <w:b/>
                <w:color w:val="FFFFFF"/>
                <w:sz w:val="15"/>
              </w:rPr>
              <w:t>Tools / prompt</w:t>
            </w:r>
          </w:p>
        </w:tc>
        <w:tc>
          <w:tcPr>
            <w:tcW w:type="dxa" w:w="2438"/>
            <w:tcMar>
              <w:top w:w="100" w:type="dxa"/>
              <w:start w:w="130" w:type="dxa"/>
              <w:bottom w:w="100" w:type="dxa"/>
              <w:end w:w="130" w:type="dxa"/>
            </w:tcMar>
            <w:vAlign w:val="center"/>
            <w:shd w:fill="C18B2F"/>
          </w:tcPr>
          <w:p>
            <w:pPr>
              <w:spacing w:after="0"/>
              <w:jc w:val="center"/>
            </w:pPr>
            <w:r/>
            <w:r>
              <w:rPr>
                <w:rFonts w:ascii="Aptos" w:hAnsi="Aptos"/>
                <w:b/>
                <w:color w:val="FFFFFF"/>
                <w:sz w:val="15"/>
              </w:rPr>
              <w:t>Expected output</w:t>
            </w:r>
          </w:p>
        </w:tc>
        <w:tc>
          <w:tcPr>
            <w:tcW w:type="dxa" w:w="2721"/>
            <w:tcMar>
              <w:top w:w="100" w:type="dxa"/>
              <w:start w:w="130" w:type="dxa"/>
              <w:bottom w:w="100" w:type="dxa"/>
              <w:end w:w="130" w:type="dxa"/>
            </w:tcMar>
            <w:vAlign w:val="center"/>
            <w:shd w:fill="C18B2F"/>
          </w:tcPr>
          <w:p>
            <w:pPr>
              <w:spacing w:after="0"/>
              <w:jc w:val="center"/>
            </w:pPr>
            <w:r/>
            <w:r>
              <w:rPr>
                <w:rFonts w:ascii="Aptos" w:hAnsi="Aptos"/>
                <w:b/>
                <w:color w:val="FFFFFF"/>
                <w:sz w:val="15"/>
              </w:rPr>
              <w:t>Human checkpoint</w:t>
            </w:r>
          </w:p>
        </w:tc>
      </w:tr>
      <w:tr>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5"/>
              </w:rPr>
              <w:t>Explainable-AI vendor evaluation</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5"/>
              </w:rPr>
              <w:t>ChatGPT Prompt 8 plus vendor product and validation materials • Prompt 8</w:t>
            </w:r>
          </w:p>
        </w:tc>
        <w:tc>
          <w:tcPr>
            <w:tcW w:type="dxa" w:w="2438"/>
            <w:tcMar>
              <w:top w:w="100" w:type="dxa"/>
              <w:start w:w="130" w:type="dxa"/>
              <w:bottom w:w="100" w:type="dxa"/>
              <w:end w:w="130" w:type="dxa"/>
            </w:tcMar>
            <w:vAlign w:val="center"/>
            <w:shd w:fill="F7F4EE"/>
          </w:tcPr>
          <w:p>
            <w:pPr>
              <w:spacing w:after="0"/>
            </w:pPr>
            <w:r/>
            <w:r>
              <w:rPr>
                <w:rFonts w:ascii="Aptos" w:hAnsi="Aptos"/>
                <w:b w:val="0"/>
                <w:color w:val="18313F"/>
                <w:sz w:val="15"/>
              </w:rPr>
              <w:t>Auditable vendor-question list and pilot/no-pilot rationale.</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5"/>
              </w:rPr>
              <w:t>Clinical, regulatory, privacy, security and procurement reviewers verify original evidence and current status.</w:t>
            </w:r>
          </w:p>
        </w:tc>
      </w:tr>
    </w:tbl>
    <w:p>
      <w:pPr>
        <w:spacing w:after="0"/>
      </w:pPr>
    </w:p>
    <w:p>
      <w:pPr>
        <w:pStyle w:val="ListBullet"/>
        <w:spacing w:after="60"/>
        <w:ind w:left="312" w:hanging="142"/>
      </w:pPr>
      <w:r>
        <w:t>Extract intended use, user, population and setting.</w:t>
      </w:r>
    </w:p>
    <w:p>
      <w:pPr>
        <w:pStyle w:val="ListBullet"/>
        <w:spacing w:after="60"/>
        <w:ind w:left="312" w:hanging="142"/>
      </w:pPr>
      <w:r>
        <w:t>Map validation, comparator, false positives/negatives and subgroups.</w:t>
      </w:r>
    </w:p>
    <w:p>
      <w:pPr>
        <w:pStyle w:val="ListBullet"/>
        <w:spacing w:after="60"/>
        <w:ind w:left="312" w:hanging="142"/>
      </w:pPr>
      <w:r>
        <w:t>Describe the explanation method and its claimed clinical meaning.</w:t>
      </w:r>
    </w:p>
    <w:p>
      <w:pPr>
        <w:pStyle w:val="ListBullet"/>
        <w:spacing w:after="60"/>
        <w:ind w:left="312" w:hanging="142"/>
      </w:pPr>
      <w:r>
        <w:t>Identify evidence gaps, India applicability and data controls.</w:t>
      </w:r>
    </w:p>
    <w:p>
      <w:pPr>
        <w:pStyle w:val="ListBullet"/>
        <w:spacing w:after="60"/>
        <w:ind w:left="312" w:hanging="142"/>
      </w:pPr>
      <w:r>
        <w:t>State reasons to pilot and reasons not to pilot.</w:t>
      </w: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TRANSFER ASSIGNMENT</w:t>
            </w:r>
          </w:p>
          <w:p>
            <w:pPr>
              <w:spacing w:after="0"/>
            </w:pPr>
            <w:r>
              <w:rPr>
                <w:rFonts w:ascii="Aptos" w:hAnsi="Aptos"/>
                <w:color w:val="18313F"/>
                <w:sz w:val="19"/>
              </w:rPr>
              <w:t>Review one medical-AI product page and mark each statement as evidence, marketing claim, unknown or decision requirement.</w:t>
            </w:r>
          </w:p>
        </w:tc>
      </w:tr>
    </w:tbl>
    <w:p>
      <w:pPr>
        <w:spacing w:after="0"/>
      </w:pPr>
    </w:p>
    <w:p>
      <w:r>
        <w:rPr>
          <w:b/>
          <w:color w:val="0B6E69"/>
        </w:rPr>
        <w:t>Participant decision and evidence: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p>
      <w:pPr>
        <w:pStyle w:val="Heading1"/>
      </w:pPr>
      <w:r>
        <w:t>Part II — 90-minute demonstration workshop</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WORKSHOP PROMISE</w:t>
            </w:r>
          </w:p>
          <w:p>
            <w:pPr>
              <w:spacing w:after="0"/>
            </w:pPr>
            <w:r>
              <w:rPr>
                <w:rFonts w:ascii="Aptos" w:hAnsi="Aptos"/>
                <w:color w:val="18313F"/>
                <w:sz w:val="19"/>
              </w:rPr>
              <w:t>Every specialised-tool demonstration is paired with a ChatGPT exercise. The learning objective survives a paid account, regional restriction or network failure because the same synthetic case, comparison and human checkpoint remain.</w:t>
            </w:r>
          </w:p>
        </w:tc>
      </w:tr>
    </w:tbl>
    <w:p>
      <w:pPr>
        <w:spacing w:after="0"/>
      </w:pP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tcMar>
              <w:top w:w="100" w:type="dxa"/>
              <w:start w:w="130" w:type="dxa"/>
              <w:bottom w:w="100" w:type="dxa"/>
              <w:end w:w="130" w:type="dxa"/>
            </w:tcMar>
            <w:vAlign w:val="center"/>
            <w:shd w:fill="0B6E69"/>
          </w:tcPr>
          <w:p>
            <w:pPr>
              <w:spacing w:after="0"/>
              <w:jc w:val="center"/>
            </w:pPr>
            <w:r/>
            <w:r>
              <w:rPr>
                <w:rFonts w:ascii="Aptos" w:hAnsi="Aptos"/>
                <w:b/>
                <w:color w:val="FFFFFF"/>
                <w:sz w:val="16"/>
              </w:rPr>
              <w:t>Clock</w:t>
            </w:r>
          </w:p>
        </w:tc>
        <w:tc>
          <w:tcPr>
            <w:tcW w:type="dxa" w:w="6690"/>
            <w:tcMar>
              <w:top w:w="100" w:type="dxa"/>
              <w:start w:w="130" w:type="dxa"/>
              <w:bottom w:w="100" w:type="dxa"/>
              <w:end w:w="130" w:type="dxa"/>
            </w:tcMar>
            <w:vAlign w:val="center"/>
            <w:shd w:fill="0B6E69"/>
          </w:tcPr>
          <w:p>
            <w:pPr>
              <w:spacing w:after="0"/>
              <w:jc w:val="center"/>
            </w:pPr>
            <w:r/>
            <w:r>
              <w:rPr>
                <w:rFonts w:ascii="Aptos" w:hAnsi="Aptos"/>
                <w:b/>
                <w:color w:val="FFFFFF"/>
                <w:sz w:val="16"/>
              </w:rPr>
              <w:t>Activity</w:t>
            </w:r>
          </w:p>
        </w:tc>
        <w:tc>
          <w:tcPr>
            <w:tcW w:type="dxa" w:w="1474"/>
            <w:tcMar>
              <w:top w:w="100" w:type="dxa"/>
              <w:start w:w="130" w:type="dxa"/>
              <w:bottom w:w="100" w:type="dxa"/>
              <w:end w:w="130" w:type="dxa"/>
            </w:tcMar>
            <w:vAlign w:val="center"/>
            <w:shd w:fill="0B6E69"/>
          </w:tcPr>
          <w:p>
            <w:pPr>
              <w:spacing w:after="0"/>
              <w:jc w:val="center"/>
            </w:pPr>
            <w:r/>
            <w:r>
              <w:rPr>
                <w:rFonts w:ascii="Aptos" w:hAnsi="Aptos"/>
                <w:b/>
                <w:color w:val="FFFFFF"/>
                <w:sz w:val="16"/>
              </w:rPr>
              <w:t>Minutes</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6"/>
              </w:rPr>
              <w:t>00–08</w:t>
            </w:r>
          </w:p>
        </w:tc>
        <w:tc>
          <w:tcPr>
            <w:tcW w:type="dxa" w:w="6690"/>
            <w:tcMar>
              <w:top w:w="100" w:type="dxa"/>
              <w:start w:w="130" w:type="dxa"/>
              <w:bottom w:w="100" w:type="dxa"/>
              <w:end w:w="130" w:type="dxa"/>
            </w:tcMar>
            <w:vAlign w:val="center"/>
            <w:shd w:fill="F7F4EE"/>
          </w:tcPr>
          <w:p>
            <w:pPr>
              <w:spacing w:after="0"/>
            </w:pPr>
            <w:r/>
            <w:r>
              <w:rPr>
                <w:rFonts w:ascii="Aptos" w:hAnsi="Aptos"/>
                <w:b w:val="0"/>
                <w:color w:val="18313F"/>
                <w:sz w:val="16"/>
              </w:rPr>
              <w:t>Launch, access map and universal wrapper</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6"/>
              </w:rPr>
              <w:t>8</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6"/>
              </w:rPr>
              <w:t>08–26</w:t>
            </w:r>
          </w:p>
        </w:tc>
        <w:tc>
          <w:tcPr>
            <w:tcW w:type="dxa" w:w="6690"/>
            <w:tcMar>
              <w:top w:w="100" w:type="dxa"/>
              <w:start w:w="130" w:type="dxa"/>
              <w:bottom w:w="100" w:type="dxa"/>
              <w:end w:w="130" w:type="dxa"/>
            </w:tcMar>
            <w:vAlign w:val="center"/>
            <w:shd w:fill="FFFFFF"/>
          </w:tcPr>
          <w:p>
            <w:pPr>
              <w:spacing w:after="0"/>
            </w:pPr>
            <w:r/>
            <w:r>
              <w:rPr>
                <w:rFonts w:ascii="Aptos" w:hAnsi="Aptos"/>
                <w:b w:val="0"/>
                <w:color w:val="18313F"/>
                <w:sz w:val="16"/>
              </w:rPr>
              <w:t>Station 1 — Consultation continuity</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6"/>
              </w:rPr>
              <w:t>18</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6"/>
              </w:rPr>
              <w:t>26–49</w:t>
            </w:r>
          </w:p>
        </w:tc>
        <w:tc>
          <w:tcPr>
            <w:tcW w:type="dxa" w:w="6690"/>
            <w:tcMar>
              <w:top w:w="100" w:type="dxa"/>
              <w:start w:w="130" w:type="dxa"/>
              <w:bottom w:w="100" w:type="dxa"/>
              <w:end w:w="130" w:type="dxa"/>
            </w:tcMar>
            <w:vAlign w:val="center"/>
            <w:shd w:fill="F7F4EE"/>
          </w:tcPr>
          <w:p>
            <w:pPr>
              <w:spacing w:after="0"/>
            </w:pPr>
            <w:r/>
            <w:r>
              <w:rPr>
                <w:rFonts w:ascii="Aptos" w:hAnsi="Aptos"/>
                <w:b w:val="0"/>
                <w:color w:val="18313F"/>
                <w:sz w:val="16"/>
              </w:rPr>
              <w:t>Station 2 — Diagnostic support + medicines</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6"/>
              </w:rPr>
              <w:t>23</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6"/>
              </w:rPr>
              <w:t>49–68</w:t>
            </w:r>
          </w:p>
        </w:tc>
        <w:tc>
          <w:tcPr>
            <w:tcW w:type="dxa" w:w="6690"/>
            <w:tcMar>
              <w:top w:w="100" w:type="dxa"/>
              <w:start w:w="130" w:type="dxa"/>
              <w:bottom w:w="100" w:type="dxa"/>
              <w:end w:w="130" w:type="dxa"/>
            </w:tcMar>
            <w:vAlign w:val="center"/>
            <w:shd w:fill="FFFFFF"/>
          </w:tcPr>
          <w:p>
            <w:pPr>
              <w:spacing w:after="0"/>
            </w:pPr>
            <w:r/>
            <w:r>
              <w:rPr>
                <w:rFonts w:ascii="Aptos" w:hAnsi="Aptos"/>
                <w:b w:val="0"/>
                <w:color w:val="18313F"/>
                <w:sz w:val="16"/>
              </w:rPr>
              <w:t>Station 3 — Patient + pharma communication</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6"/>
              </w:rPr>
              <w:t>19</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6"/>
              </w:rPr>
              <w:t>68–83</w:t>
            </w:r>
          </w:p>
        </w:tc>
        <w:tc>
          <w:tcPr>
            <w:tcW w:type="dxa" w:w="6690"/>
            <w:tcMar>
              <w:top w:w="100" w:type="dxa"/>
              <w:start w:w="130" w:type="dxa"/>
              <w:bottom w:w="100" w:type="dxa"/>
              <w:end w:w="130" w:type="dxa"/>
            </w:tcMar>
            <w:vAlign w:val="center"/>
            <w:shd w:fill="F7F4EE"/>
          </w:tcPr>
          <w:p>
            <w:pPr>
              <w:spacing w:after="0"/>
            </w:pPr>
            <w:r/>
            <w:r>
              <w:rPr>
                <w:rFonts w:ascii="Aptos" w:hAnsi="Aptos"/>
                <w:b w:val="0"/>
                <w:color w:val="18313F"/>
                <w:sz w:val="16"/>
              </w:rPr>
              <w:t>Station 4 — Research + teaching</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6"/>
              </w:rPr>
              <w:t>15</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6"/>
              </w:rPr>
              <w:t>83–90</w:t>
            </w:r>
          </w:p>
        </w:tc>
        <w:tc>
          <w:tcPr>
            <w:tcW w:type="dxa" w:w="6690"/>
            <w:tcMar>
              <w:top w:w="100" w:type="dxa"/>
              <w:start w:w="130" w:type="dxa"/>
              <w:bottom w:w="100" w:type="dxa"/>
              <w:end w:w="130" w:type="dxa"/>
            </w:tcMar>
            <w:vAlign w:val="center"/>
            <w:shd w:fill="FFFFFF"/>
          </w:tcPr>
          <w:p>
            <w:pPr>
              <w:spacing w:after="0"/>
            </w:pPr>
            <w:r/>
            <w:r>
              <w:rPr>
                <w:rFonts w:ascii="Aptos" w:hAnsi="Aptos"/>
                <w:b w:val="0"/>
                <w:color w:val="18313F"/>
                <w:sz w:val="16"/>
              </w:rPr>
              <w:t>POPLE scorecard, 30-day capstone and close</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6"/>
              </w:rPr>
              <w:t>7</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6"/>
              </w:rPr>
              <w:t>TOTAL</w:t>
            </w:r>
          </w:p>
        </w:tc>
        <w:tc>
          <w:tcPr>
            <w:tcW w:type="dxa" w:w="6690"/>
            <w:tcMar>
              <w:top w:w="100" w:type="dxa"/>
              <w:start w:w="130" w:type="dxa"/>
              <w:bottom w:w="100" w:type="dxa"/>
              <w:end w:w="130" w:type="dxa"/>
            </w:tcMar>
            <w:vAlign w:val="center"/>
            <w:shd w:fill="F7F4EE"/>
          </w:tcPr>
          <w:p>
            <w:pPr>
              <w:spacing w:after="0"/>
            </w:pPr>
            <w:r/>
            <w:r>
              <w:rPr>
                <w:rFonts w:ascii="Aptos" w:hAnsi="Aptos"/>
                <w:b w:val="0"/>
                <w:color w:val="18313F"/>
                <w:sz w:val="16"/>
              </w:rPr>
              <w:t>Hands-on laboratory</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6"/>
              </w:rPr>
              <w:t>90</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0B6E69"/>
          </w:tcPr>
          <w:p>
            <w:pPr>
              <w:spacing w:after="0"/>
              <w:jc w:val="center"/>
            </w:pPr>
            <w:r/>
            <w:r>
              <w:rPr>
                <w:rFonts w:ascii="Aptos" w:hAnsi="Aptos"/>
                <w:b/>
                <w:color w:val="FFFFFF"/>
                <w:sz w:val="18"/>
              </w:rPr>
              <w:t>STATION 1</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Consultation continuity — 18 minutes</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572"/>
            <w:tcMar>
              <w:top w:w="100" w:type="dxa"/>
              <w:start w:w="130" w:type="dxa"/>
              <w:bottom w:w="100" w:type="dxa"/>
              <w:end w:w="130" w:type="dxa"/>
            </w:tcMar>
            <w:vAlign w:val="center"/>
            <w:shd w:fill="0B2438"/>
          </w:tcPr>
          <w:p>
            <w:pPr>
              <w:spacing w:after="0"/>
              <w:jc w:val="center"/>
            </w:pPr>
            <w:r/>
            <w:r>
              <w:rPr>
                <w:rFonts w:ascii="Aptos" w:hAnsi="Aptos"/>
                <w:b/>
                <w:color w:val="FFFFFF"/>
                <w:sz w:val="16"/>
              </w:rPr>
              <w:t>Specialised tools</w:t>
            </w:r>
          </w:p>
        </w:tc>
        <w:tc>
          <w:tcPr>
            <w:tcW w:type="dxa" w:w="1701"/>
            <w:tcMar>
              <w:top w:w="100" w:type="dxa"/>
              <w:start w:w="130" w:type="dxa"/>
              <w:bottom w:w="100" w:type="dxa"/>
              <w:end w:w="130" w:type="dxa"/>
            </w:tcMar>
            <w:vAlign w:val="center"/>
            <w:shd w:fill="0B2438"/>
          </w:tcPr>
          <w:p>
            <w:pPr>
              <w:spacing w:after="0"/>
              <w:jc w:val="center"/>
            </w:pPr>
            <w:r/>
            <w:r>
              <w:rPr>
                <w:rFonts w:ascii="Aptos" w:hAnsi="Aptos"/>
                <w:b/>
                <w:color w:val="FFFFFF"/>
                <w:sz w:val="16"/>
              </w:rPr>
              <w:t>ChatGPT prompts</w:t>
            </w:r>
          </w:p>
        </w:tc>
        <w:tc>
          <w:tcPr>
            <w:tcW w:type="dxa" w:w="4252"/>
            <w:tcMar>
              <w:top w:w="100" w:type="dxa"/>
              <w:start w:w="130" w:type="dxa"/>
              <w:bottom w:w="100" w:type="dxa"/>
              <w:end w:w="130" w:type="dxa"/>
            </w:tcMar>
            <w:vAlign w:val="center"/>
            <w:shd w:fill="0B2438"/>
          </w:tcPr>
          <w:p>
            <w:pPr>
              <w:spacing w:after="0"/>
              <w:jc w:val="center"/>
            </w:pPr>
            <w:r/>
            <w:r>
              <w:rPr>
                <w:rFonts w:ascii="Aptos" w:hAnsi="Aptos"/>
                <w:b/>
                <w:color w:val="FFFFFF"/>
                <w:sz w:val="16"/>
              </w:rPr>
              <w:t>Participant output</w:t>
            </w:r>
          </w:p>
        </w:tc>
      </w:tr>
      <w:tr>
        <w:tc>
          <w:tcPr>
            <w:tcW w:type="dxa" w:w="3572"/>
            <w:tcMar>
              <w:top w:w="100" w:type="dxa"/>
              <w:start w:w="130" w:type="dxa"/>
              <w:bottom w:w="100" w:type="dxa"/>
              <w:end w:w="130" w:type="dxa"/>
            </w:tcMar>
            <w:vAlign w:val="center"/>
            <w:shd w:fill="F7F4EE"/>
          </w:tcPr>
          <w:p>
            <w:pPr>
              <w:spacing w:after="0"/>
            </w:pPr>
            <w:r/>
            <w:r>
              <w:rPr>
                <w:rFonts w:ascii="Aptos" w:hAnsi="Aptos"/>
                <w:b w:val="0"/>
                <w:color w:val="18313F"/>
                <w:sz w:val="16"/>
              </w:rPr>
              <w:t>Heidi Health • Nabla • Abridge • ChatGPT</w:t>
            </w:r>
          </w:p>
        </w:tc>
        <w:tc>
          <w:tcPr>
            <w:tcW w:type="dxa" w:w="1701"/>
            <w:tcMar>
              <w:top w:w="100" w:type="dxa"/>
              <w:start w:w="130" w:type="dxa"/>
              <w:bottom w:w="100" w:type="dxa"/>
              <w:end w:w="130" w:type="dxa"/>
            </w:tcMar>
            <w:vAlign w:val="center"/>
            <w:shd w:fill="F7F4EE"/>
          </w:tcPr>
          <w:p>
            <w:pPr>
              <w:spacing w:after="0"/>
            </w:pPr>
            <w:r/>
            <w:r>
              <w:rPr>
                <w:rFonts w:ascii="Aptos" w:hAnsi="Aptos"/>
                <w:b w:val="0"/>
                <w:color w:val="18313F"/>
                <w:sz w:val="16"/>
              </w:rPr>
              <w:t>P1, P6</w:t>
            </w:r>
          </w:p>
        </w:tc>
        <w:tc>
          <w:tcPr>
            <w:tcW w:type="dxa" w:w="4252"/>
            <w:tcMar>
              <w:top w:w="100" w:type="dxa"/>
              <w:start w:w="130" w:type="dxa"/>
              <w:bottom w:w="100" w:type="dxa"/>
              <w:end w:w="130" w:type="dxa"/>
            </w:tcMar>
            <w:vAlign w:val="center"/>
            <w:shd w:fill="F7F4EE"/>
          </w:tcPr>
          <w:p>
            <w:pPr>
              <w:spacing w:after="0"/>
            </w:pPr>
            <w:r/>
            <w:r>
              <w:rPr>
                <w:rFonts w:ascii="Aptos" w:hAnsi="Aptos"/>
                <w:b w:val="0"/>
                <w:color w:val="18313F"/>
                <w:sz w:val="16"/>
              </w:rPr>
              <w:t>Reviewed draft encounter summary, patient explanation, teach-back questions and controlled ambient-scribe pilot plan.</w:t>
            </w:r>
          </w:p>
        </w:tc>
      </w:tr>
    </w:tbl>
    <w:p>
      <w:pPr>
        <w:spacing w:after="0"/>
      </w:pPr>
    </w:p>
    <w:tbl>
      <w:tblPr>
        <w:tblW w:type="auto" w:w="0"/>
        <w:jc w:val="center"/>
        <w:tblLook w:firstColumn="1" w:firstRow="1" w:lastColumn="0" w:lastRow="0" w:noHBand="0" w:noVBand="1" w:val="04A0"/>
      </w:tblPr>
      <w:tblGrid>
        <w:gridCol w:w="9922"/>
      </w:tblGrid>
      <w:tr>
        <w:tc>
          <w:tcPr>
            <w:tcW w:type="dxa" w:w="9922"/>
            <w:shd w:fill="DFECF5"/>
            <w:tcMar>
              <w:top w:w="180" w:type="dxa"/>
              <w:start w:w="210" w:type="dxa"/>
              <w:bottom w:w="180" w:type="dxa"/>
              <w:end w:w="210" w:type="dxa"/>
            </w:tcMar>
          </w:tcPr>
          <w:p>
            <w:pPr>
              <w:spacing w:after="80"/>
            </w:pPr>
            <w:r>
              <w:rPr>
                <w:rFonts w:ascii="Aptos" w:hAnsi="Aptos"/>
                <w:b/>
                <w:color w:val="356F99"/>
                <w:sz w:val="16"/>
              </w:rPr>
              <w:t>SYNTHETIC / APPROVED INPUT</w:t>
            </w:r>
          </w:p>
          <w:p>
            <w:pPr>
              <w:spacing w:after="0"/>
            </w:pPr>
            <w:r>
              <w:rPr>
                <w:rFonts w:ascii="Aptos" w:hAnsi="Aptos"/>
                <w:color w:val="18313F"/>
                <w:sz w:val="19"/>
              </w:rPr>
              <w:t>Mrs A, 52: type 2 diabetes and hypertension; missed medicines twice this week; low health literacy; prefers Hindi; tingling feet; believes insulin means failure. No acute red flags are supplied.</w:t>
            </w:r>
          </w:p>
        </w:tc>
      </w:tr>
    </w:tbl>
    <w:p>
      <w:pPr>
        <w:spacing w:after="0"/>
      </w:pPr>
    </w:p>
    <w:p>
      <w:pPr>
        <w:pStyle w:val="Heading2"/>
      </w:pPr>
      <w:r>
        <w:t>Team roles</w:t>
      </w:r>
    </w:p>
    <w:p>
      <w:pPr>
        <w:pStyle w:val="ListBullet"/>
        <w:spacing w:after="60"/>
        <w:ind w:left="312" w:hanging="142"/>
      </w:pPr>
      <w:r>
        <w:t>Facilitator/tool operator</w:t>
      </w:r>
    </w:p>
    <w:p>
      <w:pPr>
        <w:pStyle w:val="ListBullet"/>
        <w:spacing w:after="60"/>
        <w:ind w:left="312" w:hanging="142"/>
      </w:pPr>
      <w:r>
        <w:t>Clinician reviewer</w:t>
      </w:r>
    </w:p>
    <w:p>
      <w:pPr>
        <w:pStyle w:val="ListBullet"/>
        <w:spacing w:after="60"/>
        <w:ind w:left="312" w:hanging="142"/>
      </w:pPr>
      <w:r>
        <w:t>Patient advocate</w:t>
      </w:r>
    </w:p>
    <w:p>
      <w:pPr>
        <w:pStyle w:val="ListBullet"/>
        <w:spacing w:after="60"/>
        <w:ind w:left="312" w:hanging="142"/>
      </w:pPr>
      <w:r>
        <w:t>Evidence/privacy observer</w:t>
      </w:r>
    </w:p>
    <w:p>
      <w:pPr>
        <w:pStyle w:val="ListBullet"/>
        <w:spacing w:after="60"/>
        <w:ind w:left="312" w:hanging="142"/>
      </w:pPr>
      <w:r>
        <w:t>Reporter</w:t>
      </w:r>
    </w:p>
    <w:p>
      <w:pPr>
        <w:pStyle w:val="Heading2"/>
      </w:pPr>
      <w:r>
        <w:t>Facilitator demonstration sequence</w:t>
      </w:r>
    </w:p>
    <w:p>
      <w:r>
        <w:rPr>
          <w:b/>
          <w:color w:val="0B6E69"/>
        </w:rPr>
        <w:t xml:space="preserve">1. </w:t>
      </w:r>
      <w:r>
        <w:t>Label the case synthetic and explain the consent/notice script.</w:t>
      </w:r>
    </w:p>
    <w:p>
      <w:r>
        <w:rPr>
          <w:b/>
          <w:color w:val="0B6E69"/>
        </w:rPr>
        <w:t xml:space="preserve">2. </w:t>
      </w:r>
      <w:r>
        <w:t>Enter the prepared transcript into the approved ambient tool or use saved screenshots.</w:t>
      </w:r>
    </w:p>
    <w:p>
      <w:r>
        <w:rPr>
          <w:b/>
          <w:color w:val="0B6E69"/>
        </w:rPr>
        <w:t xml:space="preserve">3. </w:t>
      </w:r>
      <w:r>
        <w:t>Generate the draft note and patient summary.</w:t>
      </w:r>
    </w:p>
    <w:p>
      <w:r>
        <w:rPr>
          <w:b/>
          <w:color w:val="0B6E69"/>
        </w:rPr>
        <w:t xml:space="preserve">4. </w:t>
      </w:r>
      <w:r>
        <w:t>Run ChatGPT Prompt 1 with the same input.</w:t>
      </w:r>
    </w:p>
    <w:p>
      <w:r>
        <w:rPr>
          <w:b/>
          <w:color w:val="0B6E69"/>
        </w:rPr>
        <w:t xml:space="preserve">5. </w:t>
      </w:r>
      <w:r>
        <w:t>Compare facts, omissions, inventions, medicine questions and escalation.</w:t>
      </w:r>
    </w:p>
    <w:p>
      <w:r>
        <w:rPr>
          <w:b/>
          <w:color w:val="0B6E69"/>
        </w:rPr>
        <w:t xml:space="preserve">6. </w:t>
      </w:r>
      <w:r>
        <w:t>Edit, approve or reject; then use Prompt 6 for pilot governance.</w:t>
      </w:r>
    </w:p>
    <w:p>
      <w:r>
        <w:br w:type="page"/>
      </w:r>
    </w:p>
    <w:p>
      <w:pPr>
        <w:pStyle w:val="Heading1"/>
      </w:pPr>
      <w:r>
        <w:t>Station 1 verification and debrief</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Human checkpoint</w:t>
            </w:r>
          </w:p>
        </w:tc>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Stop rule</w:t>
            </w:r>
          </w:p>
        </w:tc>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Fallback</w:t>
            </w:r>
          </w:p>
        </w:tc>
      </w:tr>
      <w:tr>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No content enters a record or reaches a patient until a clinician/designated reviewer corrects and signs it.</w:t>
            </w:r>
          </w:p>
        </w:tc>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Stop if an invented diagnosis, medicine, dose, allergy or red-flag disposition passes review unnoticed.</w:t>
            </w:r>
          </w:p>
        </w:tc>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Use prepared Heidi/Nabla/Abridge screenshots or saved output, then run Prompt 1 and preserve the same comparison and debrief.</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What attention did the tool return—and what new verification work did it create?</w:t>
            </w:r>
          </w:p>
        </w:tc>
      </w:tr>
    </w:tbl>
    <w:p>
      <w:pPr>
        <w:spacing w:after="0"/>
      </w:pP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268"/>
            <w:tcMar>
              <w:top w:w="100" w:type="dxa"/>
              <w:start w:w="130" w:type="dxa"/>
              <w:bottom w:w="100" w:type="dxa"/>
              <w:end w:w="130" w:type="dxa"/>
            </w:tcMar>
            <w:vAlign w:val="center"/>
            <w:shd w:fill="356F99"/>
          </w:tcPr>
          <w:p>
            <w:pPr>
              <w:spacing w:after="0"/>
              <w:jc w:val="center"/>
            </w:pPr>
            <w:r/>
            <w:r>
              <w:rPr>
                <w:rFonts w:ascii="Aptos" w:hAnsi="Aptos"/>
                <w:b/>
                <w:color w:val="FFFFFF"/>
                <w:sz w:val="16"/>
              </w:rPr>
              <w:t>Comparison</w:t>
            </w:r>
          </w:p>
        </w:tc>
        <w:tc>
          <w:tcPr>
            <w:tcW w:type="dxa" w:w="2381"/>
            <w:tcMar>
              <w:top w:w="100" w:type="dxa"/>
              <w:start w:w="130" w:type="dxa"/>
              <w:bottom w:w="100" w:type="dxa"/>
              <w:end w:w="130" w:type="dxa"/>
            </w:tcMar>
            <w:vAlign w:val="center"/>
            <w:shd w:fill="356F99"/>
          </w:tcPr>
          <w:p>
            <w:pPr>
              <w:spacing w:after="0"/>
              <w:jc w:val="center"/>
            </w:pPr>
            <w:r/>
            <w:r>
              <w:rPr>
                <w:rFonts w:ascii="Aptos" w:hAnsi="Aptos"/>
                <w:b/>
                <w:color w:val="FFFFFF"/>
                <w:sz w:val="16"/>
              </w:rPr>
              <w:t>Specialised tool</w:t>
            </w:r>
          </w:p>
        </w:tc>
        <w:tc>
          <w:tcPr>
            <w:tcW w:type="dxa" w:w="2381"/>
            <w:tcMar>
              <w:top w:w="100" w:type="dxa"/>
              <w:start w:w="130" w:type="dxa"/>
              <w:bottom w:w="100" w:type="dxa"/>
              <w:end w:w="130" w:type="dxa"/>
            </w:tcMar>
            <w:vAlign w:val="center"/>
            <w:shd w:fill="356F99"/>
          </w:tcPr>
          <w:p>
            <w:pPr>
              <w:spacing w:after="0"/>
              <w:jc w:val="center"/>
            </w:pPr>
            <w:r/>
            <w:r>
              <w:rPr>
                <w:rFonts w:ascii="Aptos" w:hAnsi="Aptos"/>
                <w:b/>
                <w:color w:val="FFFFFF"/>
                <w:sz w:val="16"/>
              </w:rPr>
              <w:t>ChatGPT</w:t>
            </w:r>
          </w:p>
        </w:tc>
        <w:tc>
          <w:tcPr>
            <w:tcW w:type="dxa" w:w="2494"/>
            <w:tcMar>
              <w:top w:w="100" w:type="dxa"/>
              <w:start w:w="130" w:type="dxa"/>
              <w:bottom w:w="100" w:type="dxa"/>
              <w:end w:w="130" w:type="dxa"/>
            </w:tcMar>
            <w:vAlign w:val="center"/>
            <w:shd w:fill="356F99"/>
          </w:tcPr>
          <w:p>
            <w:pPr>
              <w:spacing w:after="0"/>
              <w:jc w:val="center"/>
            </w:pPr>
            <w:r/>
            <w:r>
              <w:rPr>
                <w:rFonts w:ascii="Aptos" w:hAnsi="Aptos"/>
                <w:b/>
                <w:color w:val="FFFFFF"/>
                <w:sz w:val="16"/>
              </w:rPr>
              <w:t>Final human decision</w:t>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Facts / inventions</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Urgency / escalation</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Evidence / traceability</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Privacy / consent</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Patient value</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Workload / feasibility</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bl>
    <w:p>
      <w:pPr>
        <w:spacing w:after="0"/>
      </w:pPr>
    </w:p>
    <w:p>
      <w:r>
        <w:rPr>
          <w:b/>
          <w:color w:val="0B6E69"/>
        </w:rPr>
        <w:t>Approved participant output:</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0B6E69"/>
          </w:tcPr>
          <w:p>
            <w:pPr>
              <w:spacing w:after="0"/>
              <w:jc w:val="center"/>
            </w:pPr>
            <w:r/>
            <w:r>
              <w:rPr>
                <w:rFonts w:ascii="Aptos" w:hAnsi="Aptos"/>
                <w:b/>
                <w:color w:val="FFFFFF"/>
                <w:sz w:val="18"/>
              </w:rPr>
              <w:t>STATION 2</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Diagnostic support + medication safety — 23 minutes</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572"/>
            <w:tcMar>
              <w:top w:w="100" w:type="dxa"/>
              <w:start w:w="130" w:type="dxa"/>
              <w:bottom w:w="100" w:type="dxa"/>
              <w:end w:w="130" w:type="dxa"/>
            </w:tcMar>
            <w:vAlign w:val="center"/>
            <w:shd w:fill="0B2438"/>
          </w:tcPr>
          <w:p>
            <w:pPr>
              <w:spacing w:after="0"/>
              <w:jc w:val="center"/>
            </w:pPr>
            <w:r/>
            <w:r>
              <w:rPr>
                <w:rFonts w:ascii="Aptos" w:hAnsi="Aptos"/>
                <w:b/>
                <w:color w:val="FFFFFF"/>
                <w:sz w:val="16"/>
              </w:rPr>
              <w:t>Specialised tools</w:t>
            </w:r>
          </w:p>
        </w:tc>
        <w:tc>
          <w:tcPr>
            <w:tcW w:type="dxa" w:w="1701"/>
            <w:tcMar>
              <w:top w:w="100" w:type="dxa"/>
              <w:start w:w="130" w:type="dxa"/>
              <w:bottom w:w="100" w:type="dxa"/>
              <w:end w:w="130" w:type="dxa"/>
            </w:tcMar>
            <w:vAlign w:val="center"/>
            <w:shd w:fill="0B2438"/>
          </w:tcPr>
          <w:p>
            <w:pPr>
              <w:spacing w:after="0"/>
              <w:jc w:val="center"/>
            </w:pPr>
            <w:r/>
            <w:r>
              <w:rPr>
                <w:rFonts w:ascii="Aptos" w:hAnsi="Aptos"/>
                <w:b/>
                <w:color w:val="FFFFFF"/>
                <w:sz w:val="16"/>
              </w:rPr>
              <w:t>ChatGPT prompts</w:t>
            </w:r>
          </w:p>
        </w:tc>
        <w:tc>
          <w:tcPr>
            <w:tcW w:type="dxa" w:w="4252"/>
            <w:tcMar>
              <w:top w:w="100" w:type="dxa"/>
              <w:start w:w="130" w:type="dxa"/>
              <w:bottom w:w="100" w:type="dxa"/>
              <w:end w:w="130" w:type="dxa"/>
            </w:tcMar>
            <w:vAlign w:val="center"/>
            <w:shd w:fill="0B2438"/>
          </w:tcPr>
          <w:p>
            <w:pPr>
              <w:spacing w:after="0"/>
              <w:jc w:val="center"/>
            </w:pPr>
            <w:r/>
            <w:r>
              <w:rPr>
                <w:rFonts w:ascii="Aptos" w:hAnsi="Aptos"/>
                <w:b/>
                <w:color w:val="FFFFFF"/>
                <w:sz w:val="16"/>
              </w:rPr>
              <w:t>Participant output</w:t>
            </w:r>
          </w:p>
        </w:tc>
      </w:tr>
      <w:tr>
        <w:tc>
          <w:tcPr>
            <w:tcW w:type="dxa" w:w="3572"/>
            <w:tcMar>
              <w:top w:w="100" w:type="dxa"/>
              <w:start w:w="130" w:type="dxa"/>
              <w:bottom w:w="100" w:type="dxa"/>
              <w:end w:w="130" w:type="dxa"/>
            </w:tcMar>
            <w:vAlign w:val="center"/>
            <w:shd w:fill="F7F4EE"/>
          </w:tcPr>
          <w:p>
            <w:pPr>
              <w:spacing w:after="0"/>
            </w:pPr>
            <w:r/>
            <w:r>
              <w:rPr>
                <w:rFonts w:ascii="Aptos" w:hAnsi="Aptos"/>
                <w:b w:val="0"/>
                <w:color w:val="18313F"/>
                <w:sz w:val="16"/>
              </w:rPr>
              <w:t>DxGPT • Medscape AI • ClinicalKey AI • VisualDx • iatroX • MDCalc • Epocrates • ChatGPT</w:t>
            </w:r>
          </w:p>
        </w:tc>
        <w:tc>
          <w:tcPr>
            <w:tcW w:type="dxa" w:w="1701"/>
            <w:tcMar>
              <w:top w:w="100" w:type="dxa"/>
              <w:start w:w="130" w:type="dxa"/>
              <w:bottom w:w="100" w:type="dxa"/>
              <w:end w:w="130" w:type="dxa"/>
            </w:tcMar>
            <w:vAlign w:val="center"/>
            <w:shd w:fill="F7F4EE"/>
          </w:tcPr>
          <w:p>
            <w:pPr>
              <w:spacing w:after="0"/>
            </w:pPr>
            <w:r/>
            <w:r>
              <w:rPr>
                <w:rFonts w:ascii="Aptos" w:hAnsi="Aptos"/>
                <w:b w:val="0"/>
                <w:color w:val="18313F"/>
                <w:sz w:val="16"/>
              </w:rPr>
              <w:t>P2, P3</w:t>
            </w:r>
          </w:p>
        </w:tc>
        <w:tc>
          <w:tcPr>
            <w:tcW w:type="dxa" w:w="4252"/>
            <w:tcMar>
              <w:top w:w="100" w:type="dxa"/>
              <w:start w:w="130" w:type="dxa"/>
              <w:bottom w:w="100" w:type="dxa"/>
              <w:end w:w="130" w:type="dxa"/>
            </w:tcMar>
            <w:vAlign w:val="center"/>
            <w:shd w:fill="F7F4EE"/>
          </w:tcPr>
          <w:p>
            <w:pPr>
              <w:spacing w:after="0"/>
            </w:pPr>
            <w:r/>
            <w:r>
              <w:rPr>
                <w:rFonts w:ascii="Aptos" w:hAnsi="Aptos"/>
                <w:b w:val="0"/>
                <w:color w:val="18313F"/>
                <w:sz w:val="16"/>
              </w:rPr>
              <w:t>Structured uncertainty map, source-verification record and medicine-reconciliation checklist—not a diagnosis or prescription.</w:t>
            </w:r>
          </w:p>
        </w:tc>
      </w:tr>
    </w:tbl>
    <w:p>
      <w:pPr>
        <w:spacing w:after="0"/>
      </w:pPr>
    </w:p>
    <w:tbl>
      <w:tblPr>
        <w:tblW w:type="auto" w:w="0"/>
        <w:jc w:val="center"/>
        <w:tblLook w:firstColumn="1" w:firstRow="1" w:lastColumn="0" w:lastRow="0" w:noHBand="0" w:noVBand="1" w:val="04A0"/>
      </w:tblPr>
      <w:tblGrid>
        <w:gridCol w:w="9922"/>
      </w:tblGrid>
      <w:tr>
        <w:tc>
          <w:tcPr>
            <w:tcW w:type="dxa" w:w="9922"/>
            <w:shd w:fill="DFECF5"/>
            <w:tcMar>
              <w:top w:w="180" w:type="dxa"/>
              <w:start w:w="210" w:type="dxa"/>
              <w:bottom w:w="180" w:type="dxa"/>
              <w:end w:w="210" w:type="dxa"/>
            </w:tcMar>
          </w:tcPr>
          <w:p>
            <w:pPr>
              <w:spacing w:after="80"/>
            </w:pPr>
            <w:r>
              <w:rPr>
                <w:rFonts w:ascii="Aptos" w:hAnsi="Aptos"/>
                <w:b/>
                <w:color w:val="356F99"/>
                <w:sz w:val="16"/>
              </w:rPr>
              <w:t>SYNTHETIC / APPROVED INPUT</w:t>
            </w:r>
          </w:p>
          <w:p>
            <w:pPr>
              <w:spacing w:after="0"/>
            </w:pPr>
            <w:r>
              <w:rPr>
                <w:rFonts w:ascii="Aptos" w:hAnsi="Aptos"/>
                <w:color w:val="18313F"/>
                <w:sz w:val="19"/>
              </w:rPr>
              <w:t>Mr R, 58: progressive breathlessness and ankle swelling; BP 164/96, pulse 104, SpO₂ 93%; diabetes, hypertension and smoking history; raised BNP and basal crepitations; medicine and ECG information incomplete.</w:t>
            </w:r>
          </w:p>
        </w:tc>
      </w:tr>
    </w:tbl>
    <w:p>
      <w:pPr>
        <w:spacing w:after="0"/>
      </w:pPr>
    </w:p>
    <w:p>
      <w:pPr>
        <w:pStyle w:val="Heading2"/>
      </w:pPr>
      <w:r>
        <w:t>Team roles</w:t>
      </w:r>
    </w:p>
    <w:p>
      <w:pPr>
        <w:pStyle w:val="ListBullet"/>
        <w:spacing w:after="60"/>
        <w:ind w:left="312" w:hanging="142"/>
      </w:pPr>
      <w:r>
        <w:t>Facilitator/tool operator</w:t>
      </w:r>
    </w:p>
    <w:p>
      <w:pPr>
        <w:pStyle w:val="ListBullet"/>
        <w:spacing w:after="60"/>
        <w:ind w:left="312" w:hanging="142"/>
      </w:pPr>
      <w:r>
        <w:t>Clinical reasoner</w:t>
      </w:r>
    </w:p>
    <w:p>
      <w:pPr>
        <w:pStyle w:val="ListBullet"/>
        <w:spacing w:after="60"/>
        <w:ind w:left="312" w:hanging="142"/>
      </w:pPr>
      <w:r>
        <w:t>Urgency checker</w:t>
      </w:r>
    </w:p>
    <w:p>
      <w:pPr>
        <w:pStyle w:val="ListBullet"/>
        <w:spacing w:after="60"/>
        <w:ind w:left="312" w:hanging="142"/>
      </w:pPr>
      <w:r>
        <w:t>Evidence checker</w:t>
      </w:r>
    </w:p>
    <w:p>
      <w:pPr>
        <w:pStyle w:val="ListBullet"/>
        <w:spacing w:after="60"/>
        <w:ind w:left="312" w:hanging="142"/>
      </w:pPr>
      <w:r>
        <w:t>Pharmacist/prescriber role</w:t>
      </w:r>
    </w:p>
    <w:p>
      <w:pPr>
        <w:pStyle w:val="Heading2"/>
      </w:pPr>
      <w:r>
        <w:t>Facilitator demonstration sequence</w:t>
      </w:r>
    </w:p>
    <w:p>
      <w:r>
        <w:rPr>
          <w:b/>
          <w:color w:val="0B6E69"/>
        </w:rPr>
        <w:t xml:space="preserve">1. </w:t>
      </w:r>
      <w:r>
        <w:t>Ask which information changes urgency before it changes the differential.</w:t>
      </w:r>
    </w:p>
    <w:p>
      <w:r>
        <w:rPr>
          <w:b/>
          <w:color w:val="0B6E69"/>
        </w:rPr>
        <w:t xml:space="preserve">2. </w:t>
      </w:r>
      <w:r>
        <w:t>Run the problem representation in DxGPT or show prepared specialised-tool output.</w:t>
      </w:r>
    </w:p>
    <w:p>
      <w:r>
        <w:rPr>
          <w:b/>
          <w:color w:val="0B6E69"/>
        </w:rPr>
        <w:t xml:space="preserve">3. </w:t>
      </w:r>
      <w:r>
        <w:t>Run ChatGPT Prompt 2 with exactly the same synthetic facts.</w:t>
      </w:r>
    </w:p>
    <w:p>
      <w:r>
        <w:rPr>
          <w:b/>
          <w:color w:val="0B6E69"/>
        </w:rPr>
        <w:t xml:space="preserve">4. </w:t>
      </w:r>
      <w:r>
        <w:t>Check one claim in Medscape AI/ClinicalKey AI and open the cited source.</w:t>
      </w:r>
    </w:p>
    <w:p>
      <w:r>
        <w:rPr>
          <w:b/>
          <w:color w:val="0B6E69"/>
        </w:rPr>
        <w:t xml:space="preserve">5. </w:t>
      </w:r>
      <w:r>
        <w:t>Demonstrate one bounded MDCalc input or medicine-reference verification.</w:t>
      </w:r>
    </w:p>
    <w:p>
      <w:r>
        <w:rPr>
          <w:b/>
          <w:color w:val="0B6E69"/>
        </w:rPr>
        <w:t xml:space="preserve">6. </w:t>
      </w:r>
      <w:r>
        <w:t>Record agreement, conflict, local-protocol fit and the clinician-owned decision.</w:t>
      </w:r>
    </w:p>
    <w:p>
      <w:r>
        <w:br w:type="page"/>
      </w:r>
    </w:p>
    <w:p>
      <w:pPr>
        <w:pStyle w:val="Heading1"/>
      </w:pPr>
      <w:r>
        <w:t>Station 2 verification and debrief</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Human checkpoint</w:t>
            </w:r>
          </w:p>
        </w:tc>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Stop rule</w:t>
            </w:r>
          </w:p>
        </w:tc>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Fallback</w:t>
            </w:r>
          </w:p>
        </w:tc>
      </w:tr>
      <w:tr>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A licensed clinician owns urgency, diagnosis and disposition; a prescriber/pharmacist verifies medicines and approved sources.</w:t>
            </w:r>
          </w:p>
        </w:tc>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Stop if the workflow delays urgent escalation, invents a finding or turns a hypothesis into a diagnosis.</w:t>
            </w:r>
          </w:p>
        </w:tc>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Use saved specialised outputs and one opened guideline/monograph; participants still run Prompts 2–3 and triangulate.</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Did the tools widen attention or create noise? Which claim remained unverified?</w:t>
            </w:r>
          </w:p>
        </w:tc>
      </w:tr>
    </w:tbl>
    <w:p>
      <w:pPr>
        <w:spacing w:after="0"/>
      </w:pP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268"/>
            <w:tcMar>
              <w:top w:w="100" w:type="dxa"/>
              <w:start w:w="130" w:type="dxa"/>
              <w:bottom w:w="100" w:type="dxa"/>
              <w:end w:w="130" w:type="dxa"/>
            </w:tcMar>
            <w:vAlign w:val="center"/>
            <w:shd w:fill="356F99"/>
          </w:tcPr>
          <w:p>
            <w:pPr>
              <w:spacing w:after="0"/>
              <w:jc w:val="center"/>
            </w:pPr>
            <w:r/>
            <w:r>
              <w:rPr>
                <w:rFonts w:ascii="Aptos" w:hAnsi="Aptos"/>
                <w:b/>
                <w:color w:val="FFFFFF"/>
                <w:sz w:val="16"/>
              </w:rPr>
              <w:t>Comparison</w:t>
            </w:r>
          </w:p>
        </w:tc>
        <w:tc>
          <w:tcPr>
            <w:tcW w:type="dxa" w:w="2381"/>
            <w:tcMar>
              <w:top w:w="100" w:type="dxa"/>
              <w:start w:w="130" w:type="dxa"/>
              <w:bottom w:w="100" w:type="dxa"/>
              <w:end w:w="130" w:type="dxa"/>
            </w:tcMar>
            <w:vAlign w:val="center"/>
            <w:shd w:fill="356F99"/>
          </w:tcPr>
          <w:p>
            <w:pPr>
              <w:spacing w:after="0"/>
              <w:jc w:val="center"/>
            </w:pPr>
            <w:r/>
            <w:r>
              <w:rPr>
                <w:rFonts w:ascii="Aptos" w:hAnsi="Aptos"/>
                <w:b/>
                <w:color w:val="FFFFFF"/>
                <w:sz w:val="16"/>
              </w:rPr>
              <w:t>Specialised tool</w:t>
            </w:r>
          </w:p>
        </w:tc>
        <w:tc>
          <w:tcPr>
            <w:tcW w:type="dxa" w:w="2381"/>
            <w:tcMar>
              <w:top w:w="100" w:type="dxa"/>
              <w:start w:w="130" w:type="dxa"/>
              <w:bottom w:w="100" w:type="dxa"/>
              <w:end w:w="130" w:type="dxa"/>
            </w:tcMar>
            <w:vAlign w:val="center"/>
            <w:shd w:fill="356F99"/>
          </w:tcPr>
          <w:p>
            <w:pPr>
              <w:spacing w:after="0"/>
              <w:jc w:val="center"/>
            </w:pPr>
            <w:r/>
            <w:r>
              <w:rPr>
                <w:rFonts w:ascii="Aptos" w:hAnsi="Aptos"/>
                <w:b/>
                <w:color w:val="FFFFFF"/>
                <w:sz w:val="16"/>
              </w:rPr>
              <w:t>ChatGPT</w:t>
            </w:r>
          </w:p>
        </w:tc>
        <w:tc>
          <w:tcPr>
            <w:tcW w:type="dxa" w:w="2494"/>
            <w:tcMar>
              <w:top w:w="100" w:type="dxa"/>
              <w:start w:w="130" w:type="dxa"/>
              <w:bottom w:w="100" w:type="dxa"/>
              <w:end w:w="130" w:type="dxa"/>
            </w:tcMar>
            <w:vAlign w:val="center"/>
            <w:shd w:fill="356F99"/>
          </w:tcPr>
          <w:p>
            <w:pPr>
              <w:spacing w:after="0"/>
              <w:jc w:val="center"/>
            </w:pPr>
            <w:r/>
            <w:r>
              <w:rPr>
                <w:rFonts w:ascii="Aptos" w:hAnsi="Aptos"/>
                <w:b/>
                <w:color w:val="FFFFFF"/>
                <w:sz w:val="16"/>
              </w:rPr>
              <w:t>Final human decision</w:t>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Facts / inventions</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Urgency / escalation</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Evidence / traceability</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Privacy / consent</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Patient value</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Workload / feasibility</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bl>
    <w:p>
      <w:pPr>
        <w:spacing w:after="0"/>
      </w:pPr>
    </w:p>
    <w:p>
      <w:r>
        <w:rPr>
          <w:b/>
          <w:color w:val="0B6E69"/>
        </w:rPr>
        <w:t>Approved participant output:</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0B6E69"/>
          </w:tcPr>
          <w:p>
            <w:pPr>
              <w:spacing w:after="0"/>
              <w:jc w:val="center"/>
            </w:pPr>
            <w:r/>
            <w:r>
              <w:rPr>
                <w:rFonts w:ascii="Aptos" w:hAnsi="Aptos"/>
                <w:b/>
                <w:color w:val="FFFFFF"/>
                <w:sz w:val="18"/>
              </w:rPr>
              <w:t>STATION 3</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Patient + pharma communication — 19 minutes</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572"/>
            <w:tcMar>
              <w:top w:w="100" w:type="dxa"/>
              <w:start w:w="130" w:type="dxa"/>
              <w:bottom w:w="100" w:type="dxa"/>
              <w:end w:w="130" w:type="dxa"/>
            </w:tcMar>
            <w:vAlign w:val="center"/>
            <w:shd w:fill="0B2438"/>
          </w:tcPr>
          <w:p>
            <w:pPr>
              <w:spacing w:after="0"/>
              <w:jc w:val="center"/>
            </w:pPr>
            <w:r/>
            <w:r>
              <w:rPr>
                <w:rFonts w:ascii="Aptos" w:hAnsi="Aptos"/>
                <w:b/>
                <w:color w:val="FFFFFF"/>
                <w:sz w:val="16"/>
              </w:rPr>
              <w:t>Specialised tools</w:t>
            </w:r>
          </w:p>
        </w:tc>
        <w:tc>
          <w:tcPr>
            <w:tcW w:type="dxa" w:w="1701"/>
            <w:tcMar>
              <w:top w:w="100" w:type="dxa"/>
              <w:start w:w="130" w:type="dxa"/>
              <w:bottom w:w="100" w:type="dxa"/>
              <w:end w:w="130" w:type="dxa"/>
            </w:tcMar>
            <w:vAlign w:val="center"/>
            <w:shd w:fill="0B2438"/>
          </w:tcPr>
          <w:p>
            <w:pPr>
              <w:spacing w:after="0"/>
              <w:jc w:val="center"/>
            </w:pPr>
            <w:r/>
            <w:r>
              <w:rPr>
                <w:rFonts w:ascii="Aptos" w:hAnsi="Aptos"/>
                <w:b/>
                <w:color w:val="FFFFFF"/>
                <w:sz w:val="16"/>
              </w:rPr>
              <w:t>ChatGPT prompts</w:t>
            </w:r>
          </w:p>
        </w:tc>
        <w:tc>
          <w:tcPr>
            <w:tcW w:type="dxa" w:w="4252"/>
            <w:tcMar>
              <w:top w:w="100" w:type="dxa"/>
              <w:start w:w="130" w:type="dxa"/>
              <w:bottom w:w="100" w:type="dxa"/>
              <w:end w:w="130" w:type="dxa"/>
            </w:tcMar>
            <w:vAlign w:val="center"/>
            <w:shd w:fill="0B2438"/>
          </w:tcPr>
          <w:p>
            <w:pPr>
              <w:spacing w:after="0"/>
              <w:jc w:val="center"/>
            </w:pPr>
            <w:r/>
            <w:r>
              <w:rPr>
                <w:rFonts w:ascii="Aptos" w:hAnsi="Aptos"/>
                <w:b/>
                <w:color w:val="FFFFFF"/>
                <w:sz w:val="16"/>
              </w:rPr>
              <w:t>Participant output</w:t>
            </w:r>
          </w:p>
        </w:tc>
      </w:tr>
      <w:tr>
        <w:tc>
          <w:tcPr>
            <w:tcW w:type="dxa" w:w="3572"/>
            <w:tcMar>
              <w:top w:w="100" w:type="dxa"/>
              <w:start w:w="130" w:type="dxa"/>
              <w:bottom w:w="100" w:type="dxa"/>
              <w:end w:w="130" w:type="dxa"/>
            </w:tcMar>
            <w:vAlign w:val="center"/>
            <w:shd w:fill="F7F4EE"/>
          </w:tcPr>
          <w:p>
            <w:pPr>
              <w:spacing w:after="0"/>
            </w:pPr>
            <w:r/>
            <w:r>
              <w:rPr>
                <w:rFonts w:ascii="Aptos" w:hAnsi="Aptos"/>
                <w:b w:val="0"/>
                <w:color w:val="18313F"/>
                <w:sz w:val="16"/>
              </w:rPr>
              <w:t>Canva • Gamma • Bhashini • approved MI/PV workflow • ChatGPT</w:t>
            </w:r>
          </w:p>
        </w:tc>
        <w:tc>
          <w:tcPr>
            <w:tcW w:type="dxa" w:w="1701"/>
            <w:tcMar>
              <w:top w:w="100" w:type="dxa"/>
              <w:start w:w="130" w:type="dxa"/>
              <w:bottom w:w="100" w:type="dxa"/>
              <w:end w:w="130" w:type="dxa"/>
            </w:tcMar>
            <w:vAlign w:val="center"/>
            <w:shd w:fill="F7F4EE"/>
          </w:tcPr>
          <w:p>
            <w:pPr>
              <w:spacing w:after="0"/>
            </w:pPr>
            <w:r/>
            <w:r>
              <w:rPr>
                <w:rFonts w:ascii="Aptos" w:hAnsi="Aptos"/>
                <w:b w:val="0"/>
                <w:color w:val="18313F"/>
                <w:sz w:val="16"/>
              </w:rPr>
              <w:t>P4, P7, P10</w:t>
            </w:r>
          </w:p>
        </w:tc>
        <w:tc>
          <w:tcPr>
            <w:tcW w:type="dxa" w:w="4252"/>
            <w:tcMar>
              <w:top w:w="100" w:type="dxa"/>
              <w:start w:w="130" w:type="dxa"/>
              <w:bottom w:w="100" w:type="dxa"/>
              <w:end w:w="130" w:type="dxa"/>
            </w:tcMar>
            <w:vAlign w:val="center"/>
            <w:shd w:fill="F7F4EE"/>
          </w:tcPr>
          <w:p>
            <w:pPr>
              <w:spacing w:after="0"/>
            </w:pPr>
            <w:r/>
            <w:r>
              <w:rPr>
                <w:rFonts w:ascii="Aptos" w:hAnsi="Aptos"/>
                <w:b w:val="0"/>
                <w:color w:val="18313F"/>
                <w:sz w:val="16"/>
              </w:rPr>
              <w:t>Reviewed patient asset, MI/PV/PQC/MLR routing plan and ethical professional-projection draft.</w:t>
            </w:r>
          </w:p>
        </w:tc>
      </w:tr>
    </w:tbl>
    <w:p>
      <w:pPr>
        <w:spacing w:after="0"/>
      </w:pPr>
    </w:p>
    <w:tbl>
      <w:tblPr>
        <w:tblW w:type="auto" w:w="0"/>
        <w:jc w:val="center"/>
        <w:tblLook w:firstColumn="1" w:firstRow="1" w:lastColumn="0" w:lastRow="0" w:noHBand="0" w:noVBand="1" w:val="04A0"/>
      </w:tblPr>
      <w:tblGrid>
        <w:gridCol w:w="9922"/>
      </w:tblGrid>
      <w:tr>
        <w:tc>
          <w:tcPr>
            <w:tcW w:type="dxa" w:w="9922"/>
            <w:shd w:fill="DFECF5"/>
            <w:tcMar>
              <w:top w:w="180" w:type="dxa"/>
              <w:start w:w="210" w:type="dxa"/>
              <w:bottom w:w="180" w:type="dxa"/>
              <w:end w:w="210" w:type="dxa"/>
            </w:tcMar>
          </w:tcPr>
          <w:p>
            <w:pPr>
              <w:spacing w:after="80"/>
            </w:pPr>
            <w:r>
              <w:rPr>
                <w:rFonts w:ascii="Aptos" w:hAnsi="Aptos"/>
                <w:b/>
                <w:color w:val="356F99"/>
                <w:sz w:val="16"/>
              </w:rPr>
              <w:t>SYNTHETIC / APPROVED INPUT</w:t>
            </w:r>
          </w:p>
          <w:p>
            <w:pPr>
              <w:spacing w:after="0"/>
            </w:pPr>
            <w:r>
              <w:rPr>
                <w:rFonts w:ascii="Aptos" w:hAnsi="Aptos"/>
                <w:color w:val="18313F"/>
                <w:sz w:val="19"/>
              </w:rPr>
              <w:t>Approved public source excerpt for a class 6–8 patient handout, plus a separate synthetic unsolicited medical-information interaction containing a possible adverse event and an off-label question.</w:t>
            </w:r>
          </w:p>
        </w:tc>
      </w:tr>
    </w:tbl>
    <w:p>
      <w:pPr>
        <w:spacing w:after="0"/>
      </w:pPr>
    </w:p>
    <w:p>
      <w:pPr>
        <w:pStyle w:val="Heading2"/>
      </w:pPr>
      <w:r>
        <w:t>Team roles</w:t>
      </w:r>
    </w:p>
    <w:p>
      <w:pPr>
        <w:pStyle w:val="ListBullet"/>
        <w:spacing w:after="60"/>
        <w:ind w:left="312" w:hanging="142"/>
      </w:pPr>
      <w:r>
        <w:t>Clinical content reviewer</w:t>
      </w:r>
    </w:p>
    <w:p>
      <w:pPr>
        <w:pStyle w:val="ListBullet"/>
        <w:spacing w:after="60"/>
        <w:ind w:left="312" w:hanging="142"/>
      </w:pPr>
      <w:r>
        <w:t>Patient/literacy advocate</w:t>
      </w:r>
    </w:p>
    <w:p>
      <w:pPr>
        <w:pStyle w:val="ListBullet"/>
        <w:spacing w:after="60"/>
        <w:ind w:left="312" w:hanging="142"/>
      </w:pPr>
      <w:r>
        <w:t>Bilingual reviewer</w:t>
      </w:r>
    </w:p>
    <w:p>
      <w:pPr>
        <w:pStyle w:val="ListBullet"/>
        <w:spacing w:after="60"/>
        <w:ind w:left="312" w:hanging="142"/>
      </w:pPr>
      <w:r>
        <w:t>Medical-information/MLR role</w:t>
      </w:r>
    </w:p>
    <w:p>
      <w:pPr>
        <w:pStyle w:val="ListBullet"/>
        <w:spacing w:after="60"/>
        <w:ind w:left="312" w:hanging="142"/>
      </w:pPr>
      <w:r>
        <w:t>PV/PQC escalation role</w:t>
      </w:r>
    </w:p>
    <w:p>
      <w:pPr>
        <w:pStyle w:val="Heading2"/>
      </w:pPr>
      <w:r>
        <w:t>Facilitator demonstration sequence</w:t>
      </w:r>
    </w:p>
    <w:p>
      <w:r>
        <w:rPr>
          <w:b/>
          <w:color w:val="0B6E69"/>
        </w:rPr>
        <w:t xml:space="preserve">1. </w:t>
      </w:r>
      <w:r>
        <w:t>Use Prompt 4 to draft a one-page patient handout from the approved source only.</w:t>
      </w:r>
    </w:p>
    <w:p>
      <w:r>
        <w:rPr>
          <w:b/>
          <w:color w:val="0B6E69"/>
        </w:rPr>
        <w:t xml:space="preserve">2. </w:t>
      </w:r>
      <w:r>
        <w:t>Review meaning, red flags, teach-back and unsupported [REVIEW] statements.</w:t>
      </w:r>
    </w:p>
    <w:p>
      <w:r>
        <w:rPr>
          <w:b/>
          <w:color w:val="0B6E69"/>
        </w:rPr>
        <w:t xml:space="preserve">3. </w:t>
      </w:r>
      <w:r>
        <w:t>Use Canva/Gamma for design and Bhashini only as a draft language aid.</w:t>
      </w:r>
    </w:p>
    <w:p>
      <w:r>
        <w:rPr>
          <w:b/>
          <w:color w:val="0B6E69"/>
        </w:rPr>
        <w:t xml:space="preserve">4. </w:t>
      </w:r>
      <w:r>
        <w:t>Run Prompt 7 on the synthetic pharma inquiry and separate MI, off-label, PV/PQC and MLR responsibilities.</w:t>
      </w:r>
    </w:p>
    <w:p>
      <w:r>
        <w:rPr>
          <w:b/>
          <w:color w:val="0B6E69"/>
        </w:rPr>
        <w:t xml:space="preserve">5. </w:t>
      </w:r>
      <w:r>
        <w:t>Use Prompt 10 to create a useful, evidence-bounded professional asset.</w:t>
      </w:r>
    </w:p>
    <w:p>
      <w:r>
        <w:rPr>
          <w:b/>
          <w:color w:val="0B6E69"/>
        </w:rPr>
        <w:t xml:space="preserve">6. </w:t>
      </w:r>
      <w:r>
        <w:t>Apply the named clinical, bilingual and regulatory release gates.</w:t>
      </w:r>
    </w:p>
    <w:p>
      <w:r>
        <w:br w:type="page"/>
      </w:r>
    </w:p>
    <w:p>
      <w:pPr>
        <w:pStyle w:val="Heading1"/>
      </w:pPr>
      <w:r>
        <w:t>Station 3 verification and debrief</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Human checkpoint</w:t>
            </w:r>
          </w:p>
        </w:tc>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Stop rule</w:t>
            </w:r>
          </w:p>
        </w:tc>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Fallback</w:t>
            </w:r>
          </w:p>
        </w:tc>
      </w:tr>
      <w:tr>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Nothing reaches a patient or external audience until the appropriate clinical, bilingual, MI/PV and MLR reviewers approve it.</w:t>
            </w:r>
          </w:p>
        </w:tc>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Stop for unsupported claims, mistranslated clinical meaning, promotional drift or delayed adverse-event/product-quality escalation.</w:t>
            </w:r>
          </w:p>
        </w:tc>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Create a paper wireframe from Prompt 4; role-play the MI/PV interaction with Prompt 7; keep the same release gates.</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Can the patient act safely, and is every professional boundary visible?</w:t>
            </w:r>
          </w:p>
        </w:tc>
      </w:tr>
    </w:tbl>
    <w:p>
      <w:pPr>
        <w:spacing w:after="0"/>
      </w:pP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268"/>
            <w:tcMar>
              <w:top w:w="100" w:type="dxa"/>
              <w:start w:w="130" w:type="dxa"/>
              <w:bottom w:w="100" w:type="dxa"/>
              <w:end w:w="130" w:type="dxa"/>
            </w:tcMar>
            <w:vAlign w:val="center"/>
            <w:shd w:fill="356F99"/>
          </w:tcPr>
          <w:p>
            <w:pPr>
              <w:spacing w:after="0"/>
              <w:jc w:val="center"/>
            </w:pPr>
            <w:r/>
            <w:r>
              <w:rPr>
                <w:rFonts w:ascii="Aptos" w:hAnsi="Aptos"/>
                <w:b/>
                <w:color w:val="FFFFFF"/>
                <w:sz w:val="16"/>
              </w:rPr>
              <w:t>Comparison</w:t>
            </w:r>
          </w:p>
        </w:tc>
        <w:tc>
          <w:tcPr>
            <w:tcW w:type="dxa" w:w="2381"/>
            <w:tcMar>
              <w:top w:w="100" w:type="dxa"/>
              <w:start w:w="130" w:type="dxa"/>
              <w:bottom w:w="100" w:type="dxa"/>
              <w:end w:w="130" w:type="dxa"/>
            </w:tcMar>
            <w:vAlign w:val="center"/>
            <w:shd w:fill="356F99"/>
          </w:tcPr>
          <w:p>
            <w:pPr>
              <w:spacing w:after="0"/>
              <w:jc w:val="center"/>
            </w:pPr>
            <w:r/>
            <w:r>
              <w:rPr>
                <w:rFonts w:ascii="Aptos" w:hAnsi="Aptos"/>
                <w:b/>
                <w:color w:val="FFFFFF"/>
                <w:sz w:val="16"/>
              </w:rPr>
              <w:t>Specialised tool</w:t>
            </w:r>
          </w:p>
        </w:tc>
        <w:tc>
          <w:tcPr>
            <w:tcW w:type="dxa" w:w="2381"/>
            <w:tcMar>
              <w:top w:w="100" w:type="dxa"/>
              <w:start w:w="130" w:type="dxa"/>
              <w:bottom w:w="100" w:type="dxa"/>
              <w:end w:w="130" w:type="dxa"/>
            </w:tcMar>
            <w:vAlign w:val="center"/>
            <w:shd w:fill="356F99"/>
          </w:tcPr>
          <w:p>
            <w:pPr>
              <w:spacing w:after="0"/>
              <w:jc w:val="center"/>
            </w:pPr>
            <w:r/>
            <w:r>
              <w:rPr>
                <w:rFonts w:ascii="Aptos" w:hAnsi="Aptos"/>
                <w:b/>
                <w:color w:val="FFFFFF"/>
                <w:sz w:val="16"/>
              </w:rPr>
              <w:t>ChatGPT</w:t>
            </w:r>
          </w:p>
        </w:tc>
        <w:tc>
          <w:tcPr>
            <w:tcW w:type="dxa" w:w="2494"/>
            <w:tcMar>
              <w:top w:w="100" w:type="dxa"/>
              <w:start w:w="130" w:type="dxa"/>
              <w:bottom w:w="100" w:type="dxa"/>
              <w:end w:w="130" w:type="dxa"/>
            </w:tcMar>
            <w:vAlign w:val="center"/>
            <w:shd w:fill="356F99"/>
          </w:tcPr>
          <w:p>
            <w:pPr>
              <w:spacing w:after="0"/>
              <w:jc w:val="center"/>
            </w:pPr>
            <w:r/>
            <w:r>
              <w:rPr>
                <w:rFonts w:ascii="Aptos" w:hAnsi="Aptos"/>
                <w:b/>
                <w:color w:val="FFFFFF"/>
                <w:sz w:val="16"/>
              </w:rPr>
              <w:t>Final human decision</w:t>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Facts / inventions</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Urgency / escalation</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Evidence / traceability</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Privacy / consent</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Patient value</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Workload / feasibility</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bl>
    <w:p>
      <w:pPr>
        <w:spacing w:after="0"/>
      </w:pPr>
    </w:p>
    <w:p>
      <w:r>
        <w:rPr>
          <w:b/>
          <w:color w:val="0B6E69"/>
        </w:rPr>
        <w:t>Approved participant output:</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0B6E69"/>
          </w:tcPr>
          <w:p>
            <w:pPr>
              <w:spacing w:after="0"/>
              <w:jc w:val="center"/>
            </w:pPr>
            <w:r/>
            <w:r>
              <w:rPr>
                <w:rFonts w:ascii="Aptos" w:hAnsi="Aptos"/>
                <w:b/>
                <w:color w:val="FFFFFF"/>
                <w:sz w:val="18"/>
              </w:rPr>
              <w:t>STATION 4</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Research + Socratic teaching — 15 minutes</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572"/>
            <w:tcMar>
              <w:top w:w="100" w:type="dxa"/>
              <w:start w:w="130" w:type="dxa"/>
              <w:bottom w:w="100" w:type="dxa"/>
              <w:end w:w="130" w:type="dxa"/>
            </w:tcMar>
            <w:vAlign w:val="center"/>
            <w:shd w:fill="0B2438"/>
          </w:tcPr>
          <w:p>
            <w:pPr>
              <w:spacing w:after="0"/>
              <w:jc w:val="center"/>
            </w:pPr>
            <w:r/>
            <w:r>
              <w:rPr>
                <w:rFonts w:ascii="Aptos" w:hAnsi="Aptos"/>
                <w:b/>
                <w:color w:val="FFFFFF"/>
                <w:sz w:val="16"/>
              </w:rPr>
              <w:t>Specialised tools</w:t>
            </w:r>
          </w:p>
        </w:tc>
        <w:tc>
          <w:tcPr>
            <w:tcW w:type="dxa" w:w="1701"/>
            <w:tcMar>
              <w:top w:w="100" w:type="dxa"/>
              <w:start w:w="130" w:type="dxa"/>
              <w:bottom w:w="100" w:type="dxa"/>
              <w:end w:w="130" w:type="dxa"/>
            </w:tcMar>
            <w:vAlign w:val="center"/>
            <w:shd w:fill="0B2438"/>
          </w:tcPr>
          <w:p>
            <w:pPr>
              <w:spacing w:after="0"/>
              <w:jc w:val="center"/>
            </w:pPr>
            <w:r/>
            <w:r>
              <w:rPr>
                <w:rFonts w:ascii="Aptos" w:hAnsi="Aptos"/>
                <w:b/>
                <w:color w:val="FFFFFF"/>
                <w:sz w:val="16"/>
              </w:rPr>
              <w:t>ChatGPT prompts</w:t>
            </w:r>
          </w:p>
        </w:tc>
        <w:tc>
          <w:tcPr>
            <w:tcW w:type="dxa" w:w="4252"/>
            <w:tcMar>
              <w:top w:w="100" w:type="dxa"/>
              <w:start w:w="130" w:type="dxa"/>
              <w:bottom w:w="100" w:type="dxa"/>
              <w:end w:w="130" w:type="dxa"/>
            </w:tcMar>
            <w:vAlign w:val="center"/>
            <w:shd w:fill="0B2438"/>
          </w:tcPr>
          <w:p>
            <w:pPr>
              <w:spacing w:after="0"/>
              <w:jc w:val="center"/>
            </w:pPr>
            <w:r/>
            <w:r>
              <w:rPr>
                <w:rFonts w:ascii="Aptos" w:hAnsi="Aptos"/>
                <w:b/>
                <w:color w:val="FFFFFF"/>
                <w:sz w:val="16"/>
              </w:rPr>
              <w:t>Participant output</w:t>
            </w:r>
          </w:p>
        </w:tc>
      </w:tr>
      <w:tr>
        <w:tc>
          <w:tcPr>
            <w:tcW w:type="dxa" w:w="3572"/>
            <w:tcMar>
              <w:top w:w="100" w:type="dxa"/>
              <w:start w:w="130" w:type="dxa"/>
              <w:bottom w:w="100" w:type="dxa"/>
              <w:end w:w="130" w:type="dxa"/>
            </w:tcMar>
            <w:vAlign w:val="center"/>
            <w:shd w:fill="F7F4EE"/>
          </w:tcPr>
          <w:p>
            <w:pPr>
              <w:spacing w:after="0"/>
            </w:pPr>
            <w:r/>
            <w:r>
              <w:rPr>
                <w:rFonts w:ascii="Aptos" w:hAnsi="Aptos"/>
                <w:b w:val="0"/>
                <w:color w:val="18313F"/>
                <w:sz w:val="16"/>
              </w:rPr>
              <w:t>PubMed • Elicit • ResearchRabbit • Scite • ChatGPT</w:t>
            </w:r>
          </w:p>
        </w:tc>
        <w:tc>
          <w:tcPr>
            <w:tcW w:type="dxa" w:w="1701"/>
            <w:tcMar>
              <w:top w:w="100" w:type="dxa"/>
              <w:start w:w="130" w:type="dxa"/>
              <w:bottom w:w="100" w:type="dxa"/>
              <w:end w:w="130" w:type="dxa"/>
            </w:tcMar>
            <w:vAlign w:val="center"/>
            <w:shd w:fill="F7F4EE"/>
          </w:tcPr>
          <w:p>
            <w:pPr>
              <w:spacing w:after="0"/>
            </w:pPr>
            <w:r/>
            <w:r>
              <w:rPr>
                <w:rFonts w:ascii="Aptos" w:hAnsi="Aptos"/>
                <w:b w:val="0"/>
                <w:color w:val="18313F"/>
                <w:sz w:val="16"/>
              </w:rPr>
              <w:t>P11, P9</w:t>
            </w:r>
          </w:p>
        </w:tc>
        <w:tc>
          <w:tcPr>
            <w:tcW w:type="dxa" w:w="4252"/>
            <w:tcMar>
              <w:top w:w="100" w:type="dxa"/>
              <w:start w:w="130" w:type="dxa"/>
              <w:bottom w:w="100" w:type="dxa"/>
              <w:end w:w="130" w:type="dxa"/>
            </w:tcMar>
            <w:vAlign w:val="center"/>
            <w:shd w:fill="F7F4EE"/>
          </w:tcPr>
          <w:p>
            <w:pPr>
              <w:spacing w:after="0"/>
            </w:pPr>
            <w:r/>
            <w:r>
              <w:rPr>
                <w:rFonts w:ascii="Aptos" w:hAnsi="Aptos"/>
                <w:b w:val="0"/>
                <w:color w:val="18313F"/>
                <w:sz w:val="16"/>
              </w:rPr>
              <w:t>Transparent starting evidence map, uncertainty log and staged Socratic teaching script—not a fabricated systematic review.</w:t>
            </w:r>
          </w:p>
        </w:tc>
      </w:tr>
    </w:tbl>
    <w:p>
      <w:pPr>
        <w:spacing w:after="0"/>
      </w:pPr>
    </w:p>
    <w:tbl>
      <w:tblPr>
        <w:tblW w:type="auto" w:w="0"/>
        <w:jc w:val="center"/>
        <w:tblLook w:firstColumn="1" w:firstRow="1" w:lastColumn="0" w:lastRow="0" w:noHBand="0" w:noVBand="1" w:val="04A0"/>
      </w:tblPr>
      <w:tblGrid>
        <w:gridCol w:w="9922"/>
      </w:tblGrid>
      <w:tr>
        <w:tc>
          <w:tcPr>
            <w:tcW w:type="dxa" w:w="9922"/>
            <w:shd w:fill="DFECF5"/>
            <w:tcMar>
              <w:top w:w="180" w:type="dxa"/>
              <w:start w:w="210" w:type="dxa"/>
              <w:bottom w:w="180" w:type="dxa"/>
              <w:end w:w="210" w:type="dxa"/>
            </w:tcMar>
          </w:tcPr>
          <w:p>
            <w:pPr>
              <w:spacing w:after="80"/>
            </w:pPr>
            <w:r>
              <w:rPr>
                <w:rFonts w:ascii="Aptos" w:hAnsi="Aptos"/>
                <w:b/>
                <w:color w:val="356F99"/>
                <w:sz w:val="16"/>
              </w:rPr>
              <w:t>SYNTHETIC / APPROVED INPUT</w:t>
            </w:r>
          </w:p>
          <w:p>
            <w:pPr>
              <w:spacing w:after="0"/>
            </w:pPr>
            <w:r>
              <w:rPr>
                <w:rFonts w:ascii="Aptos" w:hAnsi="Aptos"/>
                <w:color w:val="18313F"/>
                <w:sz w:val="19"/>
              </w:rPr>
              <w:t>PICO: ambient documentation versus usual documentation; outcomes include after-hours EHR time, note errors and patient experience. Use one verified seed source.</w:t>
            </w:r>
          </w:p>
        </w:tc>
      </w:tr>
    </w:tbl>
    <w:p>
      <w:pPr>
        <w:spacing w:after="0"/>
      </w:pPr>
    </w:p>
    <w:p>
      <w:pPr>
        <w:pStyle w:val="Heading2"/>
      </w:pPr>
      <w:r>
        <w:t>Team roles</w:t>
      </w:r>
    </w:p>
    <w:p>
      <w:pPr>
        <w:pStyle w:val="ListBullet"/>
        <w:spacing w:after="60"/>
        <w:ind w:left="312" w:hanging="142"/>
      </w:pPr>
      <w:r>
        <w:t>Question/PICO lead</w:t>
      </w:r>
    </w:p>
    <w:p>
      <w:pPr>
        <w:pStyle w:val="ListBullet"/>
        <w:spacing w:after="60"/>
        <w:ind w:left="312" w:hanging="142"/>
      </w:pPr>
      <w:r>
        <w:t>Search recorder</w:t>
      </w:r>
    </w:p>
    <w:p>
      <w:pPr>
        <w:pStyle w:val="ListBullet"/>
        <w:spacing w:after="60"/>
        <w:ind w:left="312" w:hanging="142"/>
      </w:pPr>
      <w:r>
        <w:t>Study-design checker</w:t>
      </w:r>
    </w:p>
    <w:p>
      <w:pPr>
        <w:pStyle w:val="ListBullet"/>
        <w:spacing w:after="60"/>
        <w:ind w:left="312" w:hanging="142"/>
      </w:pPr>
      <w:r>
        <w:t>Citation verifier</w:t>
      </w:r>
    </w:p>
    <w:p>
      <w:pPr>
        <w:pStyle w:val="ListBullet"/>
        <w:spacing w:after="60"/>
        <w:ind w:left="312" w:hanging="142"/>
      </w:pPr>
      <w:r>
        <w:t>Socratic facilitator</w:t>
      </w:r>
    </w:p>
    <w:p>
      <w:pPr>
        <w:pStyle w:val="Heading2"/>
      </w:pPr>
      <w:r>
        <w:t>Facilitator demonstration sequence</w:t>
      </w:r>
    </w:p>
    <w:p>
      <w:r>
        <w:rPr>
          <w:b/>
          <w:color w:val="0B6E69"/>
        </w:rPr>
        <w:t xml:space="preserve">1. </w:t>
      </w:r>
      <w:r>
        <w:t>Write the PICO and the decision it will inform.</w:t>
      </w:r>
    </w:p>
    <w:p>
      <w:r>
        <w:rPr>
          <w:b/>
          <w:color w:val="0B6E69"/>
        </w:rPr>
        <w:t xml:space="preserve">2. </w:t>
      </w:r>
      <w:r>
        <w:t>Build and record a PubMed query, date, filters and result count.</w:t>
      </w:r>
    </w:p>
    <w:p>
      <w:r>
        <w:rPr>
          <w:b/>
          <w:color w:val="0B6E69"/>
        </w:rPr>
        <w:t xml:space="preserve">3. </w:t>
      </w:r>
      <w:r>
        <w:t>Use Elicit to structure candidate evidence and verify fields in original records.</w:t>
      </w:r>
    </w:p>
    <w:p>
      <w:r>
        <w:rPr>
          <w:b/>
          <w:color w:val="0B6E69"/>
        </w:rPr>
        <w:t xml:space="preserve">4. </w:t>
      </w:r>
      <w:r>
        <w:t>Use ResearchRabbit for adjacency and Scite for citation context—not quality verdicts.</w:t>
      </w:r>
    </w:p>
    <w:p>
      <w:r>
        <w:rPr>
          <w:b/>
          <w:color w:val="0B6E69"/>
        </w:rPr>
        <w:t xml:space="preserve">5. </w:t>
      </w:r>
      <w:r>
        <w:t>Run Prompt 11 to create an evidence-map template and uncertainty log.</w:t>
      </w:r>
    </w:p>
    <w:p>
      <w:r>
        <w:rPr>
          <w:b/>
          <w:color w:val="0B6E69"/>
        </w:rPr>
        <w:t xml:space="preserve">6. </w:t>
      </w:r>
      <w:r>
        <w:t>Run Prompt 9 to create a commit–challenge–verify–revise dialogue.</w:t>
      </w:r>
    </w:p>
    <w:p>
      <w:r>
        <w:br w:type="page"/>
      </w:r>
    </w:p>
    <w:p>
      <w:pPr>
        <w:pStyle w:val="Heading1"/>
      </w:pPr>
      <w:r>
        <w:t>Station 4 verification and debrief</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Human checkpoint</w:t>
            </w:r>
          </w:p>
        </w:tc>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Stop rule</w:t>
            </w:r>
          </w:p>
        </w:tc>
        <w:tc>
          <w:tcPr>
            <w:tcW w:type="dxa" w:w="3175"/>
            <w:tcMar>
              <w:top w:w="100" w:type="dxa"/>
              <w:start w:w="130" w:type="dxa"/>
              <w:bottom w:w="100" w:type="dxa"/>
              <w:end w:w="130" w:type="dxa"/>
            </w:tcMar>
            <w:vAlign w:val="center"/>
            <w:shd w:fill="E76F51"/>
          </w:tcPr>
          <w:p>
            <w:pPr>
              <w:spacing w:after="0"/>
              <w:jc w:val="center"/>
            </w:pPr>
            <w:r/>
            <w:r>
              <w:rPr>
                <w:rFonts w:ascii="Aptos" w:hAnsi="Aptos"/>
                <w:b/>
                <w:color w:val="FFFFFF"/>
                <w:sz w:val="16"/>
              </w:rPr>
              <w:t>Fallback</w:t>
            </w:r>
          </w:p>
        </w:tc>
      </w:tr>
      <w:tr>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Open every source; verify design, population, outcome and limitation; faculty protects learner reasoning and originality.</w:t>
            </w:r>
          </w:p>
        </w:tc>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Stop when a citation cannot be opened, a design is mislabelled or an AI summary outruns the source.</w:t>
            </w:r>
          </w:p>
        </w:tc>
        <w:tc>
          <w:tcPr>
            <w:tcW w:type="dxa" w:w="3175"/>
            <w:tcMar>
              <w:top w:w="100" w:type="dxa"/>
              <w:start w:w="130" w:type="dxa"/>
              <w:bottom w:w="100" w:type="dxa"/>
              <w:end w:w="130" w:type="dxa"/>
            </w:tcMar>
            <w:vAlign w:val="center"/>
            <w:shd w:fill="F7F4EE"/>
          </w:tcPr>
          <w:p>
            <w:pPr>
              <w:spacing w:after="0"/>
            </w:pPr>
            <w:r/>
            <w:r>
              <w:rPr>
                <w:rFonts w:ascii="Aptos" w:hAnsi="Aptos"/>
                <w:b w:val="0"/>
                <w:color w:val="18313F"/>
                <w:sz w:val="16"/>
              </w:rPr>
              <w:t>Use saved PubMed records, citation maps and citation-context screenshots; preserve verification and appraisal.</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What is the defensible deliverable—and what remains outside this rapid workflow?</w:t>
            </w:r>
          </w:p>
        </w:tc>
      </w:tr>
    </w:tbl>
    <w:p>
      <w:pPr>
        <w:spacing w:after="0"/>
      </w:pP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268"/>
            <w:tcMar>
              <w:top w:w="100" w:type="dxa"/>
              <w:start w:w="130" w:type="dxa"/>
              <w:bottom w:w="100" w:type="dxa"/>
              <w:end w:w="130" w:type="dxa"/>
            </w:tcMar>
            <w:vAlign w:val="center"/>
            <w:shd w:fill="356F99"/>
          </w:tcPr>
          <w:p>
            <w:pPr>
              <w:spacing w:after="0"/>
              <w:jc w:val="center"/>
            </w:pPr>
            <w:r/>
            <w:r>
              <w:rPr>
                <w:rFonts w:ascii="Aptos" w:hAnsi="Aptos"/>
                <w:b/>
                <w:color w:val="FFFFFF"/>
                <w:sz w:val="16"/>
              </w:rPr>
              <w:t>Comparison</w:t>
            </w:r>
          </w:p>
        </w:tc>
        <w:tc>
          <w:tcPr>
            <w:tcW w:type="dxa" w:w="2381"/>
            <w:tcMar>
              <w:top w:w="100" w:type="dxa"/>
              <w:start w:w="130" w:type="dxa"/>
              <w:bottom w:w="100" w:type="dxa"/>
              <w:end w:w="130" w:type="dxa"/>
            </w:tcMar>
            <w:vAlign w:val="center"/>
            <w:shd w:fill="356F99"/>
          </w:tcPr>
          <w:p>
            <w:pPr>
              <w:spacing w:after="0"/>
              <w:jc w:val="center"/>
            </w:pPr>
            <w:r/>
            <w:r>
              <w:rPr>
                <w:rFonts w:ascii="Aptos" w:hAnsi="Aptos"/>
                <w:b/>
                <w:color w:val="FFFFFF"/>
                <w:sz w:val="16"/>
              </w:rPr>
              <w:t>Specialised tool</w:t>
            </w:r>
          </w:p>
        </w:tc>
        <w:tc>
          <w:tcPr>
            <w:tcW w:type="dxa" w:w="2381"/>
            <w:tcMar>
              <w:top w:w="100" w:type="dxa"/>
              <w:start w:w="130" w:type="dxa"/>
              <w:bottom w:w="100" w:type="dxa"/>
              <w:end w:w="130" w:type="dxa"/>
            </w:tcMar>
            <w:vAlign w:val="center"/>
            <w:shd w:fill="356F99"/>
          </w:tcPr>
          <w:p>
            <w:pPr>
              <w:spacing w:after="0"/>
              <w:jc w:val="center"/>
            </w:pPr>
            <w:r/>
            <w:r>
              <w:rPr>
                <w:rFonts w:ascii="Aptos" w:hAnsi="Aptos"/>
                <w:b/>
                <w:color w:val="FFFFFF"/>
                <w:sz w:val="16"/>
              </w:rPr>
              <w:t>ChatGPT</w:t>
            </w:r>
          </w:p>
        </w:tc>
        <w:tc>
          <w:tcPr>
            <w:tcW w:type="dxa" w:w="2494"/>
            <w:tcMar>
              <w:top w:w="100" w:type="dxa"/>
              <w:start w:w="130" w:type="dxa"/>
              <w:bottom w:w="100" w:type="dxa"/>
              <w:end w:w="130" w:type="dxa"/>
            </w:tcMar>
            <w:vAlign w:val="center"/>
            <w:shd w:fill="356F99"/>
          </w:tcPr>
          <w:p>
            <w:pPr>
              <w:spacing w:after="0"/>
              <w:jc w:val="center"/>
            </w:pPr>
            <w:r/>
            <w:r>
              <w:rPr>
                <w:rFonts w:ascii="Aptos" w:hAnsi="Aptos"/>
                <w:b/>
                <w:color w:val="FFFFFF"/>
                <w:sz w:val="16"/>
              </w:rPr>
              <w:t>Final human decision</w:t>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Facts / inventions</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Urgency / escalation</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Evidence / traceability</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Privacy / consent</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t>Patient value</w:t>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t>Workload / feasibility</w:t>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8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494"/>
            <w:tcMar>
              <w:top w:w="100" w:type="dxa"/>
              <w:start w:w="130" w:type="dxa"/>
              <w:bottom w:w="100" w:type="dxa"/>
              <w:end w:w="130" w:type="dxa"/>
            </w:tcMar>
            <w:vAlign w:val="center"/>
            <w:shd w:fill="FFFFFF"/>
          </w:tcPr>
          <w:p>
            <w:pPr>
              <w:spacing w:after="0"/>
            </w:pPr>
            <w:r/>
            <w:r>
              <w:rPr>
                <w:rFonts w:ascii="Aptos" w:hAnsi="Aptos"/>
                <w:b w:val="0"/>
                <w:color w:val="18313F"/>
                <w:sz w:val="16"/>
              </w:rPr>
            </w:r>
          </w:p>
        </w:tc>
      </w:tr>
    </w:tbl>
    <w:p>
      <w:pPr>
        <w:spacing w:after="0"/>
      </w:pPr>
    </w:p>
    <w:p>
      <w:r>
        <w:rPr>
          <w:b/>
          <w:color w:val="0B6E69"/>
        </w:rPr>
        <w:t>Approved participant output:</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p>
      <w:pPr>
        <w:pStyle w:val="Heading1"/>
      </w:pPr>
      <w:r>
        <w:t>Part III — Eleven copy-ready ChatGPT prompts</w:t>
      </w:r>
    </w:p>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PROMPT-USE METHOD</w:t>
            </w:r>
          </w:p>
          <w:p>
            <w:pPr>
              <w:spacing w:after="0"/>
            </w:pPr>
            <w:r>
              <w:rPr>
                <w:rFonts w:ascii="Aptos" w:hAnsi="Aptos"/>
                <w:color w:val="18313F"/>
                <w:sz w:val="19"/>
              </w:rPr>
              <w:t>Paste the universal wrapper first. Replace only bracketed placeholders with synthetic/approved information. Compare output with the specialised tool where shown, then preserve the human-verification section.</w:t>
            </w:r>
          </w:p>
        </w:tc>
      </w:tr>
    </w:tbl>
    <w:p>
      <w:pPr>
        <w:spacing w:after="0"/>
      </w:pP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794"/>
            <w:tcMar>
              <w:top w:w="100" w:type="dxa"/>
              <w:start w:w="130" w:type="dxa"/>
              <w:bottom w:w="100" w:type="dxa"/>
              <w:end w:w="130" w:type="dxa"/>
            </w:tcMar>
            <w:vAlign w:val="center"/>
            <w:shd w:fill="0B6E69"/>
          </w:tcPr>
          <w:p>
            <w:pPr>
              <w:spacing w:after="0"/>
              <w:jc w:val="center"/>
            </w:pPr>
            <w:r/>
            <w:r>
              <w:rPr>
                <w:rFonts w:ascii="Aptos" w:hAnsi="Aptos"/>
                <w:b/>
                <w:color w:val="FFFFFF"/>
                <w:sz w:val="16"/>
              </w:rPr>
              <w:t>Prompt</w:t>
            </w:r>
          </w:p>
        </w:tc>
        <w:tc>
          <w:tcPr>
            <w:tcW w:type="dxa" w:w="3855"/>
            <w:tcMar>
              <w:top w:w="100" w:type="dxa"/>
              <w:start w:w="130" w:type="dxa"/>
              <w:bottom w:w="100" w:type="dxa"/>
              <w:end w:w="130" w:type="dxa"/>
            </w:tcMar>
            <w:vAlign w:val="center"/>
            <w:shd w:fill="0B6E69"/>
          </w:tcPr>
          <w:p>
            <w:pPr>
              <w:spacing w:after="0"/>
              <w:jc w:val="center"/>
            </w:pPr>
            <w:r/>
            <w:r>
              <w:rPr>
                <w:rFonts w:ascii="Aptos" w:hAnsi="Aptos"/>
                <w:b/>
                <w:color w:val="FFFFFF"/>
                <w:sz w:val="16"/>
              </w:rPr>
              <w:t>Purpose</w:t>
            </w:r>
          </w:p>
        </w:tc>
        <w:tc>
          <w:tcPr>
            <w:tcW w:type="dxa" w:w="4876"/>
            <w:tcMar>
              <w:top w:w="100" w:type="dxa"/>
              <w:start w:w="130" w:type="dxa"/>
              <w:bottom w:w="100" w:type="dxa"/>
              <w:end w:w="130" w:type="dxa"/>
            </w:tcMar>
            <w:vAlign w:val="center"/>
            <w:shd w:fill="0B6E69"/>
          </w:tcPr>
          <w:p>
            <w:pPr>
              <w:spacing w:after="0"/>
              <w:jc w:val="center"/>
            </w:pPr>
            <w:r/>
            <w:r>
              <w:rPr>
                <w:rFonts w:ascii="Aptos" w:hAnsi="Aptos"/>
                <w:b/>
                <w:color w:val="FFFFFF"/>
                <w:sz w:val="16"/>
              </w:rPr>
              <w:t>Specialised-tool comparison</w:t>
            </w:r>
          </w:p>
        </w:tc>
      </w:tr>
      <w:tr>
        <w:tc>
          <w:tcPr>
            <w:tcW w:type="dxa" w:w="794"/>
            <w:tcMar>
              <w:top w:w="100" w:type="dxa"/>
              <w:start w:w="130" w:type="dxa"/>
              <w:bottom w:w="100" w:type="dxa"/>
              <w:end w:w="130" w:type="dxa"/>
            </w:tcMar>
            <w:vAlign w:val="center"/>
            <w:shd w:fill="F7F4EE"/>
          </w:tcPr>
          <w:p>
            <w:pPr>
              <w:spacing w:after="0"/>
            </w:pPr>
            <w:r/>
            <w:r>
              <w:rPr>
                <w:rFonts w:ascii="Aptos" w:hAnsi="Aptos"/>
                <w:b w:val="0"/>
                <w:color w:val="18313F"/>
                <w:sz w:val="16"/>
              </w:rPr>
              <w:t>P1</w:t>
            </w:r>
          </w:p>
        </w:tc>
        <w:tc>
          <w:tcPr>
            <w:tcW w:type="dxa" w:w="3855"/>
            <w:tcMar>
              <w:top w:w="100" w:type="dxa"/>
              <w:start w:w="130" w:type="dxa"/>
              <w:bottom w:w="100" w:type="dxa"/>
              <w:end w:w="130" w:type="dxa"/>
            </w:tcMar>
            <w:vAlign w:val="center"/>
            <w:shd w:fill="F7F4EE"/>
          </w:tcPr>
          <w:p>
            <w:pPr>
              <w:spacing w:after="0"/>
            </w:pPr>
            <w:r/>
            <w:r>
              <w:rPr>
                <w:rFonts w:ascii="Aptos" w:hAnsi="Aptos"/>
                <w:b w:val="0"/>
                <w:color w:val="18313F"/>
                <w:sz w:val="16"/>
              </w:rPr>
              <w:t>Consultation continuity</w:t>
            </w:r>
          </w:p>
        </w:tc>
        <w:tc>
          <w:tcPr>
            <w:tcW w:type="dxa" w:w="4876"/>
            <w:tcMar>
              <w:top w:w="100" w:type="dxa"/>
              <w:start w:w="130" w:type="dxa"/>
              <w:bottom w:w="100" w:type="dxa"/>
              <w:end w:w="130" w:type="dxa"/>
            </w:tcMar>
            <w:vAlign w:val="center"/>
            <w:shd w:fill="F7F4EE"/>
          </w:tcPr>
          <w:p>
            <w:pPr>
              <w:spacing w:after="0"/>
            </w:pPr>
            <w:r/>
            <w:r>
              <w:rPr>
                <w:rFonts w:ascii="Aptos" w:hAnsi="Aptos"/>
                <w:b w:val="0"/>
                <w:color w:val="18313F"/>
                <w:sz w:val="16"/>
              </w:rPr>
              <w:t>ChatGPT; compare with Heidi or Nabla</w:t>
            </w:r>
          </w:p>
        </w:tc>
      </w:tr>
      <w:tr>
        <w:tc>
          <w:tcPr>
            <w:tcW w:type="dxa" w:w="794"/>
            <w:tcMar>
              <w:top w:w="100" w:type="dxa"/>
              <w:start w:w="130" w:type="dxa"/>
              <w:bottom w:w="100" w:type="dxa"/>
              <w:end w:w="130" w:type="dxa"/>
            </w:tcMar>
            <w:vAlign w:val="center"/>
            <w:shd w:fill="FFFFFF"/>
          </w:tcPr>
          <w:p>
            <w:pPr>
              <w:spacing w:after="0"/>
            </w:pPr>
            <w:r/>
            <w:r>
              <w:rPr>
                <w:rFonts w:ascii="Aptos" w:hAnsi="Aptos"/>
                <w:b w:val="0"/>
                <w:color w:val="18313F"/>
                <w:sz w:val="16"/>
              </w:rPr>
              <w:t>P2</w:t>
            </w:r>
          </w:p>
        </w:tc>
        <w:tc>
          <w:tcPr>
            <w:tcW w:type="dxa" w:w="3855"/>
            <w:tcMar>
              <w:top w:w="100" w:type="dxa"/>
              <w:start w:w="130" w:type="dxa"/>
              <w:bottom w:w="100" w:type="dxa"/>
              <w:end w:w="130" w:type="dxa"/>
            </w:tcMar>
            <w:vAlign w:val="center"/>
            <w:shd w:fill="FFFFFF"/>
          </w:tcPr>
          <w:p>
            <w:pPr>
              <w:spacing w:after="0"/>
            </w:pPr>
            <w:r/>
            <w:r>
              <w:rPr>
                <w:rFonts w:ascii="Aptos" w:hAnsi="Aptos"/>
                <w:b w:val="0"/>
                <w:color w:val="18313F"/>
                <w:sz w:val="16"/>
              </w:rPr>
              <w:t>Diagnostic reasoning without outsourcing diagnosis</w:t>
            </w:r>
          </w:p>
        </w:tc>
        <w:tc>
          <w:tcPr>
            <w:tcW w:type="dxa" w:w="4876"/>
            <w:tcMar>
              <w:top w:w="100" w:type="dxa"/>
              <w:start w:w="130" w:type="dxa"/>
              <w:bottom w:w="100" w:type="dxa"/>
              <w:end w:w="130" w:type="dxa"/>
            </w:tcMar>
            <w:vAlign w:val="center"/>
            <w:shd w:fill="FFFFFF"/>
          </w:tcPr>
          <w:p>
            <w:pPr>
              <w:spacing w:after="0"/>
            </w:pPr>
            <w:r/>
            <w:r>
              <w:rPr>
                <w:rFonts w:ascii="Aptos" w:hAnsi="Aptos"/>
                <w:b w:val="0"/>
                <w:color w:val="18313F"/>
                <w:sz w:val="16"/>
              </w:rPr>
              <w:t>ChatGPT; compare with DxGPT and a clinical evidence tool</w:t>
            </w:r>
          </w:p>
        </w:tc>
      </w:tr>
      <w:tr>
        <w:tc>
          <w:tcPr>
            <w:tcW w:type="dxa" w:w="794"/>
            <w:tcMar>
              <w:top w:w="100" w:type="dxa"/>
              <w:start w:w="130" w:type="dxa"/>
              <w:bottom w:w="100" w:type="dxa"/>
              <w:end w:w="130" w:type="dxa"/>
            </w:tcMar>
            <w:vAlign w:val="center"/>
            <w:shd w:fill="F7F4EE"/>
          </w:tcPr>
          <w:p>
            <w:pPr>
              <w:spacing w:after="0"/>
            </w:pPr>
            <w:r/>
            <w:r>
              <w:rPr>
                <w:rFonts w:ascii="Aptos" w:hAnsi="Aptos"/>
                <w:b w:val="0"/>
                <w:color w:val="18313F"/>
                <w:sz w:val="16"/>
              </w:rPr>
              <w:t>P3</w:t>
            </w:r>
          </w:p>
        </w:tc>
        <w:tc>
          <w:tcPr>
            <w:tcW w:type="dxa" w:w="3855"/>
            <w:tcMar>
              <w:top w:w="100" w:type="dxa"/>
              <w:start w:w="130" w:type="dxa"/>
              <w:bottom w:w="100" w:type="dxa"/>
              <w:end w:w="130" w:type="dxa"/>
            </w:tcMar>
            <w:vAlign w:val="center"/>
            <w:shd w:fill="F7F4EE"/>
          </w:tcPr>
          <w:p>
            <w:pPr>
              <w:spacing w:after="0"/>
            </w:pPr>
            <w:r/>
            <w:r>
              <w:rPr>
                <w:rFonts w:ascii="Aptos" w:hAnsi="Aptos"/>
                <w:b w:val="0"/>
                <w:color w:val="18313F"/>
                <w:sz w:val="16"/>
              </w:rPr>
              <w:t>Medication-reconciliation discussion</w:t>
            </w:r>
          </w:p>
        </w:tc>
        <w:tc>
          <w:tcPr>
            <w:tcW w:type="dxa" w:w="4876"/>
            <w:tcMar>
              <w:top w:w="100" w:type="dxa"/>
              <w:start w:w="130" w:type="dxa"/>
              <w:bottom w:w="100" w:type="dxa"/>
              <w:end w:w="130" w:type="dxa"/>
            </w:tcMar>
            <w:vAlign w:val="center"/>
            <w:shd w:fill="F7F4EE"/>
          </w:tcPr>
          <w:p>
            <w:pPr>
              <w:spacing w:after="0"/>
            </w:pPr>
            <w:r/>
            <w:r>
              <w:rPr>
                <w:rFonts w:ascii="Aptos" w:hAnsi="Aptos"/>
                <w:b w:val="0"/>
                <w:color w:val="18313F"/>
                <w:sz w:val="16"/>
              </w:rPr>
              <w:t>ChatGPT; compare with Epocrates, Lexicomp, Micromedex or an approved reference</w:t>
            </w:r>
          </w:p>
        </w:tc>
      </w:tr>
      <w:tr>
        <w:tc>
          <w:tcPr>
            <w:tcW w:type="dxa" w:w="794"/>
            <w:tcMar>
              <w:top w:w="100" w:type="dxa"/>
              <w:start w:w="130" w:type="dxa"/>
              <w:bottom w:w="100" w:type="dxa"/>
              <w:end w:w="130" w:type="dxa"/>
            </w:tcMar>
            <w:vAlign w:val="center"/>
            <w:shd w:fill="FFFFFF"/>
          </w:tcPr>
          <w:p>
            <w:pPr>
              <w:spacing w:after="0"/>
            </w:pPr>
            <w:r/>
            <w:r>
              <w:rPr>
                <w:rFonts w:ascii="Aptos" w:hAnsi="Aptos"/>
                <w:b w:val="0"/>
                <w:color w:val="18313F"/>
                <w:sz w:val="16"/>
              </w:rPr>
              <w:t>P4</w:t>
            </w:r>
          </w:p>
        </w:tc>
        <w:tc>
          <w:tcPr>
            <w:tcW w:type="dxa" w:w="3855"/>
            <w:tcMar>
              <w:top w:w="100" w:type="dxa"/>
              <w:start w:w="130" w:type="dxa"/>
              <w:bottom w:w="100" w:type="dxa"/>
              <w:end w:w="130" w:type="dxa"/>
            </w:tcMar>
            <w:vAlign w:val="center"/>
            <w:shd w:fill="FFFFFF"/>
          </w:tcPr>
          <w:p>
            <w:pPr>
              <w:spacing w:after="0"/>
            </w:pPr>
            <w:r/>
            <w:r>
              <w:rPr>
                <w:rFonts w:ascii="Aptos" w:hAnsi="Aptos"/>
                <w:b w:val="0"/>
                <w:color w:val="18313F"/>
                <w:sz w:val="16"/>
              </w:rPr>
              <w:t>Patient-education asset</w:t>
            </w:r>
          </w:p>
        </w:tc>
        <w:tc>
          <w:tcPr>
            <w:tcW w:type="dxa" w:w="4876"/>
            <w:tcMar>
              <w:top w:w="100" w:type="dxa"/>
              <w:start w:w="130" w:type="dxa"/>
              <w:bottom w:w="100" w:type="dxa"/>
              <w:end w:w="130" w:type="dxa"/>
            </w:tcMar>
            <w:vAlign w:val="center"/>
            <w:shd w:fill="FFFFFF"/>
          </w:tcPr>
          <w:p>
            <w:pPr>
              <w:spacing w:after="0"/>
            </w:pPr>
            <w:r/>
            <w:r>
              <w:rPr>
                <w:rFonts w:ascii="Aptos" w:hAnsi="Aptos"/>
                <w:b w:val="0"/>
                <w:color w:val="18313F"/>
                <w:sz w:val="16"/>
              </w:rPr>
              <w:t>ChatGPT plus Canva/Gamma; bilingual review may use Bhashini</w:t>
            </w:r>
          </w:p>
        </w:tc>
      </w:tr>
      <w:tr>
        <w:tc>
          <w:tcPr>
            <w:tcW w:type="dxa" w:w="794"/>
            <w:tcMar>
              <w:top w:w="100" w:type="dxa"/>
              <w:start w:w="130" w:type="dxa"/>
              <w:bottom w:w="100" w:type="dxa"/>
              <w:end w:w="130" w:type="dxa"/>
            </w:tcMar>
            <w:vAlign w:val="center"/>
            <w:shd w:fill="F7F4EE"/>
          </w:tcPr>
          <w:p>
            <w:pPr>
              <w:spacing w:after="0"/>
            </w:pPr>
            <w:r/>
            <w:r>
              <w:rPr>
                <w:rFonts w:ascii="Aptos" w:hAnsi="Aptos"/>
                <w:b w:val="0"/>
                <w:color w:val="18313F"/>
                <w:sz w:val="16"/>
              </w:rPr>
              <w:t>P5</w:t>
            </w:r>
          </w:p>
        </w:tc>
        <w:tc>
          <w:tcPr>
            <w:tcW w:type="dxa" w:w="3855"/>
            <w:tcMar>
              <w:top w:w="100" w:type="dxa"/>
              <w:start w:w="130" w:type="dxa"/>
              <w:bottom w:w="100" w:type="dxa"/>
              <w:end w:w="130" w:type="dxa"/>
            </w:tcMar>
            <w:vAlign w:val="center"/>
            <w:shd w:fill="F7F4EE"/>
          </w:tcPr>
          <w:p>
            <w:pPr>
              <w:spacing w:after="0"/>
            </w:pPr>
            <w:r/>
            <w:r>
              <w:rPr>
                <w:rFonts w:ascii="Aptos" w:hAnsi="Aptos"/>
                <w:b w:val="0"/>
                <w:color w:val="18313F"/>
                <w:sz w:val="16"/>
              </w:rPr>
              <w:t>Redesigning an unhelpful clinical alert</w:t>
            </w:r>
          </w:p>
        </w:tc>
        <w:tc>
          <w:tcPr>
            <w:tcW w:type="dxa" w:w="4876"/>
            <w:tcMar>
              <w:top w:w="100" w:type="dxa"/>
              <w:start w:w="130" w:type="dxa"/>
              <w:bottom w:w="100" w:type="dxa"/>
              <w:end w:w="130" w:type="dxa"/>
            </w:tcMar>
            <w:vAlign w:val="center"/>
            <w:shd w:fill="F7F4EE"/>
          </w:tcPr>
          <w:p>
            <w:pPr>
              <w:spacing w:after="0"/>
            </w:pPr>
            <w:r/>
            <w:r>
              <w:rPr>
                <w:rFonts w:ascii="Aptos" w:hAnsi="Aptos"/>
                <w:b w:val="0"/>
                <w:color w:val="18313F"/>
                <w:sz w:val="16"/>
              </w:rPr>
              <w:t>ChatGPT discussion prompt</w:t>
            </w:r>
          </w:p>
        </w:tc>
      </w:tr>
      <w:tr>
        <w:tc>
          <w:tcPr>
            <w:tcW w:type="dxa" w:w="794"/>
            <w:tcMar>
              <w:top w:w="100" w:type="dxa"/>
              <w:start w:w="130" w:type="dxa"/>
              <w:bottom w:w="100" w:type="dxa"/>
              <w:end w:w="130" w:type="dxa"/>
            </w:tcMar>
            <w:vAlign w:val="center"/>
            <w:shd w:fill="FFFFFF"/>
          </w:tcPr>
          <w:p>
            <w:pPr>
              <w:spacing w:after="0"/>
            </w:pPr>
            <w:r/>
            <w:r>
              <w:rPr>
                <w:rFonts w:ascii="Aptos" w:hAnsi="Aptos"/>
                <w:b w:val="0"/>
                <w:color w:val="18313F"/>
                <w:sz w:val="16"/>
              </w:rPr>
              <w:t>P6</w:t>
            </w:r>
          </w:p>
        </w:tc>
        <w:tc>
          <w:tcPr>
            <w:tcW w:type="dxa" w:w="3855"/>
            <w:tcMar>
              <w:top w:w="100" w:type="dxa"/>
              <w:start w:w="130" w:type="dxa"/>
              <w:bottom w:w="100" w:type="dxa"/>
              <w:end w:w="130" w:type="dxa"/>
            </w:tcMar>
            <w:vAlign w:val="center"/>
            <w:shd w:fill="FFFFFF"/>
          </w:tcPr>
          <w:p>
            <w:pPr>
              <w:spacing w:after="0"/>
            </w:pPr>
            <w:r/>
            <w:r>
              <w:rPr>
                <w:rFonts w:ascii="Aptos" w:hAnsi="Aptos"/>
                <w:b w:val="0"/>
                <w:color w:val="18313F"/>
                <w:sz w:val="16"/>
              </w:rPr>
              <w:t>Ambient-scribe pilot plan</w:t>
            </w:r>
          </w:p>
        </w:tc>
        <w:tc>
          <w:tcPr>
            <w:tcW w:type="dxa" w:w="4876"/>
            <w:tcMar>
              <w:top w:w="100" w:type="dxa"/>
              <w:start w:w="130" w:type="dxa"/>
              <w:bottom w:w="100" w:type="dxa"/>
              <w:end w:w="130" w:type="dxa"/>
            </w:tcMar>
            <w:vAlign w:val="center"/>
            <w:shd w:fill="FFFFFF"/>
          </w:tcPr>
          <w:p>
            <w:pPr>
              <w:spacing w:after="0"/>
            </w:pPr>
            <w:r/>
            <w:r>
              <w:rPr>
                <w:rFonts w:ascii="Aptos" w:hAnsi="Aptos"/>
                <w:b w:val="0"/>
                <w:color w:val="18313F"/>
                <w:sz w:val="16"/>
              </w:rPr>
              <w:t>ChatGPT; compare with Heidi/Nabla governance settings</w:t>
            </w:r>
          </w:p>
        </w:tc>
      </w:tr>
      <w:tr>
        <w:tc>
          <w:tcPr>
            <w:tcW w:type="dxa" w:w="794"/>
            <w:tcMar>
              <w:top w:w="100" w:type="dxa"/>
              <w:start w:w="130" w:type="dxa"/>
              <w:bottom w:w="100" w:type="dxa"/>
              <w:end w:w="130" w:type="dxa"/>
            </w:tcMar>
            <w:vAlign w:val="center"/>
            <w:shd w:fill="F7F4EE"/>
          </w:tcPr>
          <w:p>
            <w:pPr>
              <w:spacing w:after="0"/>
            </w:pPr>
            <w:r/>
            <w:r>
              <w:rPr>
                <w:rFonts w:ascii="Aptos" w:hAnsi="Aptos"/>
                <w:b w:val="0"/>
                <w:color w:val="18313F"/>
                <w:sz w:val="16"/>
              </w:rPr>
              <w:t>P7</w:t>
            </w:r>
          </w:p>
        </w:tc>
        <w:tc>
          <w:tcPr>
            <w:tcW w:type="dxa" w:w="3855"/>
            <w:tcMar>
              <w:top w:w="100" w:type="dxa"/>
              <w:start w:w="130" w:type="dxa"/>
              <w:bottom w:w="100" w:type="dxa"/>
              <w:end w:w="130" w:type="dxa"/>
            </w:tcMar>
            <w:vAlign w:val="center"/>
            <w:shd w:fill="F7F4EE"/>
          </w:tcPr>
          <w:p>
            <w:pPr>
              <w:spacing w:after="0"/>
            </w:pPr>
            <w:r/>
            <w:r>
              <w:rPr>
                <w:rFonts w:ascii="Aptos" w:hAnsi="Aptos"/>
                <w:b w:val="0"/>
                <w:color w:val="18313F"/>
                <w:sz w:val="16"/>
              </w:rPr>
              <w:t>Pharma medical-information and safety triage</w:t>
            </w:r>
          </w:p>
        </w:tc>
        <w:tc>
          <w:tcPr>
            <w:tcW w:type="dxa" w:w="4876"/>
            <w:tcMar>
              <w:top w:w="100" w:type="dxa"/>
              <w:start w:w="130" w:type="dxa"/>
              <w:bottom w:w="100" w:type="dxa"/>
              <w:end w:w="130" w:type="dxa"/>
            </w:tcMar>
            <w:vAlign w:val="center"/>
            <w:shd w:fill="F7F4EE"/>
          </w:tcPr>
          <w:p>
            <w:pPr>
              <w:spacing w:after="0"/>
            </w:pPr>
            <w:r/>
            <w:r>
              <w:rPr>
                <w:rFonts w:ascii="Aptos" w:hAnsi="Aptos"/>
                <w:b w:val="0"/>
                <w:color w:val="18313F"/>
                <w:sz w:val="16"/>
              </w:rPr>
              <w:t>ChatGPT discussion prompt; compare with approved medical-information/PV workflow</w:t>
            </w:r>
          </w:p>
        </w:tc>
      </w:tr>
      <w:tr>
        <w:tc>
          <w:tcPr>
            <w:tcW w:type="dxa" w:w="794"/>
            <w:tcMar>
              <w:top w:w="100" w:type="dxa"/>
              <w:start w:w="130" w:type="dxa"/>
              <w:bottom w:w="100" w:type="dxa"/>
              <w:end w:w="130" w:type="dxa"/>
            </w:tcMar>
            <w:vAlign w:val="center"/>
            <w:shd w:fill="FFFFFF"/>
          </w:tcPr>
          <w:p>
            <w:pPr>
              <w:spacing w:after="0"/>
            </w:pPr>
            <w:r/>
            <w:r>
              <w:rPr>
                <w:rFonts w:ascii="Aptos" w:hAnsi="Aptos"/>
                <w:b w:val="0"/>
                <w:color w:val="18313F"/>
                <w:sz w:val="16"/>
              </w:rPr>
              <w:t>P8</w:t>
            </w:r>
          </w:p>
        </w:tc>
        <w:tc>
          <w:tcPr>
            <w:tcW w:type="dxa" w:w="3855"/>
            <w:tcMar>
              <w:top w:w="100" w:type="dxa"/>
              <w:start w:w="130" w:type="dxa"/>
              <w:bottom w:w="100" w:type="dxa"/>
              <w:end w:w="130" w:type="dxa"/>
            </w:tcMar>
            <w:vAlign w:val="center"/>
            <w:shd w:fill="FFFFFF"/>
          </w:tcPr>
          <w:p>
            <w:pPr>
              <w:spacing w:after="0"/>
            </w:pPr>
            <w:r/>
            <w:r>
              <w:rPr>
                <w:rFonts w:ascii="Aptos" w:hAnsi="Aptos"/>
                <w:b w:val="0"/>
                <w:color w:val="18313F"/>
                <w:sz w:val="16"/>
              </w:rPr>
              <w:t>Explainable-AI vendor evaluation</w:t>
            </w:r>
          </w:p>
        </w:tc>
        <w:tc>
          <w:tcPr>
            <w:tcW w:type="dxa" w:w="4876"/>
            <w:tcMar>
              <w:top w:w="100" w:type="dxa"/>
              <w:start w:w="130" w:type="dxa"/>
              <w:bottom w:w="100" w:type="dxa"/>
              <w:end w:w="130" w:type="dxa"/>
            </w:tcMar>
            <w:vAlign w:val="center"/>
            <w:shd w:fill="FFFFFF"/>
          </w:tcPr>
          <w:p>
            <w:pPr>
              <w:spacing w:after="0"/>
            </w:pPr>
            <w:r/>
            <w:r>
              <w:rPr>
                <w:rFonts w:ascii="Aptos" w:hAnsi="Aptos"/>
                <w:b w:val="0"/>
                <w:color w:val="18313F"/>
                <w:sz w:val="16"/>
              </w:rPr>
              <w:t>ChatGPT discussion prompt</w:t>
            </w:r>
          </w:p>
        </w:tc>
      </w:tr>
      <w:tr>
        <w:tc>
          <w:tcPr>
            <w:tcW w:type="dxa" w:w="794"/>
            <w:tcMar>
              <w:top w:w="100" w:type="dxa"/>
              <w:start w:w="130" w:type="dxa"/>
              <w:bottom w:w="100" w:type="dxa"/>
              <w:end w:w="130" w:type="dxa"/>
            </w:tcMar>
            <w:vAlign w:val="center"/>
            <w:shd w:fill="F7F4EE"/>
          </w:tcPr>
          <w:p>
            <w:pPr>
              <w:spacing w:after="0"/>
            </w:pPr>
            <w:r/>
            <w:r>
              <w:rPr>
                <w:rFonts w:ascii="Aptos" w:hAnsi="Aptos"/>
                <w:b w:val="0"/>
                <w:color w:val="18313F"/>
                <w:sz w:val="16"/>
              </w:rPr>
              <w:t>P9</w:t>
            </w:r>
          </w:p>
        </w:tc>
        <w:tc>
          <w:tcPr>
            <w:tcW w:type="dxa" w:w="3855"/>
            <w:tcMar>
              <w:top w:w="100" w:type="dxa"/>
              <w:start w:w="130" w:type="dxa"/>
              <w:bottom w:w="100" w:type="dxa"/>
              <w:end w:w="130" w:type="dxa"/>
            </w:tcMar>
            <w:vAlign w:val="center"/>
            <w:shd w:fill="F7F4EE"/>
          </w:tcPr>
          <w:p>
            <w:pPr>
              <w:spacing w:after="0"/>
            </w:pPr>
            <w:r/>
            <w:r>
              <w:rPr>
                <w:rFonts w:ascii="Aptos" w:hAnsi="Aptos"/>
                <w:b w:val="0"/>
                <w:color w:val="18313F"/>
                <w:sz w:val="16"/>
              </w:rPr>
              <w:t>Socratic medical teaching</w:t>
            </w:r>
          </w:p>
        </w:tc>
        <w:tc>
          <w:tcPr>
            <w:tcW w:type="dxa" w:w="4876"/>
            <w:tcMar>
              <w:top w:w="100" w:type="dxa"/>
              <w:start w:w="130" w:type="dxa"/>
              <w:bottom w:w="100" w:type="dxa"/>
              <w:end w:w="130" w:type="dxa"/>
            </w:tcMar>
            <w:vAlign w:val="center"/>
            <w:shd w:fill="F7F4EE"/>
          </w:tcPr>
          <w:p>
            <w:pPr>
              <w:spacing w:after="0"/>
            </w:pPr>
            <w:r/>
            <w:r>
              <w:rPr>
                <w:rFonts w:ascii="Aptos" w:hAnsi="Aptos"/>
                <w:b w:val="0"/>
                <w:color w:val="18313F"/>
                <w:sz w:val="16"/>
              </w:rPr>
              <w:t>ChatGPT</w:t>
            </w:r>
          </w:p>
        </w:tc>
      </w:tr>
      <w:tr>
        <w:tc>
          <w:tcPr>
            <w:tcW w:type="dxa" w:w="794"/>
            <w:tcMar>
              <w:top w:w="100" w:type="dxa"/>
              <w:start w:w="130" w:type="dxa"/>
              <w:bottom w:w="100" w:type="dxa"/>
              <w:end w:w="130" w:type="dxa"/>
            </w:tcMar>
            <w:vAlign w:val="center"/>
            <w:shd w:fill="FFFFFF"/>
          </w:tcPr>
          <w:p>
            <w:pPr>
              <w:spacing w:after="0"/>
            </w:pPr>
            <w:r/>
            <w:r>
              <w:rPr>
                <w:rFonts w:ascii="Aptos" w:hAnsi="Aptos"/>
                <w:b w:val="0"/>
                <w:color w:val="18313F"/>
                <w:sz w:val="16"/>
              </w:rPr>
              <w:t>P10</w:t>
            </w:r>
          </w:p>
        </w:tc>
        <w:tc>
          <w:tcPr>
            <w:tcW w:type="dxa" w:w="3855"/>
            <w:tcMar>
              <w:top w:w="100" w:type="dxa"/>
              <w:start w:w="130" w:type="dxa"/>
              <w:bottom w:w="100" w:type="dxa"/>
              <w:end w:w="130" w:type="dxa"/>
            </w:tcMar>
            <w:vAlign w:val="center"/>
            <w:shd w:fill="FFFFFF"/>
          </w:tcPr>
          <w:p>
            <w:pPr>
              <w:spacing w:after="0"/>
            </w:pPr>
            <w:r/>
            <w:r>
              <w:rPr>
                <w:rFonts w:ascii="Aptos" w:hAnsi="Aptos"/>
                <w:b w:val="0"/>
                <w:color w:val="18313F"/>
                <w:sz w:val="16"/>
              </w:rPr>
              <w:t>Professional projection</w:t>
            </w:r>
          </w:p>
        </w:tc>
        <w:tc>
          <w:tcPr>
            <w:tcW w:type="dxa" w:w="4876"/>
            <w:tcMar>
              <w:top w:w="100" w:type="dxa"/>
              <w:start w:w="130" w:type="dxa"/>
              <w:bottom w:w="100" w:type="dxa"/>
              <w:end w:w="130" w:type="dxa"/>
            </w:tcMar>
            <w:vAlign w:val="center"/>
            <w:shd w:fill="FFFFFF"/>
          </w:tcPr>
          <w:p>
            <w:pPr>
              <w:spacing w:after="0"/>
            </w:pPr>
            <w:r/>
            <w:r>
              <w:rPr>
                <w:rFonts w:ascii="Aptos" w:hAnsi="Aptos"/>
                <w:b w:val="0"/>
                <w:color w:val="18313F"/>
                <w:sz w:val="16"/>
              </w:rPr>
              <w:t>ChatGPT plus approved publishing/design workflow</w:t>
            </w:r>
          </w:p>
        </w:tc>
      </w:tr>
      <w:tr>
        <w:tc>
          <w:tcPr>
            <w:tcW w:type="dxa" w:w="794"/>
            <w:tcMar>
              <w:top w:w="100" w:type="dxa"/>
              <w:start w:w="130" w:type="dxa"/>
              <w:bottom w:w="100" w:type="dxa"/>
              <w:end w:w="130" w:type="dxa"/>
            </w:tcMar>
            <w:vAlign w:val="center"/>
            <w:shd w:fill="F7F4EE"/>
          </w:tcPr>
          <w:p>
            <w:pPr>
              <w:spacing w:after="0"/>
            </w:pPr>
            <w:r/>
            <w:r>
              <w:rPr>
                <w:rFonts w:ascii="Aptos" w:hAnsi="Aptos"/>
                <w:b w:val="0"/>
                <w:color w:val="18313F"/>
                <w:sz w:val="16"/>
              </w:rPr>
              <w:t>P11</w:t>
            </w:r>
          </w:p>
        </w:tc>
        <w:tc>
          <w:tcPr>
            <w:tcW w:type="dxa" w:w="3855"/>
            <w:tcMar>
              <w:top w:w="100" w:type="dxa"/>
              <w:start w:w="130" w:type="dxa"/>
              <w:bottom w:w="100" w:type="dxa"/>
              <w:end w:w="130" w:type="dxa"/>
            </w:tcMar>
            <w:vAlign w:val="center"/>
            <w:shd w:fill="F7F4EE"/>
          </w:tcPr>
          <w:p>
            <w:pPr>
              <w:spacing w:after="0"/>
            </w:pPr>
            <w:r/>
            <w:r>
              <w:rPr>
                <w:rFonts w:ascii="Aptos" w:hAnsi="Aptos"/>
                <w:b w:val="0"/>
                <w:color w:val="18313F"/>
                <w:sz w:val="16"/>
              </w:rPr>
              <w:t>Rapid evidence map</w:t>
            </w:r>
          </w:p>
        </w:tc>
        <w:tc>
          <w:tcPr>
            <w:tcW w:type="dxa" w:w="4876"/>
            <w:tcMar>
              <w:top w:w="100" w:type="dxa"/>
              <w:start w:w="130" w:type="dxa"/>
              <w:bottom w:w="100" w:type="dxa"/>
              <w:end w:w="130" w:type="dxa"/>
            </w:tcMar>
            <w:vAlign w:val="center"/>
            <w:shd w:fill="F7F4EE"/>
          </w:tcPr>
          <w:p>
            <w:pPr>
              <w:spacing w:after="0"/>
            </w:pPr>
            <w:r/>
            <w:r>
              <w:rPr>
                <w:rFonts w:ascii="Aptos" w:hAnsi="Aptos"/>
                <w:b w:val="0"/>
                <w:color w:val="18313F"/>
                <w:sz w:val="16"/>
              </w:rPr>
              <w:t>ChatGPT plus PubMed/Elicit/ResearchRabbit/Scite</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1</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Consultation continuity</w:t>
            </w:r>
          </w:p>
        </w:tc>
      </w:tr>
    </w:tbl>
    <w:p>
      <w:r>
        <w:rPr>
          <w:i/>
          <w:color w:val="62747E"/>
        </w:rPr>
        <w:t>Turn a synthetic conversation into a reviewable draft without inventing clinical facts.</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Using the synthetic consultation transcript below, create: (1) a source-grounded draft encounter summary, (2) a problem-information list, (3) medication-reconciliation questions, (4) a plain-language patient summary, (5) three teach-back questions, and (6) follow-up and escalation items. Tag every statement [PATIENT REPORTED], [PROFESSIONAL OBSERVATION], [UNKNOWN] or [NEEDS VERIFICATION]. Do not invent examination findings, diagnosis, medication, dose, investigation, reassurance or follow-up decision. Transcript: [PASTE SYNTHETIC TRANSCRIPT]</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Tagged draft note, patient summary, questions and escalation items</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Reconcile facts and medicines; check red flags, consent, local language and record policy before sign-off.</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Invented findings or a polished draft copied into the record without review.</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What attention did the tool return—and what new verification work did it create?</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2</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Diagnostic reasoning without outsourcing diagnosis</w:t>
            </w:r>
          </w:p>
        </w:tc>
      </w:tr>
    </w:tbl>
    <w:p>
      <w:r>
        <w:rPr>
          <w:i/>
          <w:color w:val="62747E"/>
        </w:rPr>
        <w:t>Expose hypotheses, missing information and urgency.</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Using only the synthetic case below: (1) write a one-sentence problem representation without declaring a diagnosis; (2) group hypotheses as common/likely, dangerous must-not-miss, and alternative explanations; (3) for each, list supporting information, contradictory information, missing information, red flags, time sensitivity and evidence that must be verified; (4) identify the five questions or observations most likely to change urgency; and (5) state what a licensed clinician must decide. Do not recommend treatment or invent probabilities. Case: [PASTE SYNTHETIC CASE]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Structured hypotheses and uncertainty map</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Check urgent red flags, primary evidence, local protocol and patient context; clinician owns diagnosis and disposition.</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A plausible list mistaken for a diagnosis or a reason to delay escalation.</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Did the output widen attention or create noise?</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3</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Medication-reconciliation discussion</w:t>
            </w:r>
          </w:p>
        </w:tc>
      </w:tr>
    </w:tbl>
    <w:p>
      <w:r>
        <w:rPr>
          <w:i/>
          <w:color w:val="62747E"/>
        </w:rPr>
        <w:t>Surface possible medicine issues that require verification.</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Review the synthetic medication information below. Do not recommend starting, stopping or changing any medicine. Create a verification checklist covering possible duplication, interaction, allergy conflict, renal/hepatic considerations, pregnancy/lactation if relevant, indication uncertainty, adherence, OTC/supplement/traditional-medicine use, monitoring and missing name/strength/formulation/route/frequency. Separate confirmed facts, potential issues to verify and missing information. List questions for the patient and prescriber/pharmacist, plus the approved drug-information sources that must be checked. Information: [PASTE SYNTHETIC LIST]</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Verification checklist and escalation questions</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Licensed prescriber/pharmacist checks labels, formulary, renal/hepatic context and local protocol.</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Model invents an interaction or silently changes a dose.</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Which issue is a signal—and which is a verified fact?</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4</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Patient-education asset</w:t>
            </w:r>
          </w:p>
        </w:tc>
      </w:tr>
    </w:tbl>
    <w:p>
      <w:r>
        <w:rPr>
          <w:i/>
          <w:color w:val="62747E"/>
        </w:rPr>
        <w:t>Convert approved evidence into actionable plain language.</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Using only the approved source excerpt below, draft a one-page patient handout for [AUDIENCE] at class 6–8 reading level. Include a short title, five practical actions, medicine-taking reminders without products or doses, monitoring, routine follow-up, three urgent red flags, three teach-back questions, source, review date, reviewer placeholder and AI-assistance disclosure. Mark unsupported statements [REVIEW]. Provide a draft Hindi version, marking medical terms for bilingual professional review. Do not invent statistics, guarantees or clinical advice outside the source. Source: [PASTE APPROVED SOURCE]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Plain-language handout with red flags and teach-back</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Clinical meaning, translation, accessibility, source, version and reviewer approval.</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Unsafe simplification, mistranslation or an unsupported promise.</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Can the patient act safely—and is routine advice separated from urgent action?</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5</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Redesigning an unhelpful clinical alert</w:t>
            </w:r>
          </w:p>
        </w:tc>
      </w:tr>
    </w:tbl>
    <w:p>
      <w:r>
        <w:rPr>
          <w:i/>
          <w:color w:val="62747E"/>
        </w:rPr>
        <w:t>Apply the SepsisLab design lesson to a synthetic alert.</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Evaluate the synthetic alert below without making a patient-specific treatment recommendation. Analyse timeliness, false-positive burden, false-negative risk, explanation, uncertainty, actionability, workflow interruption, override, escalation and audit trail. Redesign it to show what changed, why it appeared, current uncertainty, information that could reduce uncertainty, required professional review, override/documentation path, pilot metrics and stop criteria. Alert: [PASTE SYNTHETIC ALERT]</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Before/after alert specification and pilot measures</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Clinical governance approves intended use, escalation, thresholds and monitoring.</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A more attractive alert that still arrives late or triggers unowned action.</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Does the redesign help before the decision—or simply explain after it?</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6</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Ambient-scribe pilot plan</w:t>
            </w:r>
          </w:p>
        </w:tc>
      </w:tr>
    </w:tbl>
    <w:p>
      <w:r>
        <w:rPr>
          <w:i/>
          <w:color w:val="62747E"/>
        </w:rPr>
        <w:t>Design a controlled implementation with quality assurance.</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Design a six-week controlled ambient-scribe pilot. Include intended and excluded uses; patient notice/consent; minimum necessary data; clinician and scribe-reviewer responsibilities; note sampling; error taxonomy; hallucination and omission monitoring; patient-experience, clinician-time and after-hours documentation measures; safety escalation; rollback; stop criteria; and final continue/redesign/stop decision. Do not assume time saving proves safety.</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Six-week pilot charter and measurement plan</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Privacy, clinical governance, IT/security and accountable service owner approve the pilot.</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Plug-and-play rollout without consent, sampling or stop rules.</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Who reviews the reviewer—and what error stops the pilot?</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7</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Pharma medical-information and safety triage</w:t>
            </w:r>
          </w:p>
        </w:tc>
      </w:tr>
    </w:tbl>
    <w:p>
      <w:r>
        <w:rPr>
          <w:i/>
          <w:color w:val="62747E"/>
        </w:rPr>
        <w:t>Separate scientific response, off-label handling and immediate safety escalation.</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Analyse the synthetic medical-information interaction. Create: the exact unsolicited scientific question; minimum information needed; approved sources; a neutral response outline; statements requiring medical/legal/regulatory review; possible off-label elements requiring medical-information handling; possible adverse-event or product-quality information requiring immediate escalation; follow-up commitments; and documentation requirements. Do not create promotional claims, assess causality, minimise an event or delay escalation. Interaction: [PASTE SYNTHETIC INTERACTION]</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Neutral inquiry plan plus explicit safety/PQC escalation flags</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Medical information, pharmacovigilance and MLR follow the approved SOP; safety escalation is immediate.</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A polished response that misses or delays an adverse-event report.</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Which part belongs to medical information, PV, product quality or MLR?</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8</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Explainable-AI vendor evaluation</w:t>
            </w:r>
          </w:p>
        </w:tc>
      </w:tr>
    </w:tbl>
    <w:p>
      <w:r>
        <w:rPr>
          <w:i/>
          <w:color w:val="62747E"/>
        </w:rPr>
        <w:t>Turn marketing claims into an auditable due-diligence conversation.</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Evaluate the medical-AI product description. Build a due-diligence table for intended use/user, target population, setting, validation population and comparator, sensitivity/specificity, false positives/negatives, subgroup performance, external validation, explainability method and clinical meaning, workflow integration, override, audit trail, data location/retention, jurisdiction-specific regulatory status, evidence gaps, India applicability, vendor questions, reasons to pilot and reasons not to pilot. Do not infer approval or effectiveness from marketing language. Description: [PASTE]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Vendor-question list and pilot/no-pilot rationale</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Clinical, regulatory, privacy, security and procurement reviewers verify original evidence and status.</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Decorative heatmaps treated as proof of correctness.</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Is the explanation clinically meaningful or merely persuasive?</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9</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Socratic medical teaching</w:t>
            </w:r>
          </w:p>
        </w:tc>
      </w:tr>
    </w:tbl>
    <w:p>
      <w:r>
        <w:rPr>
          <w:i/>
          <w:color w:val="62747E"/>
        </w:rPr>
        <w:t>Use AI to strengthen reasoning rather than reveal an answer immediately.</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Act as a Socratic facilitator for the synthetic case. Do not reveal the answer immediately. Ask the learner to create a problem representation; propose common, dangerous and alternative hypotheses; identify evidence for/against; identify missing information and urgency; challenge one assumption; introduce one verified source; ask the learner to revise; then provide feedback with a transparent rubric and identify unsupported AI-generated information. Case: [PASTE]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Staged questions, revised reasoning and rubric feedback</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Faculty verifies content and preserves learner effort, dialogue and originality.</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Instant answers reduce productive struggle and create look-alike submissions.</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Did the AI promote reasoning or replace it?</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10</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Professional projection</w:t>
            </w:r>
          </w:p>
        </w:tc>
      </w:tr>
    </w:tbl>
    <w:p>
      <w:r>
        <w:rPr>
          <w:i/>
          <w:color w:val="62747E"/>
        </w:rPr>
        <w:t>Draft a credible evidence-based professional post with visible boundaries.</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Using only the approved evidence below, draft a 150–200 word professional post for [DOCTOR / MEDICAL-AFFAIRS PROFESSIONAL] to [EDUCATE PATIENTS / EDUCATE PEERS / DISCUSS AN EVIDENCE GAP]. Include one evidence-based message, one practical implication, one limitation, a visible source, AI-assistance disclosure and an invitation to professional discussion—not individual treatment advice. Do not add product promotion, off-label claims, exaggerated certainty or authority beyond the stated role. Evidence: [PASTE]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Concise, sourced and bounded professional post</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Clinical/MLR review, citation, disclosure, version owner and publication approval.</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Authority signalling, promotion or advice without patient context.</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Does the post prove usefulness before claiming authority?</w:t>
            </w:r>
          </w:p>
        </w:tc>
      </w:tr>
    </w:tbl>
    <w:p>
      <w:pPr>
        <w:spacing w:after="0"/>
      </w:pPr>
    </w:p>
    <w:p>
      <w:r>
        <w:br w:type="page"/>
      </w: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11</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32"/>
              </w:rPr>
              <w:t>Rapid evidence map</w:t>
            </w:r>
          </w:p>
        </w:tc>
      </w:tr>
    </w:tbl>
    <w:p>
      <w:r>
        <w:rPr>
          <w:i/>
          <w:color w:val="62747E"/>
        </w:rPr>
        <w:t>Create a reproducible starting map without fabricating citations.</w:t>
      </w:r>
    </w:p>
    <w:tbl>
      <w:tblPr>
        <w:tblW w:type="auto" w:w="0"/>
        <w:tblLook w:firstColumn="1" w:firstRow="1" w:lastColumn="0" w:lastRow="0" w:noHBand="0" w:noVBand="1" w:val="04A0"/>
      </w:tblPr>
      <w:tblGrid>
        <w:gridCol w:w="9922"/>
      </w:tblGrid>
      <w:tr>
        <w:tc>
          <w:tcPr>
            <w:tcW w:type="dxa" w:w="9922"/>
            <w:shd w:fill="0B2438"/>
            <w:tcMar>
              <w:top w:w="190" w:type="dxa"/>
              <w:start w:w="220" w:type="dxa"/>
              <w:bottom w:w="190" w:type="dxa"/>
              <w:end w:w="220" w:type="dxa"/>
            </w:tcMar>
          </w:tcPr>
          <w:p>
            <w:r>
              <w:rPr>
                <w:rFonts w:ascii="Aptos" w:hAnsi="Aptos"/>
                <w:color w:val="FFFFFF"/>
                <w:sz w:val="17"/>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Convert the question into a transparent rapid-research workflow. Produce PICO; concepts and synonyms; a draft PubMed Boolean query; inclusion and exclusion criteria; evidence-extraction fields; citation-verification checklist; bias/applicability questions; uncertainty log; and a statement of what this rapid review cannot conclude. Do not invent citations. Label every citation [UNVERIFIED] until located in PubMed, a registry or the original publication. Question: [PASTE]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5"/>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5"/>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5"/>
              </w:rPr>
              <w:t>Failure mode</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5"/>
              </w:rPr>
              <w:t>Search strategy, extraction frame and uncertainty log</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5"/>
              </w:rPr>
              <w:t>Every citation and extracted field is verified in the original source; methods and limitations are documented.</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5"/>
              </w:rPr>
              <w:t>A fluent synthesis with fabricated or mischaracterised studies.</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DEBRIEF QUESTION</w:t>
            </w:r>
          </w:p>
          <w:p>
            <w:pPr>
              <w:spacing w:after="0"/>
            </w:pPr>
            <w:r>
              <w:rPr>
                <w:rFonts w:ascii="Aptos" w:hAnsi="Aptos"/>
                <w:color w:val="18313F"/>
                <w:sz w:val="19"/>
              </w:rPr>
              <w:t>Which evidence was actually verified—and why is this not a systematic review?</w:t>
            </w:r>
          </w:p>
        </w:tc>
      </w:tr>
    </w:tbl>
    <w:p>
      <w:pPr>
        <w:spacing w:after="0"/>
      </w:pPr>
    </w:p>
    <w:p>
      <w:r>
        <w:br w:type="page"/>
      </w:r>
    </w:p>
    <w:p>
      <w:pPr>
        <w:pStyle w:val="Heading1"/>
      </w:pPr>
      <w:r>
        <w:t>Part IV — Medical tool and implementation toolkit</w:t>
      </w:r>
    </w:p>
    <w:tbl>
      <w:tblPr>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1361"/>
            <w:tcMar>
              <w:top w:w="100" w:type="dxa"/>
              <w:start w:w="130" w:type="dxa"/>
              <w:bottom w:w="100" w:type="dxa"/>
              <w:end w:w="130" w:type="dxa"/>
            </w:tcMar>
            <w:vAlign w:val="center"/>
            <w:shd w:fill="0B6E69"/>
          </w:tcPr>
          <w:p>
            <w:pPr>
              <w:spacing w:after="0"/>
              <w:jc w:val="center"/>
            </w:pPr>
            <w:r/>
            <w:r>
              <w:rPr>
                <w:rFonts w:ascii="Aptos" w:hAnsi="Aptos"/>
                <w:b/>
                <w:color w:val="FFFFFF"/>
                <w:sz w:val="13"/>
              </w:rPr>
              <w:t>Tool</w:t>
            </w:r>
          </w:p>
        </w:tc>
        <w:tc>
          <w:tcPr>
            <w:tcW w:type="dxa" w:w="1361"/>
            <w:tcMar>
              <w:top w:w="100" w:type="dxa"/>
              <w:start w:w="130" w:type="dxa"/>
              <w:bottom w:w="100" w:type="dxa"/>
              <w:end w:w="130" w:type="dxa"/>
            </w:tcMar>
            <w:vAlign w:val="center"/>
            <w:shd w:fill="0B6E69"/>
          </w:tcPr>
          <w:p>
            <w:pPr>
              <w:spacing w:after="0"/>
              <w:jc w:val="center"/>
            </w:pPr>
            <w:r/>
            <w:r>
              <w:rPr>
                <w:rFonts w:ascii="Aptos" w:hAnsi="Aptos"/>
                <w:b/>
                <w:color w:val="FFFFFF"/>
                <w:sz w:val="13"/>
              </w:rPr>
              <w:t>Category</w:t>
            </w:r>
          </w:p>
        </w:tc>
        <w:tc>
          <w:tcPr>
            <w:tcW w:type="dxa" w:w="1474"/>
            <w:tcMar>
              <w:top w:w="100" w:type="dxa"/>
              <w:start w:w="130" w:type="dxa"/>
              <w:bottom w:w="100" w:type="dxa"/>
              <w:end w:w="130" w:type="dxa"/>
            </w:tcMar>
            <w:vAlign w:val="center"/>
            <w:shd w:fill="0B6E69"/>
          </w:tcPr>
          <w:p>
            <w:pPr>
              <w:spacing w:after="0"/>
              <w:jc w:val="center"/>
            </w:pPr>
            <w:r/>
            <w:r>
              <w:rPr>
                <w:rFonts w:ascii="Aptos" w:hAnsi="Aptos"/>
                <w:b/>
                <w:color w:val="FFFFFF"/>
                <w:sz w:val="13"/>
              </w:rPr>
              <w:t>Access</w:t>
            </w:r>
          </w:p>
        </w:tc>
        <w:tc>
          <w:tcPr>
            <w:tcW w:type="dxa" w:w="1928"/>
            <w:tcMar>
              <w:top w:w="100" w:type="dxa"/>
              <w:start w:w="130" w:type="dxa"/>
              <w:bottom w:w="100" w:type="dxa"/>
              <w:end w:w="130" w:type="dxa"/>
            </w:tcMar>
            <w:vAlign w:val="center"/>
            <w:shd w:fill="0B6E69"/>
          </w:tcPr>
          <w:p>
            <w:pPr>
              <w:spacing w:after="0"/>
              <w:jc w:val="center"/>
            </w:pPr>
            <w:r/>
            <w:r>
              <w:rPr>
                <w:rFonts w:ascii="Aptos" w:hAnsi="Aptos"/>
                <w:b/>
                <w:color w:val="FFFFFF"/>
                <w:sz w:val="13"/>
              </w:rPr>
              <w:t>India note</w:t>
            </w:r>
          </w:p>
        </w:tc>
        <w:tc>
          <w:tcPr>
            <w:tcW w:type="dxa" w:w="1984"/>
            <w:tcMar>
              <w:top w:w="100" w:type="dxa"/>
              <w:start w:w="130" w:type="dxa"/>
              <w:bottom w:w="100" w:type="dxa"/>
              <w:end w:w="130" w:type="dxa"/>
            </w:tcMar>
            <w:vAlign w:val="center"/>
            <w:shd w:fill="0B6E69"/>
          </w:tcPr>
          <w:p>
            <w:pPr>
              <w:spacing w:after="0"/>
              <w:jc w:val="center"/>
            </w:pPr>
            <w:r/>
            <w:r>
              <w:rPr>
                <w:rFonts w:ascii="Aptos" w:hAnsi="Aptos"/>
                <w:b/>
                <w:color w:val="FFFFFF"/>
                <w:sz w:val="13"/>
              </w:rPr>
              <w:t>Official/demo URL</w:t>
            </w:r>
          </w:p>
        </w:tc>
        <w:tc>
          <w:tcPr>
            <w:tcW w:type="dxa" w:w="1417"/>
            <w:tcMar>
              <w:top w:w="100" w:type="dxa"/>
              <w:start w:w="130" w:type="dxa"/>
              <w:bottom w:w="100" w:type="dxa"/>
              <w:end w:w="130" w:type="dxa"/>
            </w:tcMar>
            <w:vAlign w:val="center"/>
            <w:shd w:fill="0B6E69"/>
          </w:tcPr>
          <w:p>
            <w:pPr>
              <w:spacing w:after="0"/>
              <w:jc w:val="center"/>
            </w:pPr>
            <w:r/>
            <w:r>
              <w:rPr>
                <w:rFonts w:ascii="Aptos" w:hAnsi="Aptos"/>
                <w:b/>
                <w:color w:val="FFFFFF"/>
                <w:sz w:val="13"/>
              </w:rPr>
              <w:t>Privacy / data checkpoint</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Heidi Health</w:t>
            </w:r>
          </w:p>
        </w:tc>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Ambient documentation</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3"/>
              </w:rPr>
              <w:t>Free tier + paid</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3"/>
              </w:rPr>
              <w:t>Accessible; confirm institutional approval</w:t>
            </w:r>
          </w:p>
        </w:tc>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3"/>
              </w:rPr>
              <w:t>https://scribe.heidihealth.com/</w:t>
            </w:r>
          </w:p>
        </w:tc>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3"/>
              </w:rPr>
              <w:t>Consent, retention, hosting and institutional DPA must be checked before clinical use</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Nabla</w:t>
            </w:r>
          </w:p>
        </w:tc>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Ambient documentation</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3"/>
              </w:rPr>
              <w:t>Free trial / paid enterprise</w:t>
            </w:r>
          </w:p>
        </w:tc>
        <w:tc>
          <w:tcPr>
            <w:tcW w:type="dxa" w:w="1928"/>
            <w:tcMar>
              <w:top w:w="100" w:type="dxa"/>
              <w:start w:w="130" w:type="dxa"/>
              <w:bottom w:w="100" w:type="dxa"/>
              <w:end w:w="130" w:type="dxa"/>
            </w:tcMar>
            <w:vAlign w:val="center"/>
            <w:shd w:fill="FFFFFF"/>
          </w:tcPr>
          <w:p>
            <w:pPr>
              <w:spacing w:after="0"/>
            </w:pPr>
            <w:r/>
            <w:r>
              <w:rPr>
                <w:rFonts w:ascii="Aptos" w:hAnsi="Aptos"/>
                <w:b w:val="0"/>
                <w:color w:val="18313F"/>
                <w:sz w:val="13"/>
              </w:rPr>
              <w:t>Web access possible; confirm regional contracting and data location</w:t>
            </w:r>
          </w:p>
        </w:tc>
        <w:tc>
          <w:tcPr>
            <w:tcW w:type="dxa" w:w="1984"/>
            <w:tcMar>
              <w:top w:w="100" w:type="dxa"/>
              <w:start w:w="130" w:type="dxa"/>
              <w:bottom w:w="100" w:type="dxa"/>
              <w:end w:w="130" w:type="dxa"/>
            </w:tcMar>
            <w:vAlign w:val="center"/>
            <w:shd w:fill="FFFFFF"/>
          </w:tcPr>
          <w:p>
            <w:pPr>
              <w:spacing w:after="0"/>
            </w:pPr>
            <w:r/>
            <w:r>
              <w:rPr>
                <w:rFonts w:ascii="Aptos" w:hAnsi="Aptos"/>
                <w:b w:val="0"/>
                <w:color w:val="18313F"/>
                <w:sz w:val="13"/>
              </w:rPr>
              <w:t>https://app.nabla.com/</w:t>
            </w:r>
          </w:p>
        </w:tc>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3"/>
              </w:rPr>
              <w:t>Requires consent, DPA, retention and EHR governance review</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Abridge</w:t>
            </w:r>
          </w:p>
        </w:tc>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Ambient documentation</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3"/>
              </w:rPr>
              <w:t>Paid enterprise / request demo</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3"/>
              </w:rPr>
              <w:t>No public India self-serve path identified</w:t>
            </w:r>
          </w:p>
        </w:tc>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3"/>
              </w:rPr>
              <w:t>https://www.abridge.com/product</w:t>
            </w:r>
          </w:p>
        </w:tc>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3"/>
              </w:rPr>
              <w:t>Enterprise security, EHR integration and contracting required</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Medscape AI</w:t>
            </w:r>
          </w:p>
        </w:tc>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Clinical evidence</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3"/>
              </w:rPr>
              <w:t>Free for registered users</w:t>
            </w:r>
          </w:p>
        </w:tc>
        <w:tc>
          <w:tcPr>
            <w:tcW w:type="dxa" w:w="1928"/>
            <w:tcMar>
              <w:top w:w="100" w:type="dxa"/>
              <w:start w:w="130" w:type="dxa"/>
              <w:bottom w:w="100" w:type="dxa"/>
              <w:end w:w="130" w:type="dxa"/>
            </w:tcMar>
            <w:vAlign w:val="center"/>
            <w:shd w:fill="FFFFFF"/>
          </w:tcPr>
          <w:p>
            <w:pPr>
              <w:spacing w:after="0"/>
            </w:pPr>
            <w:r/>
            <w:r>
              <w:rPr>
                <w:rFonts w:ascii="Aptos" w:hAnsi="Aptos"/>
                <w:b w:val="0"/>
                <w:color w:val="18313F"/>
                <w:sz w:val="13"/>
              </w:rPr>
              <w:t>Generally accessible to registered users; confirm account access</w:t>
            </w:r>
          </w:p>
        </w:tc>
        <w:tc>
          <w:tcPr>
            <w:tcW w:type="dxa" w:w="1984"/>
            <w:tcMar>
              <w:top w:w="100" w:type="dxa"/>
              <w:start w:w="130" w:type="dxa"/>
              <w:bottom w:w="100" w:type="dxa"/>
              <w:end w:w="130" w:type="dxa"/>
            </w:tcMar>
            <w:vAlign w:val="center"/>
            <w:shd w:fill="FFFFFF"/>
          </w:tcPr>
          <w:p>
            <w:pPr>
              <w:spacing w:after="0"/>
            </w:pPr>
            <w:r/>
            <w:r>
              <w:rPr>
                <w:rFonts w:ascii="Aptos" w:hAnsi="Aptos"/>
                <w:b w:val="0"/>
                <w:color w:val="18313F"/>
                <w:sz w:val="13"/>
              </w:rPr>
              <w:t>https://www.medscape.com/sites/public/medscape-ai</w:t>
            </w:r>
          </w:p>
        </w:tc>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3"/>
              </w:rPr>
              <w:t>Use de-identified questions; do not treat as patient record system</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ClinicalKey AI</w:t>
            </w:r>
          </w:p>
        </w:tc>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Clinical evidence</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3"/>
              </w:rPr>
              <w:t>Paid institutional / request demo</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3"/>
              </w:rPr>
              <w:t>Available through institutional procurement</w:t>
            </w:r>
          </w:p>
        </w:tc>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3"/>
              </w:rPr>
              <w:t>https://www.elsevier.com/products/clinicalkey/clinicalkey-ai/request-demo</w:t>
            </w:r>
          </w:p>
        </w:tc>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3"/>
              </w:rPr>
              <w:t>Institutional access and governance; avoid identifiable patient data unless approved</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VisualDx</w:t>
            </w:r>
          </w:p>
        </w:tc>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Clinical decision support</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3"/>
              </w:rPr>
              <w:t>Paid + trial / institutional</w:t>
            </w:r>
          </w:p>
        </w:tc>
        <w:tc>
          <w:tcPr>
            <w:tcW w:type="dxa" w:w="1928"/>
            <w:tcMar>
              <w:top w:w="100" w:type="dxa"/>
              <w:start w:w="130" w:type="dxa"/>
              <w:bottom w:w="100" w:type="dxa"/>
              <w:end w:w="130" w:type="dxa"/>
            </w:tcMar>
            <w:vAlign w:val="center"/>
            <w:shd w:fill="FFFFFF"/>
          </w:tcPr>
          <w:p>
            <w:pPr>
              <w:spacing w:after="0"/>
            </w:pPr>
            <w:r/>
            <w:r>
              <w:rPr>
                <w:rFonts w:ascii="Aptos" w:hAnsi="Aptos"/>
                <w:b w:val="0"/>
                <w:color w:val="18313F"/>
                <w:sz w:val="13"/>
              </w:rPr>
              <w:t>Accessible; institutional access may be required</w:t>
            </w:r>
          </w:p>
        </w:tc>
        <w:tc>
          <w:tcPr>
            <w:tcW w:type="dxa" w:w="1984"/>
            <w:tcMar>
              <w:top w:w="100" w:type="dxa"/>
              <w:start w:w="130" w:type="dxa"/>
              <w:bottom w:w="100" w:type="dxa"/>
              <w:end w:w="130" w:type="dxa"/>
            </w:tcMar>
            <w:vAlign w:val="center"/>
            <w:shd w:fill="FFFFFF"/>
          </w:tcPr>
          <w:p>
            <w:pPr>
              <w:spacing w:after="0"/>
            </w:pPr>
            <w:r/>
            <w:r>
              <w:rPr>
                <w:rFonts w:ascii="Aptos" w:hAnsi="Aptos"/>
                <w:b w:val="0"/>
                <w:color w:val="18313F"/>
                <w:sz w:val="13"/>
              </w:rPr>
              <w:t>https://www.visualdx.com/</w:t>
            </w:r>
          </w:p>
        </w:tc>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3"/>
              </w:rPr>
              <w:t>Images require consent, de-identification and organisational controls</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DxGPT</w:t>
            </w:r>
          </w:p>
        </w:tc>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Differential diagnosis</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3"/>
              </w:rPr>
              <w:t>Free</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3"/>
              </w:rPr>
              <w:t>Accessible globally</w:t>
            </w:r>
          </w:p>
        </w:tc>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3"/>
              </w:rPr>
              <w:t>https://dxgpt.app/</w:t>
            </w:r>
          </w:p>
        </w:tc>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3"/>
              </w:rPr>
              <w:t>Vendor states encryption and anonymisation; still avoid identifiable workshop data</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iatroX</w:t>
            </w:r>
          </w:p>
        </w:tc>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Clinical learning and reasoning</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3"/>
              </w:rPr>
              <w:t>Free; verify current scope</w:t>
            </w:r>
          </w:p>
        </w:tc>
        <w:tc>
          <w:tcPr>
            <w:tcW w:type="dxa" w:w="1928"/>
            <w:tcMar>
              <w:top w:w="100" w:type="dxa"/>
              <w:start w:w="130" w:type="dxa"/>
              <w:bottom w:w="100" w:type="dxa"/>
              <w:end w:w="130" w:type="dxa"/>
            </w:tcMar>
            <w:vAlign w:val="center"/>
            <w:shd w:fill="FFFFFF"/>
          </w:tcPr>
          <w:p>
            <w:pPr>
              <w:spacing w:after="0"/>
            </w:pPr>
            <w:r/>
            <w:r>
              <w:rPr>
                <w:rFonts w:ascii="Aptos" w:hAnsi="Aptos"/>
                <w:b w:val="0"/>
                <w:color w:val="18313F"/>
                <w:sz w:val="13"/>
              </w:rPr>
              <w:t>Accessible</w:t>
            </w:r>
          </w:p>
        </w:tc>
        <w:tc>
          <w:tcPr>
            <w:tcW w:type="dxa" w:w="1984"/>
            <w:tcMar>
              <w:top w:w="100" w:type="dxa"/>
              <w:start w:w="130" w:type="dxa"/>
              <w:bottom w:w="100" w:type="dxa"/>
              <w:end w:w="130" w:type="dxa"/>
            </w:tcMar>
            <w:vAlign w:val="center"/>
            <w:shd w:fill="FFFFFF"/>
          </w:tcPr>
          <w:p>
            <w:pPr>
              <w:spacing w:after="0"/>
            </w:pPr>
            <w:r/>
            <w:r>
              <w:rPr>
                <w:rFonts w:ascii="Aptos" w:hAnsi="Aptos"/>
                <w:b w:val="0"/>
                <w:color w:val="18313F"/>
                <w:sz w:val="13"/>
              </w:rPr>
              <w:t>https://iatrox.com/</w:t>
            </w:r>
          </w:p>
        </w:tc>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3"/>
              </w:rPr>
              <w:t>Use de-identified or synthetic cases</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MDCalc</w:t>
            </w:r>
          </w:p>
        </w:tc>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Clinical calculators</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3"/>
              </w:rPr>
              <w:t>Free core access</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3"/>
              </w:rPr>
              <w:t>Accessible</w:t>
            </w:r>
          </w:p>
        </w:tc>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3"/>
              </w:rPr>
              <w:t>https://www.mdcalc.com/</w:t>
            </w:r>
          </w:p>
        </w:tc>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3"/>
              </w:rPr>
              <w:t>Do not store identifiers; verify inputs and applicability</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Epocrates</w:t>
            </w:r>
          </w:p>
        </w:tc>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Drug information</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3"/>
              </w:rPr>
              <w:t>Free core + paid premium</w:t>
            </w:r>
          </w:p>
        </w:tc>
        <w:tc>
          <w:tcPr>
            <w:tcW w:type="dxa" w:w="1928"/>
            <w:tcMar>
              <w:top w:w="100" w:type="dxa"/>
              <w:start w:w="130" w:type="dxa"/>
              <w:bottom w:w="100" w:type="dxa"/>
              <w:end w:w="130" w:type="dxa"/>
            </w:tcMar>
            <w:vAlign w:val="center"/>
            <w:shd w:fill="FFFFFF"/>
          </w:tcPr>
          <w:p>
            <w:pPr>
              <w:spacing w:after="0"/>
            </w:pPr>
            <w:r/>
            <w:r>
              <w:rPr>
                <w:rFonts w:ascii="Aptos" w:hAnsi="Aptos"/>
                <w:b w:val="0"/>
                <w:color w:val="18313F"/>
                <w:sz w:val="13"/>
              </w:rPr>
              <w:t>Accessible; content may be US-oriented</w:t>
            </w:r>
          </w:p>
        </w:tc>
        <w:tc>
          <w:tcPr>
            <w:tcW w:type="dxa" w:w="1984"/>
            <w:tcMar>
              <w:top w:w="100" w:type="dxa"/>
              <w:start w:w="130" w:type="dxa"/>
              <w:bottom w:w="100" w:type="dxa"/>
              <w:end w:w="130" w:type="dxa"/>
            </w:tcMar>
            <w:vAlign w:val="center"/>
            <w:shd w:fill="FFFFFF"/>
          </w:tcPr>
          <w:p>
            <w:pPr>
              <w:spacing w:after="0"/>
            </w:pPr>
            <w:r/>
            <w:r>
              <w:rPr>
                <w:rFonts w:ascii="Aptos" w:hAnsi="Aptos"/>
                <w:b w:val="0"/>
                <w:color w:val="18313F"/>
                <w:sz w:val="13"/>
              </w:rPr>
              <w:t>https://www.epocrates.com/</w:t>
            </w:r>
          </w:p>
        </w:tc>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3"/>
              </w:rPr>
              <w:t>Reference use; verify local brands, approvals and protocols</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ChatGPT</w:t>
            </w:r>
          </w:p>
        </w:tc>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General AI assistant</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3"/>
              </w:rPr>
              <w:t>Free tier + paid</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3"/>
              </w:rPr>
              <w:t>Accessible</w:t>
            </w:r>
          </w:p>
        </w:tc>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3"/>
              </w:rPr>
              <w:t>https://chatgpt.com/</w:t>
            </w:r>
          </w:p>
        </w:tc>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3"/>
              </w:rPr>
              <w:t>Never paste identifiable clinical data into public/general accounts; use approved enterprise controls</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Canva Magic Studio</w:t>
            </w:r>
          </w:p>
        </w:tc>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Professional communication</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3"/>
              </w:rPr>
              <w:t>Free tier + paid</w:t>
            </w:r>
          </w:p>
        </w:tc>
        <w:tc>
          <w:tcPr>
            <w:tcW w:type="dxa" w:w="1928"/>
            <w:tcMar>
              <w:top w:w="100" w:type="dxa"/>
              <w:start w:w="130" w:type="dxa"/>
              <w:bottom w:w="100" w:type="dxa"/>
              <w:end w:w="130" w:type="dxa"/>
            </w:tcMar>
            <w:vAlign w:val="center"/>
            <w:shd w:fill="FFFFFF"/>
          </w:tcPr>
          <w:p>
            <w:pPr>
              <w:spacing w:after="0"/>
            </w:pPr>
            <w:r/>
            <w:r>
              <w:rPr>
                <w:rFonts w:ascii="Aptos" w:hAnsi="Aptos"/>
                <w:b w:val="0"/>
                <w:color w:val="18313F"/>
                <w:sz w:val="13"/>
              </w:rPr>
              <w:t>Accessible</w:t>
            </w:r>
          </w:p>
        </w:tc>
        <w:tc>
          <w:tcPr>
            <w:tcW w:type="dxa" w:w="1984"/>
            <w:tcMar>
              <w:top w:w="100" w:type="dxa"/>
              <w:start w:w="130" w:type="dxa"/>
              <w:bottom w:w="100" w:type="dxa"/>
              <w:end w:w="130" w:type="dxa"/>
            </w:tcMar>
            <w:vAlign w:val="center"/>
            <w:shd w:fill="FFFFFF"/>
          </w:tcPr>
          <w:p>
            <w:pPr>
              <w:spacing w:after="0"/>
            </w:pPr>
            <w:r/>
            <w:r>
              <w:rPr>
                <w:rFonts w:ascii="Aptos" w:hAnsi="Aptos"/>
                <w:b w:val="0"/>
                <w:color w:val="18313F"/>
                <w:sz w:val="13"/>
              </w:rPr>
              <w:t>https://www.canva.com/magic-studio/</w:t>
            </w:r>
          </w:p>
        </w:tc>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3"/>
              </w:rPr>
              <w:t>Use approved assets; no patient images/data without consent; review generated medical content</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Gamma</w:t>
            </w:r>
          </w:p>
        </w:tc>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Professional communication</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3"/>
              </w:rPr>
              <w:t>Free tier + paid</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3"/>
              </w:rPr>
              <w:t>Accessible</w:t>
            </w:r>
          </w:p>
        </w:tc>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3"/>
              </w:rPr>
              <w:t>https://gamma.app/</w:t>
            </w:r>
          </w:p>
        </w:tc>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3"/>
              </w:rPr>
              <w:t>Do not upload confidential or identifiable data; fact-check medical content</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Bhashini</w:t>
            </w:r>
          </w:p>
        </w:tc>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Language enablement</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3"/>
              </w:rPr>
              <w:t>Government platform / access varies</w:t>
            </w:r>
          </w:p>
        </w:tc>
        <w:tc>
          <w:tcPr>
            <w:tcW w:type="dxa" w:w="1928"/>
            <w:tcMar>
              <w:top w:w="100" w:type="dxa"/>
              <w:start w:w="130" w:type="dxa"/>
              <w:bottom w:w="100" w:type="dxa"/>
              <w:end w:w="130" w:type="dxa"/>
            </w:tcMar>
            <w:vAlign w:val="center"/>
            <w:shd w:fill="FFFFFF"/>
          </w:tcPr>
          <w:p>
            <w:pPr>
              <w:spacing w:after="0"/>
            </w:pPr>
            <w:r/>
            <w:r>
              <w:rPr>
                <w:rFonts w:ascii="Aptos" w:hAnsi="Aptos"/>
                <w:b w:val="0"/>
                <w:color w:val="18313F"/>
                <w:sz w:val="13"/>
              </w:rPr>
              <w:t>India-specific</w:t>
            </w:r>
          </w:p>
        </w:tc>
        <w:tc>
          <w:tcPr>
            <w:tcW w:type="dxa" w:w="1984"/>
            <w:tcMar>
              <w:top w:w="100" w:type="dxa"/>
              <w:start w:w="130" w:type="dxa"/>
              <w:bottom w:w="100" w:type="dxa"/>
              <w:end w:w="130" w:type="dxa"/>
            </w:tcMar>
            <w:vAlign w:val="center"/>
            <w:shd w:fill="FFFFFF"/>
          </w:tcPr>
          <w:p>
            <w:pPr>
              <w:spacing w:after="0"/>
            </w:pPr>
            <w:r/>
            <w:r>
              <w:rPr>
                <w:rFonts w:ascii="Aptos" w:hAnsi="Aptos"/>
                <w:b w:val="0"/>
                <w:color w:val="18313F"/>
                <w:sz w:val="13"/>
              </w:rPr>
              <w:t>https://bhashini.gov.in/ulca/model/explore-models</w:t>
            </w:r>
          </w:p>
        </w:tc>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3"/>
              </w:rPr>
              <w:t>Do not send clinical identifiers without approved architecture</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PubMed</w:t>
            </w:r>
          </w:p>
        </w:tc>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Literature search</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3"/>
              </w:rPr>
              <w:t>Free</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3"/>
              </w:rPr>
              <w:t>Accessible</w:t>
            </w:r>
          </w:p>
        </w:tc>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3"/>
              </w:rPr>
              <w:t>https://learn.nlm.nih.gov/documentation/training-packets/T0042010P/</w:t>
            </w:r>
          </w:p>
        </w:tc>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3"/>
              </w:rPr>
              <w:t>Search tool; do not paste identifiable clinical narratives</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Elicit</w:t>
            </w:r>
          </w:p>
        </w:tc>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Research synthesis</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3"/>
              </w:rPr>
              <w:t>Free tier + paid</w:t>
            </w:r>
          </w:p>
        </w:tc>
        <w:tc>
          <w:tcPr>
            <w:tcW w:type="dxa" w:w="1928"/>
            <w:tcMar>
              <w:top w:w="100" w:type="dxa"/>
              <w:start w:w="130" w:type="dxa"/>
              <w:bottom w:w="100" w:type="dxa"/>
              <w:end w:w="130" w:type="dxa"/>
            </w:tcMar>
            <w:vAlign w:val="center"/>
            <w:shd w:fill="FFFFFF"/>
          </w:tcPr>
          <w:p>
            <w:pPr>
              <w:spacing w:after="0"/>
            </w:pPr>
            <w:r/>
            <w:r>
              <w:rPr>
                <w:rFonts w:ascii="Aptos" w:hAnsi="Aptos"/>
                <w:b w:val="0"/>
                <w:color w:val="18313F"/>
                <w:sz w:val="13"/>
              </w:rPr>
              <w:t>Accessible</w:t>
            </w:r>
          </w:p>
        </w:tc>
        <w:tc>
          <w:tcPr>
            <w:tcW w:type="dxa" w:w="1984"/>
            <w:tcMar>
              <w:top w:w="100" w:type="dxa"/>
              <w:start w:w="130" w:type="dxa"/>
              <w:bottom w:w="100" w:type="dxa"/>
              <w:end w:w="130" w:type="dxa"/>
            </w:tcMar>
            <w:vAlign w:val="center"/>
            <w:shd w:fill="FFFFFF"/>
          </w:tcPr>
          <w:p>
            <w:pPr>
              <w:spacing w:after="0"/>
            </w:pPr>
            <w:r/>
            <w:r>
              <w:rPr>
                <w:rFonts w:ascii="Aptos" w:hAnsi="Aptos"/>
                <w:b w:val="0"/>
                <w:color w:val="18313F"/>
                <w:sz w:val="13"/>
              </w:rPr>
              <w:t>https://elicit.com/</w:t>
            </w:r>
          </w:p>
        </w:tc>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3"/>
              </w:rPr>
              <w:t>Do not upload confidential manuscripts or patient data without approval</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ResearchRabbit</w:t>
            </w:r>
          </w:p>
        </w:tc>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3"/>
              </w:rPr>
              <w:t>Research mapping</w:t>
            </w:r>
          </w:p>
        </w:tc>
        <w:tc>
          <w:tcPr>
            <w:tcW w:type="dxa" w:w="1474"/>
            <w:tcMar>
              <w:top w:w="100" w:type="dxa"/>
              <w:start w:w="130" w:type="dxa"/>
              <w:bottom w:w="100" w:type="dxa"/>
              <w:end w:w="130" w:type="dxa"/>
            </w:tcMar>
            <w:vAlign w:val="center"/>
            <w:shd w:fill="F7F4EE"/>
          </w:tcPr>
          <w:p>
            <w:pPr>
              <w:spacing w:after="0"/>
            </w:pPr>
            <w:r/>
            <w:r>
              <w:rPr>
                <w:rFonts w:ascii="Aptos" w:hAnsi="Aptos"/>
                <w:b w:val="0"/>
                <w:color w:val="18313F"/>
                <w:sz w:val="13"/>
              </w:rPr>
              <w:t>Free core access</w:t>
            </w:r>
          </w:p>
        </w:tc>
        <w:tc>
          <w:tcPr>
            <w:tcW w:type="dxa" w:w="1928"/>
            <w:tcMar>
              <w:top w:w="100" w:type="dxa"/>
              <w:start w:w="130" w:type="dxa"/>
              <w:bottom w:w="100" w:type="dxa"/>
              <w:end w:w="130" w:type="dxa"/>
            </w:tcMar>
            <w:vAlign w:val="center"/>
            <w:shd w:fill="F7F4EE"/>
          </w:tcPr>
          <w:p>
            <w:pPr>
              <w:spacing w:after="0"/>
            </w:pPr>
            <w:r/>
            <w:r>
              <w:rPr>
                <w:rFonts w:ascii="Aptos" w:hAnsi="Aptos"/>
                <w:b w:val="0"/>
                <w:color w:val="18313F"/>
                <w:sz w:val="13"/>
              </w:rPr>
              <w:t>Accessible</w:t>
            </w:r>
          </w:p>
        </w:tc>
        <w:tc>
          <w:tcPr>
            <w:tcW w:type="dxa" w:w="1984"/>
            <w:tcMar>
              <w:top w:w="100" w:type="dxa"/>
              <w:start w:w="130" w:type="dxa"/>
              <w:bottom w:w="100" w:type="dxa"/>
              <w:end w:w="130" w:type="dxa"/>
            </w:tcMar>
            <w:vAlign w:val="center"/>
            <w:shd w:fill="F7F4EE"/>
          </w:tcPr>
          <w:p>
            <w:pPr>
              <w:spacing w:after="0"/>
            </w:pPr>
            <w:r/>
            <w:r>
              <w:rPr>
                <w:rFonts w:ascii="Aptos" w:hAnsi="Aptos"/>
                <w:b w:val="0"/>
                <w:color w:val="18313F"/>
                <w:sz w:val="13"/>
              </w:rPr>
              <w:t>https://www.researchrabbit.ai/</w:t>
            </w:r>
          </w:p>
        </w:tc>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3"/>
              </w:rPr>
              <w:t>Avoid confidential documents unless terms permit</w:t>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Scite</w:t>
            </w:r>
          </w:p>
        </w:tc>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3"/>
              </w:rPr>
              <w:t>Citation context</w:t>
            </w:r>
          </w:p>
        </w:tc>
        <w:tc>
          <w:tcPr>
            <w:tcW w:type="dxa" w:w="1474"/>
            <w:tcMar>
              <w:top w:w="100" w:type="dxa"/>
              <w:start w:w="130" w:type="dxa"/>
              <w:bottom w:w="100" w:type="dxa"/>
              <w:end w:w="130" w:type="dxa"/>
            </w:tcMar>
            <w:vAlign w:val="center"/>
            <w:shd w:fill="FFFFFF"/>
          </w:tcPr>
          <w:p>
            <w:pPr>
              <w:spacing w:after="0"/>
            </w:pPr>
            <w:r/>
            <w:r>
              <w:rPr>
                <w:rFonts w:ascii="Aptos" w:hAnsi="Aptos"/>
                <w:b w:val="0"/>
                <w:color w:val="18313F"/>
                <w:sz w:val="13"/>
              </w:rPr>
              <w:t>Limited free access + paid</w:t>
            </w:r>
          </w:p>
        </w:tc>
        <w:tc>
          <w:tcPr>
            <w:tcW w:type="dxa" w:w="1928"/>
            <w:tcMar>
              <w:top w:w="100" w:type="dxa"/>
              <w:start w:w="130" w:type="dxa"/>
              <w:bottom w:w="100" w:type="dxa"/>
              <w:end w:w="130" w:type="dxa"/>
            </w:tcMar>
            <w:vAlign w:val="center"/>
            <w:shd w:fill="FFFFFF"/>
          </w:tcPr>
          <w:p>
            <w:pPr>
              <w:spacing w:after="0"/>
            </w:pPr>
            <w:r/>
            <w:r>
              <w:rPr>
                <w:rFonts w:ascii="Aptos" w:hAnsi="Aptos"/>
                <w:b w:val="0"/>
                <w:color w:val="18313F"/>
                <w:sz w:val="13"/>
              </w:rPr>
              <w:t>Accessible</w:t>
            </w:r>
          </w:p>
        </w:tc>
        <w:tc>
          <w:tcPr>
            <w:tcW w:type="dxa" w:w="1984"/>
            <w:tcMar>
              <w:top w:w="100" w:type="dxa"/>
              <w:start w:w="130" w:type="dxa"/>
              <w:bottom w:w="100" w:type="dxa"/>
              <w:end w:w="130" w:type="dxa"/>
            </w:tcMar>
            <w:vAlign w:val="center"/>
            <w:shd w:fill="FFFFFF"/>
          </w:tcPr>
          <w:p>
            <w:pPr>
              <w:spacing w:after="0"/>
            </w:pPr>
            <w:r/>
            <w:r>
              <w:rPr>
                <w:rFonts w:ascii="Aptos" w:hAnsi="Aptos"/>
                <w:b w:val="0"/>
                <w:color w:val="18313F"/>
                <w:sz w:val="13"/>
              </w:rPr>
              <w:t>https://scite.ai/</w:t>
            </w:r>
          </w:p>
        </w:tc>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3"/>
              </w:rPr>
              <w:t>Avoid confidential uploads unless approved</w:t>
            </w:r>
          </w:p>
        </w:tc>
      </w:tr>
    </w:tbl>
    <w:p>
      <w:pPr>
        <w:spacing w:after="0"/>
      </w:pP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ACCESS WARNING</w:t>
            </w:r>
          </w:p>
          <w:p>
            <w:pPr>
              <w:spacing w:after="0"/>
            </w:pPr>
            <w:r>
              <w:rPr>
                <w:rFonts w:ascii="Aptos" w:hAnsi="Aptos"/>
                <w:color w:val="18313F"/>
                <w:sz w:val="19"/>
              </w:rPr>
              <w:t>Free, free-tier, paid and institutional labels describe the checked public offer; geography, verification, features, pricing and status may change. Reopen every official link before delivery.</w:t>
            </w:r>
          </w:p>
        </w:tc>
      </w:tr>
    </w:tbl>
    <w:p>
      <w:pPr>
        <w:spacing w:after="0"/>
      </w:pPr>
    </w:p>
    <w:p>
      <w:pPr>
        <w:pStyle w:val="Heading2"/>
      </w:pPr>
      <w:r>
        <w:t>POPLE tool scorecard</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417"/>
            <w:tcMar>
              <w:top w:w="100" w:type="dxa"/>
              <w:start w:w="130" w:type="dxa"/>
              <w:bottom w:w="100" w:type="dxa"/>
              <w:end w:w="130" w:type="dxa"/>
            </w:tcMar>
            <w:vAlign w:val="center"/>
            <w:shd w:fill="0B2438"/>
          </w:tcPr>
          <w:p>
            <w:pPr>
              <w:spacing w:after="0"/>
              <w:jc w:val="center"/>
            </w:pPr>
            <w:r/>
            <w:r>
              <w:rPr>
                <w:rFonts w:ascii="Aptos" w:hAnsi="Aptos"/>
                <w:b/>
                <w:color w:val="FFFFFF"/>
                <w:sz w:val="16"/>
              </w:rPr>
              <w:t>Dimension</w:t>
            </w:r>
          </w:p>
        </w:tc>
        <w:tc>
          <w:tcPr>
            <w:tcW w:type="dxa" w:w="4082"/>
            <w:tcMar>
              <w:top w:w="100" w:type="dxa"/>
              <w:start w:w="130" w:type="dxa"/>
              <w:bottom w:w="100" w:type="dxa"/>
              <w:end w:w="130" w:type="dxa"/>
            </w:tcMar>
            <w:vAlign w:val="center"/>
            <w:shd w:fill="0B2438"/>
          </w:tcPr>
          <w:p>
            <w:pPr>
              <w:spacing w:after="0"/>
              <w:jc w:val="center"/>
            </w:pPr>
            <w:r/>
            <w:r>
              <w:rPr>
                <w:rFonts w:ascii="Aptos" w:hAnsi="Aptos"/>
                <w:b/>
                <w:color w:val="FFFFFF"/>
                <w:sz w:val="16"/>
              </w:rPr>
              <w:t>Question</w:t>
            </w:r>
          </w:p>
        </w:tc>
        <w:tc>
          <w:tcPr>
            <w:tcW w:type="dxa" w:w="1191"/>
            <w:tcMar>
              <w:top w:w="100" w:type="dxa"/>
              <w:start w:w="130" w:type="dxa"/>
              <w:bottom w:w="100" w:type="dxa"/>
              <w:end w:w="130" w:type="dxa"/>
            </w:tcMar>
            <w:vAlign w:val="center"/>
            <w:shd w:fill="0B2438"/>
          </w:tcPr>
          <w:p>
            <w:pPr>
              <w:spacing w:after="0"/>
              <w:jc w:val="center"/>
            </w:pPr>
            <w:r/>
            <w:r>
              <w:rPr>
                <w:rFonts w:ascii="Aptos" w:hAnsi="Aptos"/>
                <w:b/>
                <w:color w:val="FFFFFF"/>
                <w:sz w:val="16"/>
              </w:rPr>
              <w:t>Score 1–5</w:t>
            </w:r>
          </w:p>
        </w:tc>
        <w:tc>
          <w:tcPr>
            <w:tcW w:type="dxa" w:w="2835"/>
            <w:tcMar>
              <w:top w:w="100" w:type="dxa"/>
              <w:start w:w="130" w:type="dxa"/>
              <w:bottom w:w="100" w:type="dxa"/>
              <w:end w:w="130" w:type="dxa"/>
            </w:tcMar>
            <w:vAlign w:val="center"/>
            <w:shd w:fill="0B2438"/>
          </w:tcPr>
          <w:p>
            <w:pPr>
              <w:spacing w:after="0"/>
              <w:jc w:val="center"/>
            </w:pPr>
            <w:r/>
            <w:r>
              <w:rPr>
                <w:rFonts w:ascii="Aptos" w:hAnsi="Aptos"/>
                <w:b/>
                <w:color w:val="FFFFFF"/>
                <w:sz w:val="16"/>
              </w:rPr>
              <w:t>Evidence</w:t>
            </w:r>
          </w:p>
        </w:tc>
      </w:tr>
      <w:tr>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6"/>
              </w:rPr>
              <w:t>Patient value</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Attention, understanding, access, continuity or safety?</w:t>
            </w:r>
          </w:p>
        </w:tc>
        <w:tc>
          <w:tcPr>
            <w:tcW w:type="dxa" w:w="119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835"/>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6"/>
              </w:rPr>
              <w:t>Evidence</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Can original sources and validation limits be opened?</w:t>
            </w:r>
          </w:p>
        </w:tc>
        <w:tc>
          <w:tcPr>
            <w:tcW w:type="dxa" w:w="119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835"/>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6"/>
              </w:rPr>
              <w:t>Ownership</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Who reviews, releases, escalates and audits?</w:t>
            </w:r>
          </w:p>
        </w:tc>
        <w:tc>
          <w:tcPr>
            <w:tcW w:type="dxa" w:w="119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835"/>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6"/>
              </w:rPr>
              <w:t>Privacy</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Is data minimised, consented, secured and retained appropriately?</w:t>
            </w:r>
          </w:p>
        </w:tc>
        <w:tc>
          <w:tcPr>
            <w:tcW w:type="dxa" w:w="119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835"/>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1417"/>
            <w:tcMar>
              <w:top w:w="100" w:type="dxa"/>
              <w:start w:w="130" w:type="dxa"/>
              <w:bottom w:w="100" w:type="dxa"/>
              <w:end w:w="130" w:type="dxa"/>
            </w:tcMar>
            <w:vAlign w:val="center"/>
            <w:shd w:fill="F7F4EE"/>
          </w:tcPr>
          <w:p>
            <w:pPr>
              <w:spacing w:after="0"/>
            </w:pPr>
            <w:r/>
            <w:r>
              <w:rPr>
                <w:rFonts w:ascii="Aptos" w:hAnsi="Aptos"/>
                <w:b w:val="0"/>
                <w:color w:val="18313F"/>
                <w:sz w:val="16"/>
              </w:rPr>
              <w:t>Local fit</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Does it fit India access, language, protocol and workflow?</w:t>
            </w:r>
          </w:p>
        </w:tc>
        <w:tc>
          <w:tcPr>
            <w:tcW w:type="dxa" w:w="119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835"/>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1417"/>
            <w:tcMar>
              <w:top w:w="100" w:type="dxa"/>
              <w:start w:w="130" w:type="dxa"/>
              <w:bottom w:w="100" w:type="dxa"/>
              <w:end w:w="130" w:type="dxa"/>
            </w:tcMar>
            <w:vAlign w:val="center"/>
            <w:shd w:fill="FFFFFF"/>
          </w:tcPr>
          <w:p>
            <w:pPr>
              <w:spacing w:after="0"/>
            </w:pPr>
            <w:r/>
            <w:r>
              <w:rPr>
                <w:rFonts w:ascii="Aptos" w:hAnsi="Aptos"/>
                <w:b w:val="0"/>
                <w:color w:val="18313F"/>
                <w:sz w:val="16"/>
              </w:rPr>
              <w:t>Effort</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What training, review burden, integration and cost appear?</w:t>
            </w:r>
          </w:p>
        </w:tc>
        <w:tc>
          <w:tcPr>
            <w:tcW w:type="dxa" w:w="119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835"/>
            <w:tcMar>
              <w:top w:w="100" w:type="dxa"/>
              <w:start w:w="130" w:type="dxa"/>
              <w:bottom w:w="100" w:type="dxa"/>
              <w:end w:w="130" w:type="dxa"/>
            </w:tcMar>
            <w:vAlign w:val="center"/>
            <w:shd w:fill="FFFFFF"/>
          </w:tcPr>
          <w:p>
            <w:pPr>
              <w:spacing w:after="0"/>
            </w:pPr>
            <w:r/>
            <w:r>
              <w:rPr>
                <w:rFonts w:ascii="Aptos" w:hAnsi="Aptos"/>
                <w:b w:val="0"/>
                <w:color w:val="18313F"/>
                <w:sz w:val="16"/>
              </w:rPr>
            </w:r>
          </w:p>
        </w:tc>
      </w:tr>
    </w:tbl>
    <w:p>
      <w:pPr>
        <w:spacing w:after="0"/>
      </w:pPr>
    </w:p>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AUTOMATIC GATE</w:t>
            </w:r>
          </w:p>
          <w:p>
            <w:pPr>
              <w:spacing w:after="0"/>
            </w:pPr>
            <w:r>
              <w:rPr>
                <w:rFonts w:ascii="Aptos" w:hAnsi="Aptos"/>
                <w:color w:val="18313F"/>
                <w:sz w:val="19"/>
              </w:rPr>
              <w:t>Do not advance a workflow with Ownership or Privacy below 3/5, even when its overall score is high.</w:t>
            </w:r>
          </w:p>
        </w:tc>
      </w:tr>
    </w:tbl>
    <w:p>
      <w:pPr>
        <w:spacing w:after="0"/>
      </w:pPr>
    </w:p>
    <w:p>
      <w:pPr>
        <w:pStyle w:val="Heading2"/>
      </w:pPr>
      <w:r>
        <w:t>Demo readiness checklist</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4082"/>
            <w:tcMar>
              <w:top w:w="100" w:type="dxa"/>
              <w:start w:w="130" w:type="dxa"/>
              <w:bottom w:w="100" w:type="dxa"/>
              <w:end w:w="130" w:type="dxa"/>
            </w:tcMar>
            <w:vAlign w:val="center"/>
            <w:shd w:fill="356F99"/>
          </w:tcPr>
          <w:p>
            <w:pPr>
              <w:spacing w:after="0"/>
              <w:jc w:val="center"/>
            </w:pPr>
            <w:r/>
            <w:r>
              <w:rPr>
                <w:rFonts w:ascii="Aptos" w:hAnsi="Aptos"/>
                <w:b/>
                <w:color w:val="FFFFFF"/>
                <w:sz w:val="16"/>
              </w:rPr>
              <w:t>Check</w:t>
            </w:r>
          </w:p>
        </w:tc>
        <w:tc>
          <w:tcPr>
            <w:tcW w:type="dxa" w:w="1191"/>
            <w:tcMar>
              <w:top w:w="100" w:type="dxa"/>
              <w:start w:w="130" w:type="dxa"/>
              <w:bottom w:w="100" w:type="dxa"/>
              <w:end w:w="130" w:type="dxa"/>
            </w:tcMar>
            <w:vAlign w:val="center"/>
            <w:shd w:fill="356F99"/>
          </w:tcPr>
          <w:p>
            <w:pPr>
              <w:spacing w:after="0"/>
              <w:jc w:val="center"/>
            </w:pPr>
            <w:r/>
            <w:r>
              <w:rPr>
                <w:rFonts w:ascii="Aptos" w:hAnsi="Aptos"/>
                <w:b/>
                <w:color w:val="FFFFFF"/>
                <w:sz w:val="16"/>
              </w:rPr>
              <w:t>Ready?</w:t>
            </w:r>
          </w:p>
        </w:tc>
        <w:tc>
          <w:tcPr>
            <w:tcW w:type="dxa" w:w="4252"/>
            <w:tcMar>
              <w:top w:w="100" w:type="dxa"/>
              <w:start w:w="130" w:type="dxa"/>
              <w:bottom w:w="100" w:type="dxa"/>
              <w:end w:w="130" w:type="dxa"/>
            </w:tcMar>
            <w:vAlign w:val="center"/>
            <w:shd w:fill="356F99"/>
          </w:tcPr>
          <w:p>
            <w:pPr>
              <w:spacing w:after="0"/>
              <w:jc w:val="center"/>
            </w:pPr>
            <w:r/>
            <w:r>
              <w:rPr>
                <w:rFonts w:ascii="Aptos" w:hAnsi="Aptos"/>
                <w:b/>
                <w:color w:val="FFFFFF"/>
                <w:sz w:val="16"/>
              </w:rPr>
              <w:t>Evidence / owner</w:t>
            </w:r>
          </w:p>
        </w:tc>
      </w:tr>
      <w:tr>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Official URL and demo link open</w:t>
            </w:r>
          </w:p>
        </w:tc>
        <w:tc>
          <w:tcPr>
            <w:tcW w:type="dxa" w:w="1191"/>
            <w:tcMar>
              <w:top w:w="100" w:type="dxa"/>
              <w:start w:w="130" w:type="dxa"/>
              <w:bottom w:w="100" w:type="dxa"/>
              <w:end w:w="130" w:type="dxa"/>
            </w:tcMar>
            <w:vAlign w:val="center"/>
            <w:shd w:fill="F7F4EE"/>
          </w:tcPr>
          <w:p>
            <w:pPr>
              <w:spacing w:after="0"/>
            </w:pPr>
            <w:r/>
            <w:r>
              <w:rPr>
                <w:rFonts w:ascii="Aptos" w:hAnsi="Aptos"/>
                <w:b w:val="0"/>
                <w:color w:val="18313F"/>
                <w:sz w:val="16"/>
              </w:rPr>
              <w:t>☐</w:t>
            </w:r>
          </w:p>
        </w:tc>
        <w:tc>
          <w:tcPr>
            <w:tcW w:type="dxa" w:w="4252"/>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Account, profession and region verified</w:t>
            </w:r>
          </w:p>
        </w:tc>
        <w:tc>
          <w:tcPr>
            <w:tcW w:type="dxa" w:w="1191"/>
            <w:tcMar>
              <w:top w:w="100" w:type="dxa"/>
              <w:start w:w="130" w:type="dxa"/>
              <w:bottom w:w="100" w:type="dxa"/>
              <w:end w:w="130" w:type="dxa"/>
            </w:tcMar>
            <w:vAlign w:val="center"/>
            <w:shd w:fill="FFFFFF"/>
          </w:tcPr>
          <w:p>
            <w:pPr>
              <w:spacing w:after="0"/>
            </w:pPr>
            <w:r/>
            <w:r>
              <w:rPr>
                <w:rFonts w:ascii="Aptos" w:hAnsi="Aptos"/>
                <w:b w:val="0"/>
                <w:color w:val="18313F"/>
                <w:sz w:val="16"/>
              </w:rPr>
              <w:t>☐</w:t>
            </w:r>
          </w:p>
        </w:tc>
        <w:tc>
          <w:tcPr>
            <w:tcW w:type="dxa" w:w="4252"/>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Privacy/institutional approval confirmed</w:t>
            </w:r>
          </w:p>
        </w:tc>
        <w:tc>
          <w:tcPr>
            <w:tcW w:type="dxa" w:w="1191"/>
            <w:tcMar>
              <w:top w:w="100" w:type="dxa"/>
              <w:start w:w="130" w:type="dxa"/>
              <w:bottom w:w="100" w:type="dxa"/>
              <w:end w:w="130" w:type="dxa"/>
            </w:tcMar>
            <w:vAlign w:val="center"/>
            <w:shd w:fill="F7F4EE"/>
          </w:tcPr>
          <w:p>
            <w:pPr>
              <w:spacing w:after="0"/>
            </w:pPr>
            <w:r/>
            <w:r>
              <w:rPr>
                <w:rFonts w:ascii="Aptos" w:hAnsi="Aptos"/>
                <w:b w:val="0"/>
                <w:color w:val="18313F"/>
                <w:sz w:val="16"/>
              </w:rPr>
              <w:t>☐</w:t>
            </w:r>
          </w:p>
        </w:tc>
        <w:tc>
          <w:tcPr>
            <w:tcW w:type="dxa" w:w="4252"/>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Synthetic input visibly labelled</w:t>
            </w:r>
          </w:p>
        </w:tc>
        <w:tc>
          <w:tcPr>
            <w:tcW w:type="dxa" w:w="1191"/>
            <w:tcMar>
              <w:top w:w="100" w:type="dxa"/>
              <w:start w:w="130" w:type="dxa"/>
              <w:bottom w:w="100" w:type="dxa"/>
              <w:end w:w="130" w:type="dxa"/>
            </w:tcMar>
            <w:vAlign w:val="center"/>
            <w:shd w:fill="FFFFFF"/>
          </w:tcPr>
          <w:p>
            <w:pPr>
              <w:spacing w:after="0"/>
            </w:pPr>
            <w:r/>
            <w:r>
              <w:rPr>
                <w:rFonts w:ascii="Aptos" w:hAnsi="Aptos"/>
                <w:b w:val="0"/>
                <w:color w:val="18313F"/>
                <w:sz w:val="16"/>
              </w:rPr>
              <w:t>☐</w:t>
            </w:r>
          </w:p>
        </w:tc>
        <w:tc>
          <w:tcPr>
            <w:tcW w:type="dxa" w:w="4252"/>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Expected output and human checkpoint known</w:t>
            </w:r>
          </w:p>
        </w:tc>
        <w:tc>
          <w:tcPr>
            <w:tcW w:type="dxa" w:w="1191"/>
            <w:tcMar>
              <w:top w:w="100" w:type="dxa"/>
              <w:start w:w="130" w:type="dxa"/>
              <w:bottom w:w="100" w:type="dxa"/>
              <w:end w:w="130" w:type="dxa"/>
            </w:tcMar>
            <w:vAlign w:val="center"/>
            <w:shd w:fill="F7F4EE"/>
          </w:tcPr>
          <w:p>
            <w:pPr>
              <w:spacing w:after="0"/>
            </w:pPr>
            <w:r/>
            <w:r>
              <w:rPr>
                <w:rFonts w:ascii="Aptos" w:hAnsi="Aptos"/>
                <w:b w:val="0"/>
                <w:color w:val="18313F"/>
                <w:sz w:val="16"/>
              </w:rPr>
              <w:t>☐</w:t>
            </w:r>
          </w:p>
        </w:tc>
        <w:tc>
          <w:tcPr>
            <w:tcW w:type="dxa" w:w="4252"/>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Screenshot/saved-output fallback opens</w:t>
            </w:r>
          </w:p>
        </w:tc>
        <w:tc>
          <w:tcPr>
            <w:tcW w:type="dxa" w:w="1191"/>
            <w:tcMar>
              <w:top w:w="100" w:type="dxa"/>
              <w:start w:w="130" w:type="dxa"/>
              <w:bottom w:w="100" w:type="dxa"/>
              <w:end w:w="130" w:type="dxa"/>
            </w:tcMar>
            <w:vAlign w:val="center"/>
            <w:shd w:fill="FFFFFF"/>
          </w:tcPr>
          <w:p>
            <w:pPr>
              <w:spacing w:after="0"/>
            </w:pPr>
            <w:r/>
            <w:r>
              <w:rPr>
                <w:rFonts w:ascii="Aptos" w:hAnsi="Aptos"/>
                <w:b w:val="0"/>
                <w:color w:val="18313F"/>
                <w:sz w:val="16"/>
              </w:rPr>
              <w:t>☐</w:t>
            </w:r>
          </w:p>
        </w:tc>
        <w:tc>
          <w:tcPr>
            <w:tcW w:type="dxa" w:w="4252"/>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Stop rule and urgent escalation announced</w:t>
            </w:r>
          </w:p>
        </w:tc>
        <w:tc>
          <w:tcPr>
            <w:tcW w:type="dxa" w:w="1191"/>
            <w:tcMar>
              <w:top w:w="100" w:type="dxa"/>
              <w:start w:w="130" w:type="dxa"/>
              <w:bottom w:w="100" w:type="dxa"/>
              <w:end w:w="130" w:type="dxa"/>
            </w:tcMar>
            <w:vAlign w:val="center"/>
            <w:shd w:fill="F7F4EE"/>
          </w:tcPr>
          <w:p>
            <w:pPr>
              <w:spacing w:after="0"/>
            </w:pPr>
            <w:r/>
            <w:r>
              <w:rPr>
                <w:rFonts w:ascii="Aptos" w:hAnsi="Aptos"/>
                <w:b w:val="0"/>
                <w:color w:val="18313F"/>
                <w:sz w:val="16"/>
              </w:rPr>
              <w:t>☐</w:t>
            </w:r>
          </w:p>
        </w:tc>
        <w:tc>
          <w:tcPr>
            <w:tcW w:type="dxa" w:w="4252"/>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Timer, group roles and debrief protected</w:t>
            </w:r>
          </w:p>
        </w:tc>
        <w:tc>
          <w:tcPr>
            <w:tcW w:type="dxa" w:w="1191"/>
            <w:tcMar>
              <w:top w:w="100" w:type="dxa"/>
              <w:start w:w="130" w:type="dxa"/>
              <w:bottom w:w="100" w:type="dxa"/>
              <w:end w:w="130" w:type="dxa"/>
            </w:tcMar>
            <w:vAlign w:val="center"/>
            <w:shd w:fill="FFFFFF"/>
          </w:tcPr>
          <w:p>
            <w:pPr>
              <w:spacing w:after="0"/>
            </w:pPr>
            <w:r/>
            <w:r>
              <w:rPr>
                <w:rFonts w:ascii="Aptos" w:hAnsi="Aptos"/>
                <w:b w:val="0"/>
                <w:color w:val="18313F"/>
                <w:sz w:val="16"/>
              </w:rPr>
              <w:t>☐</w:t>
            </w:r>
          </w:p>
        </w:tc>
        <w:tc>
          <w:tcPr>
            <w:tcW w:type="dxa" w:w="4252"/>
            <w:tcMar>
              <w:top w:w="100" w:type="dxa"/>
              <w:start w:w="130" w:type="dxa"/>
              <w:bottom w:w="100" w:type="dxa"/>
              <w:end w:w="130" w:type="dxa"/>
            </w:tcMar>
            <w:vAlign w:val="center"/>
            <w:shd w:fill="FFFFFF"/>
          </w:tcPr>
          <w:p>
            <w:pPr>
              <w:spacing w:after="0"/>
            </w:pPr>
            <w:r/>
            <w:r>
              <w:rPr>
                <w:rFonts w:ascii="Aptos" w:hAnsi="Aptos"/>
                <w:b w:val="0"/>
                <w:color w:val="18313F"/>
                <w:sz w:val="16"/>
              </w:rPr>
            </w:r>
          </w:p>
        </w:tc>
      </w:tr>
    </w:tbl>
    <w:p>
      <w:pPr>
        <w:spacing w:after="0"/>
      </w:pPr>
    </w:p>
    <w:p>
      <w:r>
        <w:br w:type="page"/>
      </w:r>
    </w:p>
    <w:p>
      <w:pPr>
        <w:pStyle w:val="Heading1"/>
      </w:pPr>
      <w:r>
        <w:t>Part V — Assessment and 30-day transfer</w:t>
      </w:r>
    </w:p>
    <w:p>
      <w:pPr>
        <w:pStyle w:val="Heading2"/>
      </w:pPr>
      <w:r>
        <w:t>Knowledge check</w:t>
      </w:r>
    </w:p>
    <w:p>
      <w:r>
        <w:rPr>
          <w:b/>
          <w:color w:val="0B6E69"/>
        </w:rPr>
        <w:t>1. What is the first question before selecting an AI tool?</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2. What evidence design is the Qatar case?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3. What is the safe role of an AI differential?</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4. What should overlap before accepting a clinical claim?</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5. What new workflow does an ambient scribe create?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6. What does an explainability heatmap prove?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7. What does rapid research honestly deliver?</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8. What pharma information requires immediate escalation?</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9. Which POPLE dimensions are minimum gates?</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10. What happens when a live tool fails?</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p>
      <w:pPr>
        <w:pStyle w:val="Heading1"/>
      </w:pPr>
      <w:r>
        <w:t>Answer key</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567"/>
            <w:tcMar>
              <w:top w:w="100" w:type="dxa"/>
              <w:start w:w="130" w:type="dxa"/>
              <w:bottom w:w="100" w:type="dxa"/>
              <w:end w:w="130" w:type="dxa"/>
            </w:tcMar>
            <w:vAlign w:val="center"/>
            <w:shd w:fill="0B6E69"/>
          </w:tcPr>
          <w:p>
            <w:pPr>
              <w:spacing w:after="0"/>
              <w:jc w:val="center"/>
            </w:pPr>
            <w:r/>
            <w:r>
              <w:rPr>
                <w:rFonts w:ascii="Aptos" w:hAnsi="Aptos"/>
                <w:b/>
                <w:color w:val="FFFFFF"/>
                <w:sz w:val="16"/>
              </w:rPr>
              <w:t>#</w:t>
            </w:r>
          </w:p>
        </w:tc>
        <w:tc>
          <w:tcPr>
            <w:tcW w:type="dxa" w:w="3969"/>
            <w:tcMar>
              <w:top w:w="100" w:type="dxa"/>
              <w:start w:w="130" w:type="dxa"/>
              <w:bottom w:w="100" w:type="dxa"/>
              <w:end w:w="130" w:type="dxa"/>
            </w:tcMar>
            <w:vAlign w:val="center"/>
            <w:shd w:fill="0B6E69"/>
          </w:tcPr>
          <w:p>
            <w:pPr>
              <w:spacing w:after="0"/>
              <w:jc w:val="center"/>
            </w:pPr>
            <w:r/>
            <w:r>
              <w:rPr>
                <w:rFonts w:ascii="Aptos" w:hAnsi="Aptos"/>
                <w:b/>
                <w:color w:val="FFFFFF"/>
                <w:sz w:val="16"/>
              </w:rPr>
              <w:t>Question</w:t>
            </w:r>
          </w:p>
        </w:tc>
        <w:tc>
          <w:tcPr>
            <w:tcW w:type="dxa" w:w="4989"/>
            <w:tcMar>
              <w:top w:w="100" w:type="dxa"/>
              <w:start w:w="130" w:type="dxa"/>
              <w:bottom w:w="100" w:type="dxa"/>
              <w:end w:w="130" w:type="dxa"/>
            </w:tcMar>
            <w:vAlign w:val="center"/>
            <w:shd w:fill="0B6E69"/>
          </w:tcPr>
          <w:p>
            <w:pPr>
              <w:spacing w:after="0"/>
              <w:jc w:val="center"/>
            </w:pPr>
            <w:r/>
            <w:r>
              <w:rPr>
                <w:rFonts w:ascii="Aptos" w:hAnsi="Aptos"/>
                <w:b/>
                <w:color w:val="FFFFFF"/>
                <w:sz w:val="16"/>
              </w:rPr>
              <w:t>Expected answer</w:t>
            </w:r>
          </w:p>
        </w:tc>
      </w:tr>
      <w:tr>
        <w:tc>
          <w:tcPr>
            <w:tcW w:type="dxa" w:w="567"/>
            <w:tcMar>
              <w:top w:w="100" w:type="dxa"/>
              <w:start w:w="130" w:type="dxa"/>
              <w:bottom w:w="100" w:type="dxa"/>
              <w:end w:w="130" w:type="dxa"/>
            </w:tcMar>
            <w:vAlign w:val="center"/>
            <w:shd w:fill="F7F4EE"/>
          </w:tcPr>
          <w:p>
            <w:pPr>
              <w:spacing w:after="0"/>
            </w:pPr>
            <w:r/>
            <w:r>
              <w:rPr>
                <w:rFonts w:ascii="Aptos" w:hAnsi="Aptos"/>
                <w:b w:val="0"/>
                <w:color w:val="18313F"/>
                <w:sz w:val="16"/>
              </w:rPr>
              <w:t>1</w:t>
            </w:r>
          </w:p>
        </w:tc>
        <w:tc>
          <w:tcPr>
            <w:tcW w:type="dxa" w:w="3969"/>
            <w:tcMar>
              <w:top w:w="100" w:type="dxa"/>
              <w:start w:w="130" w:type="dxa"/>
              <w:bottom w:w="100" w:type="dxa"/>
              <w:end w:w="130" w:type="dxa"/>
            </w:tcMar>
            <w:vAlign w:val="center"/>
            <w:shd w:fill="F7F4EE"/>
          </w:tcPr>
          <w:p>
            <w:pPr>
              <w:spacing w:after="0"/>
            </w:pPr>
            <w:r/>
            <w:r>
              <w:rPr>
                <w:rFonts w:ascii="Aptos" w:hAnsi="Aptos"/>
                <w:b w:val="0"/>
                <w:color w:val="18313F"/>
                <w:sz w:val="16"/>
              </w:rPr>
              <w:t>What is the first question before selecting an AI tool?</w:t>
            </w:r>
          </w:p>
        </w:tc>
        <w:tc>
          <w:tcPr>
            <w:tcW w:type="dxa" w:w="4989"/>
            <w:tcMar>
              <w:top w:w="100" w:type="dxa"/>
              <w:start w:w="130" w:type="dxa"/>
              <w:bottom w:w="100" w:type="dxa"/>
              <w:end w:w="130" w:type="dxa"/>
            </w:tcMar>
            <w:vAlign w:val="center"/>
            <w:shd w:fill="F7F4EE"/>
          </w:tcPr>
          <w:p>
            <w:pPr>
              <w:spacing w:after="0"/>
            </w:pPr>
            <w:r/>
            <w:r>
              <w:rPr>
                <w:rFonts w:ascii="Aptos" w:hAnsi="Aptos"/>
                <w:b w:val="0"/>
                <w:color w:val="18313F"/>
                <w:sz w:val="16"/>
              </w:rPr>
              <w:t>Will this improve patient attention, understanding, safety or continuity?</w:t>
            </w:r>
          </w:p>
        </w:tc>
      </w:tr>
      <w:tr>
        <w:tc>
          <w:tcPr>
            <w:tcW w:type="dxa" w:w="567"/>
            <w:tcMar>
              <w:top w:w="100" w:type="dxa"/>
              <w:start w:w="130" w:type="dxa"/>
              <w:bottom w:w="100" w:type="dxa"/>
              <w:end w:w="130" w:type="dxa"/>
            </w:tcMar>
            <w:vAlign w:val="center"/>
            <w:shd w:fill="FFFFFF"/>
          </w:tcPr>
          <w:p>
            <w:pPr>
              <w:spacing w:after="0"/>
            </w:pPr>
            <w:r/>
            <w:r>
              <w:rPr>
                <w:rFonts w:ascii="Aptos" w:hAnsi="Aptos"/>
                <w:b w:val="0"/>
                <w:color w:val="18313F"/>
                <w:sz w:val="16"/>
              </w:rPr>
              <w:t>2</w:t>
            </w:r>
          </w:p>
        </w:tc>
        <w:tc>
          <w:tcPr>
            <w:tcW w:type="dxa" w:w="3969"/>
            <w:tcMar>
              <w:top w:w="100" w:type="dxa"/>
              <w:start w:w="130" w:type="dxa"/>
              <w:bottom w:w="100" w:type="dxa"/>
              <w:end w:w="130" w:type="dxa"/>
            </w:tcMar>
            <w:vAlign w:val="center"/>
            <w:shd w:fill="FFFFFF"/>
          </w:tcPr>
          <w:p>
            <w:pPr>
              <w:spacing w:after="0"/>
            </w:pPr>
            <w:r/>
            <w:r>
              <w:rPr>
                <w:rFonts w:ascii="Aptos" w:hAnsi="Aptos"/>
                <w:b w:val="0"/>
                <w:color w:val="18313F"/>
                <w:sz w:val="16"/>
              </w:rPr>
              <w:t>What evidence design is the Qatar case?</w:t>
            </w:r>
          </w:p>
        </w:tc>
        <w:tc>
          <w:tcPr>
            <w:tcW w:type="dxa" w:w="4989"/>
            <w:tcMar>
              <w:top w:w="100" w:type="dxa"/>
              <w:start w:w="130" w:type="dxa"/>
              <w:bottom w:w="100" w:type="dxa"/>
              <w:end w:w="130" w:type="dxa"/>
            </w:tcMar>
            <w:vAlign w:val="center"/>
            <w:shd w:fill="FFFFFF"/>
          </w:tcPr>
          <w:p>
            <w:pPr>
              <w:spacing w:after="0"/>
            </w:pPr>
            <w:r/>
            <w:r>
              <w:rPr>
                <w:rFonts w:ascii="Aptos" w:hAnsi="Aptos"/>
                <w:b w:val="0"/>
                <w:color w:val="18313F"/>
                <w:sz w:val="16"/>
              </w:rPr>
              <w:t>A cross-sectional perception survey—not an effectiveness trial.</w:t>
            </w:r>
          </w:p>
        </w:tc>
      </w:tr>
      <w:tr>
        <w:tc>
          <w:tcPr>
            <w:tcW w:type="dxa" w:w="567"/>
            <w:tcMar>
              <w:top w:w="100" w:type="dxa"/>
              <w:start w:w="130" w:type="dxa"/>
              <w:bottom w:w="100" w:type="dxa"/>
              <w:end w:w="130" w:type="dxa"/>
            </w:tcMar>
            <w:vAlign w:val="center"/>
            <w:shd w:fill="F7F4EE"/>
          </w:tcPr>
          <w:p>
            <w:pPr>
              <w:spacing w:after="0"/>
            </w:pPr>
            <w:r/>
            <w:r>
              <w:rPr>
                <w:rFonts w:ascii="Aptos" w:hAnsi="Aptos"/>
                <w:b w:val="0"/>
                <w:color w:val="18313F"/>
                <w:sz w:val="16"/>
              </w:rPr>
              <w:t>3</w:t>
            </w:r>
          </w:p>
        </w:tc>
        <w:tc>
          <w:tcPr>
            <w:tcW w:type="dxa" w:w="3969"/>
            <w:tcMar>
              <w:top w:w="100" w:type="dxa"/>
              <w:start w:w="130" w:type="dxa"/>
              <w:bottom w:w="100" w:type="dxa"/>
              <w:end w:w="130" w:type="dxa"/>
            </w:tcMar>
            <w:vAlign w:val="center"/>
            <w:shd w:fill="F7F4EE"/>
          </w:tcPr>
          <w:p>
            <w:pPr>
              <w:spacing w:after="0"/>
            </w:pPr>
            <w:r/>
            <w:r>
              <w:rPr>
                <w:rFonts w:ascii="Aptos" w:hAnsi="Aptos"/>
                <w:b w:val="0"/>
                <w:color w:val="18313F"/>
                <w:sz w:val="16"/>
              </w:rPr>
              <w:t>What is the safe role of an AI differential?</w:t>
            </w:r>
          </w:p>
        </w:tc>
        <w:tc>
          <w:tcPr>
            <w:tcW w:type="dxa" w:w="4989"/>
            <w:tcMar>
              <w:top w:w="100" w:type="dxa"/>
              <w:start w:w="130" w:type="dxa"/>
              <w:bottom w:w="100" w:type="dxa"/>
              <w:end w:w="130" w:type="dxa"/>
            </w:tcMar>
            <w:vAlign w:val="center"/>
            <w:shd w:fill="F7F4EE"/>
          </w:tcPr>
          <w:p>
            <w:pPr>
              <w:spacing w:after="0"/>
            </w:pPr>
            <w:r/>
            <w:r>
              <w:rPr>
                <w:rFonts w:ascii="Aptos" w:hAnsi="Aptos"/>
                <w:b w:val="0"/>
                <w:color w:val="18313F"/>
                <w:sz w:val="16"/>
              </w:rPr>
              <w:t>A hypothesis and missing-information aid; a clinician owns diagnosis/disposition.</w:t>
            </w:r>
          </w:p>
        </w:tc>
      </w:tr>
      <w:tr>
        <w:tc>
          <w:tcPr>
            <w:tcW w:type="dxa" w:w="567"/>
            <w:tcMar>
              <w:top w:w="100" w:type="dxa"/>
              <w:start w:w="130" w:type="dxa"/>
              <w:bottom w:w="100" w:type="dxa"/>
              <w:end w:w="130" w:type="dxa"/>
            </w:tcMar>
            <w:vAlign w:val="center"/>
            <w:shd w:fill="FFFFFF"/>
          </w:tcPr>
          <w:p>
            <w:pPr>
              <w:spacing w:after="0"/>
            </w:pPr>
            <w:r/>
            <w:r>
              <w:rPr>
                <w:rFonts w:ascii="Aptos" w:hAnsi="Aptos"/>
                <w:b w:val="0"/>
                <w:color w:val="18313F"/>
                <w:sz w:val="16"/>
              </w:rPr>
              <w:t>4</w:t>
            </w:r>
          </w:p>
        </w:tc>
        <w:tc>
          <w:tcPr>
            <w:tcW w:type="dxa" w:w="3969"/>
            <w:tcMar>
              <w:top w:w="100" w:type="dxa"/>
              <w:start w:w="130" w:type="dxa"/>
              <w:bottom w:w="100" w:type="dxa"/>
              <w:end w:w="130" w:type="dxa"/>
            </w:tcMar>
            <w:vAlign w:val="center"/>
            <w:shd w:fill="FFFFFF"/>
          </w:tcPr>
          <w:p>
            <w:pPr>
              <w:spacing w:after="0"/>
            </w:pPr>
            <w:r/>
            <w:r>
              <w:rPr>
                <w:rFonts w:ascii="Aptos" w:hAnsi="Aptos"/>
                <w:b w:val="0"/>
                <w:color w:val="18313F"/>
                <w:sz w:val="16"/>
              </w:rPr>
              <w:t>What should overlap before accepting a clinical claim?</w:t>
            </w:r>
          </w:p>
        </w:tc>
        <w:tc>
          <w:tcPr>
            <w:tcW w:type="dxa" w:w="4989"/>
            <w:tcMar>
              <w:top w:w="100" w:type="dxa"/>
              <w:start w:w="130" w:type="dxa"/>
              <w:bottom w:w="100" w:type="dxa"/>
              <w:end w:w="130" w:type="dxa"/>
            </w:tcMar>
            <w:vAlign w:val="center"/>
            <w:shd w:fill="FFFFFF"/>
          </w:tcPr>
          <w:p>
            <w:pPr>
              <w:spacing w:after="0"/>
            </w:pPr>
            <w:r/>
            <w:r>
              <w:rPr>
                <w:rFonts w:ascii="Aptos" w:hAnsi="Aptos"/>
                <w:b w:val="0"/>
                <w:color w:val="18313F"/>
                <w:sz w:val="16"/>
              </w:rPr>
              <w:t>AI output, opened original/approved evidence and local patient/protocol context.</w:t>
            </w:r>
          </w:p>
        </w:tc>
      </w:tr>
      <w:tr>
        <w:tc>
          <w:tcPr>
            <w:tcW w:type="dxa" w:w="567"/>
            <w:tcMar>
              <w:top w:w="100" w:type="dxa"/>
              <w:start w:w="130" w:type="dxa"/>
              <w:bottom w:w="100" w:type="dxa"/>
              <w:end w:w="130" w:type="dxa"/>
            </w:tcMar>
            <w:vAlign w:val="center"/>
            <w:shd w:fill="F7F4EE"/>
          </w:tcPr>
          <w:p>
            <w:pPr>
              <w:spacing w:after="0"/>
            </w:pPr>
            <w:r/>
            <w:r>
              <w:rPr>
                <w:rFonts w:ascii="Aptos" w:hAnsi="Aptos"/>
                <w:b w:val="0"/>
                <w:color w:val="18313F"/>
                <w:sz w:val="16"/>
              </w:rPr>
              <w:t>5</w:t>
            </w:r>
          </w:p>
        </w:tc>
        <w:tc>
          <w:tcPr>
            <w:tcW w:type="dxa" w:w="3969"/>
            <w:tcMar>
              <w:top w:w="100" w:type="dxa"/>
              <w:start w:w="130" w:type="dxa"/>
              <w:bottom w:w="100" w:type="dxa"/>
              <w:end w:w="130" w:type="dxa"/>
            </w:tcMar>
            <w:vAlign w:val="center"/>
            <w:shd w:fill="F7F4EE"/>
          </w:tcPr>
          <w:p>
            <w:pPr>
              <w:spacing w:after="0"/>
            </w:pPr>
            <w:r/>
            <w:r>
              <w:rPr>
                <w:rFonts w:ascii="Aptos" w:hAnsi="Aptos"/>
                <w:b w:val="0"/>
                <w:color w:val="18313F"/>
                <w:sz w:val="16"/>
              </w:rPr>
              <w:t>What new workflow does an ambient scribe create?</w:t>
            </w:r>
          </w:p>
        </w:tc>
        <w:tc>
          <w:tcPr>
            <w:tcW w:type="dxa" w:w="4989"/>
            <w:tcMar>
              <w:top w:w="100" w:type="dxa"/>
              <w:start w:w="130" w:type="dxa"/>
              <w:bottom w:w="100" w:type="dxa"/>
              <w:end w:w="130" w:type="dxa"/>
            </w:tcMar>
            <w:vAlign w:val="center"/>
            <w:shd w:fill="F7F4EE"/>
          </w:tcPr>
          <w:p>
            <w:pPr>
              <w:spacing w:after="0"/>
            </w:pPr>
            <w:r/>
            <w:r>
              <w:rPr>
                <w:rFonts w:ascii="Aptos" w:hAnsi="Aptos"/>
                <w:b w:val="0"/>
                <w:color w:val="18313F"/>
                <w:sz w:val="16"/>
              </w:rPr>
              <w:t>Consent, review, correction, retention, audit and incident handling.</w:t>
            </w:r>
          </w:p>
        </w:tc>
      </w:tr>
      <w:tr>
        <w:tc>
          <w:tcPr>
            <w:tcW w:type="dxa" w:w="567"/>
            <w:tcMar>
              <w:top w:w="100" w:type="dxa"/>
              <w:start w:w="130" w:type="dxa"/>
              <w:bottom w:w="100" w:type="dxa"/>
              <w:end w:w="130" w:type="dxa"/>
            </w:tcMar>
            <w:vAlign w:val="center"/>
            <w:shd w:fill="FFFFFF"/>
          </w:tcPr>
          <w:p>
            <w:pPr>
              <w:spacing w:after="0"/>
            </w:pPr>
            <w:r/>
            <w:r>
              <w:rPr>
                <w:rFonts w:ascii="Aptos" w:hAnsi="Aptos"/>
                <w:b w:val="0"/>
                <w:color w:val="18313F"/>
                <w:sz w:val="16"/>
              </w:rPr>
              <w:t>6</w:t>
            </w:r>
          </w:p>
        </w:tc>
        <w:tc>
          <w:tcPr>
            <w:tcW w:type="dxa" w:w="3969"/>
            <w:tcMar>
              <w:top w:w="100" w:type="dxa"/>
              <w:start w:w="130" w:type="dxa"/>
              <w:bottom w:w="100" w:type="dxa"/>
              <w:end w:w="130" w:type="dxa"/>
            </w:tcMar>
            <w:vAlign w:val="center"/>
            <w:shd w:fill="FFFFFF"/>
          </w:tcPr>
          <w:p>
            <w:pPr>
              <w:spacing w:after="0"/>
            </w:pPr>
            <w:r/>
            <w:r>
              <w:rPr>
                <w:rFonts w:ascii="Aptos" w:hAnsi="Aptos"/>
                <w:b w:val="0"/>
                <w:color w:val="18313F"/>
                <w:sz w:val="16"/>
              </w:rPr>
              <w:t>What does an explainability heatmap prove?</w:t>
            </w:r>
          </w:p>
        </w:tc>
        <w:tc>
          <w:tcPr>
            <w:tcW w:type="dxa" w:w="4989"/>
            <w:tcMar>
              <w:top w:w="100" w:type="dxa"/>
              <w:start w:w="130" w:type="dxa"/>
              <w:bottom w:w="100" w:type="dxa"/>
              <w:end w:w="130" w:type="dxa"/>
            </w:tcMar>
            <w:vAlign w:val="center"/>
            <w:shd w:fill="FFFFFF"/>
          </w:tcPr>
          <w:p>
            <w:pPr>
              <w:spacing w:after="0"/>
            </w:pPr>
            <w:r/>
            <w:r>
              <w:rPr>
                <w:rFonts w:ascii="Aptos" w:hAnsi="Aptos"/>
                <w:b w:val="0"/>
                <w:color w:val="18313F"/>
                <w:sz w:val="16"/>
              </w:rPr>
              <w:t>Nothing by itself about accuracy, benefit, fairness or approval.</w:t>
            </w:r>
          </w:p>
        </w:tc>
      </w:tr>
      <w:tr>
        <w:tc>
          <w:tcPr>
            <w:tcW w:type="dxa" w:w="567"/>
            <w:tcMar>
              <w:top w:w="100" w:type="dxa"/>
              <w:start w:w="130" w:type="dxa"/>
              <w:bottom w:w="100" w:type="dxa"/>
              <w:end w:w="130" w:type="dxa"/>
            </w:tcMar>
            <w:vAlign w:val="center"/>
            <w:shd w:fill="F7F4EE"/>
          </w:tcPr>
          <w:p>
            <w:pPr>
              <w:spacing w:after="0"/>
            </w:pPr>
            <w:r/>
            <w:r>
              <w:rPr>
                <w:rFonts w:ascii="Aptos" w:hAnsi="Aptos"/>
                <w:b w:val="0"/>
                <w:color w:val="18313F"/>
                <w:sz w:val="16"/>
              </w:rPr>
              <w:t>7</w:t>
            </w:r>
          </w:p>
        </w:tc>
        <w:tc>
          <w:tcPr>
            <w:tcW w:type="dxa" w:w="3969"/>
            <w:tcMar>
              <w:top w:w="100" w:type="dxa"/>
              <w:start w:w="130" w:type="dxa"/>
              <w:bottom w:w="100" w:type="dxa"/>
              <w:end w:w="130" w:type="dxa"/>
            </w:tcMar>
            <w:vAlign w:val="center"/>
            <w:shd w:fill="F7F4EE"/>
          </w:tcPr>
          <w:p>
            <w:pPr>
              <w:spacing w:after="0"/>
            </w:pPr>
            <w:r/>
            <w:r>
              <w:rPr>
                <w:rFonts w:ascii="Aptos" w:hAnsi="Aptos"/>
                <w:b w:val="0"/>
                <w:color w:val="18313F"/>
                <w:sz w:val="16"/>
              </w:rPr>
              <w:t>What does rapid research honestly deliver?</w:t>
            </w:r>
          </w:p>
        </w:tc>
        <w:tc>
          <w:tcPr>
            <w:tcW w:type="dxa" w:w="4989"/>
            <w:tcMar>
              <w:top w:w="100" w:type="dxa"/>
              <w:start w:w="130" w:type="dxa"/>
              <w:bottom w:w="100" w:type="dxa"/>
              <w:end w:w="130" w:type="dxa"/>
            </w:tcMar>
            <w:vAlign w:val="center"/>
            <w:shd w:fill="F7F4EE"/>
          </w:tcPr>
          <w:p>
            <w:pPr>
              <w:spacing w:after="0"/>
            </w:pPr>
            <w:r/>
            <w:r>
              <w:rPr>
                <w:rFonts w:ascii="Aptos" w:hAnsi="Aptos"/>
                <w:b w:val="0"/>
                <w:color w:val="18313F"/>
                <w:sz w:val="16"/>
              </w:rPr>
              <w:t>A transparent starting map and uncertainty log—not a completed systematic review.</w:t>
            </w:r>
          </w:p>
        </w:tc>
      </w:tr>
      <w:tr>
        <w:tc>
          <w:tcPr>
            <w:tcW w:type="dxa" w:w="567"/>
            <w:tcMar>
              <w:top w:w="100" w:type="dxa"/>
              <w:start w:w="130" w:type="dxa"/>
              <w:bottom w:w="100" w:type="dxa"/>
              <w:end w:w="130" w:type="dxa"/>
            </w:tcMar>
            <w:vAlign w:val="center"/>
            <w:shd w:fill="FFFFFF"/>
          </w:tcPr>
          <w:p>
            <w:pPr>
              <w:spacing w:after="0"/>
            </w:pPr>
            <w:r/>
            <w:r>
              <w:rPr>
                <w:rFonts w:ascii="Aptos" w:hAnsi="Aptos"/>
                <w:b w:val="0"/>
                <w:color w:val="18313F"/>
                <w:sz w:val="16"/>
              </w:rPr>
              <w:t>8</w:t>
            </w:r>
          </w:p>
        </w:tc>
        <w:tc>
          <w:tcPr>
            <w:tcW w:type="dxa" w:w="3969"/>
            <w:tcMar>
              <w:top w:w="100" w:type="dxa"/>
              <w:start w:w="130" w:type="dxa"/>
              <w:bottom w:w="100" w:type="dxa"/>
              <w:end w:w="130" w:type="dxa"/>
            </w:tcMar>
            <w:vAlign w:val="center"/>
            <w:shd w:fill="FFFFFF"/>
          </w:tcPr>
          <w:p>
            <w:pPr>
              <w:spacing w:after="0"/>
            </w:pPr>
            <w:r/>
            <w:r>
              <w:rPr>
                <w:rFonts w:ascii="Aptos" w:hAnsi="Aptos"/>
                <w:b w:val="0"/>
                <w:color w:val="18313F"/>
                <w:sz w:val="16"/>
              </w:rPr>
              <w:t>What pharma information requires immediate escalation?</w:t>
            </w:r>
          </w:p>
        </w:tc>
        <w:tc>
          <w:tcPr>
            <w:tcW w:type="dxa" w:w="4989"/>
            <w:tcMar>
              <w:top w:w="100" w:type="dxa"/>
              <w:start w:w="130" w:type="dxa"/>
              <w:bottom w:w="100" w:type="dxa"/>
              <w:end w:w="130" w:type="dxa"/>
            </w:tcMar>
            <w:vAlign w:val="center"/>
            <w:shd w:fill="FFFFFF"/>
          </w:tcPr>
          <w:p>
            <w:pPr>
              <w:spacing w:after="0"/>
            </w:pPr>
            <w:r/>
            <w:r>
              <w:rPr>
                <w:rFonts w:ascii="Aptos" w:hAnsi="Aptos"/>
                <w:b w:val="0"/>
                <w:color w:val="18313F"/>
                <w:sz w:val="16"/>
              </w:rPr>
              <w:t>A possible adverse event or product-quality complaint.</w:t>
            </w:r>
          </w:p>
        </w:tc>
      </w:tr>
      <w:tr>
        <w:tc>
          <w:tcPr>
            <w:tcW w:type="dxa" w:w="567"/>
            <w:tcMar>
              <w:top w:w="100" w:type="dxa"/>
              <w:start w:w="130" w:type="dxa"/>
              <w:bottom w:w="100" w:type="dxa"/>
              <w:end w:w="130" w:type="dxa"/>
            </w:tcMar>
            <w:vAlign w:val="center"/>
            <w:shd w:fill="F7F4EE"/>
          </w:tcPr>
          <w:p>
            <w:pPr>
              <w:spacing w:after="0"/>
            </w:pPr>
            <w:r/>
            <w:r>
              <w:rPr>
                <w:rFonts w:ascii="Aptos" w:hAnsi="Aptos"/>
                <w:b w:val="0"/>
                <w:color w:val="18313F"/>
                <w:sz w:val="16"/>
              </w:rPr>
              <w:t>9</w:t>
            </w:r>
          </w:p>
        </w:tc>
        <w:tc>
          <w:tcPr>
            <w:tcW w:type="dxa" w:w="3969"/>
            <w:tcMar>
              <w:top w:w="100" w:type="dxa"/>
              <w:start w:w="130" w:type="dxa"/>
              <w:bottom w:w="100" w:type="dxa"/>
              <w:end w:w="130" w:type="dxa"/>
            </w:tcMar>
            <w:vAlign w:val="center"/>
            <w:shd w:fill="F7F4EE"/>
          </w:tcPr>
          <w:p>
            <w:pPr>
              <w:spacing w:after="0"/>
            </w:pPr>
            <w:r/>
            <w:r>
              <w:rPr>
                <w:rFonts w:ascii="Aptos" w:hAnsi="Aptos"/>
                <w:b w:val="0"/>
                <w:color w:val="18313F"/>
                <w:sz w:val="16"/>
              </w:rPr>
              <w:t>Which POPLE dimensions are minimum gates?</w:t>
            </w:r>
          </w:p>
        </w:tc>
        <w:tc>
          <w:tcPr>
            <w:tcW w:type="dxa" w:w="4989"/>
            <w:tcMar>
              <w:top w:w="100" w:type="dxa"/>
              <w:start w:w="130" w:type="dxa"/>
              <w:bottom w:w="100" w:type="dxa"/>
              <w:end w:w="130" w:type="dxa"/>
            </w:tcMar>
            <w:vAlign w:val="center"/>
            <w:shd w:fill="F7F4EE"/>
          </w:tcPr>
          <w:p>
            <w:pPr>
              <w:spacing w:after="0"/>
            </w:pPr>
            <w:r/>
            <w:r>
              <w:rPr>
                <w:rFonts w:ascii="Aptos" w:hAnsi="Aptos"/>
                <w:b w:val="0"/>
                <w:color w:val="18313F"/>
                <w:sz w:val="16"/>
              </w:rPr>
              <w:t>Ownership and privacy.</w:t>
            </w:r>
          </w:p>
        </w:tc>
      </w:tr>
      <w:tr>
        <w:tc>
          <w:tcPr>
            <w:tcW w:type="dxa" w:w="567"/>
            <w:tcMar>
              <w:top w:w="100" w:type="dxa"/>
              <w:start w:w="130" w:type="dxa"/>
              <w:bottom w:w="100" w:type="dxa"/>
              <w:end w:w="130" w:type="dxa"/>
            </w:tcMar>
            <w:vAlign w:val="center"/>
            <w:shd w:fill="FFFFFF"/>
          </w:tcPr>
          <w:p>
            <w:pPr>
              <w:spacing w:after="0"/>
            </w:pPr>
            <w:r/>
            <w:r>
              <w:rPr>
                <w:rFonts w:ascii="Aptos" w:hAnsi="Aptos"/>
                <w:b w:val="0"/>
                <w:color w:val="18313F"/>
                <w:sz w:val="16"/>
              </w:rPr>
              <w:t>10</w:t>
            </w:r>
          </w:p>
        </w:tc>
        <w:tc>
          <w:tcPr>
            <w:tcW w:type="dxa" w:w="3969"/>
            <w:tcMar>
              <w:top w:w="100" w:type="dxa"/>
              <w:start w:w="130" w:type="dxa"/>
              <w:bottom w:w="100" w:type="dxa"/>
              <w:end w:w="130" w:type="dxa"/>
            </w:tcMar>
            <w:vAlign w:val="center"/>
            <w:shd w:fill="FFFFFF"/>
          </w:tcPr>
          <w:p>
            <w:pPr>
              <w:spacing w:after="0"/>
            </w:pPr>
            <w:r/>
            <w:r>
              <w:rPr>
                <w:rFonts w:ascii="Aptos" w:hAnsi="Aptos"/>
                <w:b w:val="0"/>
                <w:color w:val="18313F"/>
                <w:sz w:val="16"/>
              </w:rPr>
              <w:t>What happens when a live tool fails?</w:t>
            </w:r>
          </w:p>
        </w:tc>
        <w:tc>
          <w:tcPr>
            <w:tcW w:type="dxa" w:w="4989"/>
            <w:tcMar>
              <w:top w:w="100" w:type="dxa"/>
              <w:start w:w="130" w:type="dxa"/>
              <w:bottom w:w="100" w:type="dxa"/>
              <w:end w:w="130" w:type="dxa"/>
            </w:tcMar>
            <w:vAlign w:val="center"/>
            <w:shd w:fill="FFFFFF"/>
          </w:tcPr>
          <w:p>
            <w:pPr>
              <w:spacing w:after="0"/>
            </w:pPr>
            <w:r/>
            <w:r>
              <w:rPr>
                <w:rFonts w:ascii="Aptos" w:hAnsi="Aptos"/>
                <w:b w:val="0"/>
                <w:color w:val="18313F"/>
                <w:sz w:val="16"/>
              </w:rPr>
              <w:t>Use prepared output and the paired prompt; preserve checkpoint and debrief.</w:t>
            </w:r>
          </w:p>
        </w:tc>
      </w:tr>
    </w:tbl>
    <w:p>
      <w:pPr>
        <w:spacing w:after="0"/>
      </w:pPr>
    </w:p>
    <w:p>
      <w:pPr>
        <w:pStyle w:val="Heading2"/>
      </w:pPr>
      <w:r>
        <w:t>My 30-day controlled experiment</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tcMar>
              <w:top w:w="100" w:type="dxa"/>
              <w:start w:w="130" w:type="dxa"/>
              <w:bottom w:w="100" w:type="dxa"/>
              <w:end w:w="130" w:type="dxa"/>
            </w:tcMar>
            <w:vAlign w:val="center"/>
            <w:shd w:fill="356F99"/>
          </w:tcPr>
          <w:p>
            <w:pPr>
              <w:spacing w:after="0"/>
              <w:jc w:val="center"/>
            </w:pPr>
            <w:r/>
            <w:r>
              <w:rPr>
                <w:rFonts w:ascii="Aptos" w:hAnsi="Aptos"/>
                <w:b/>
                <w:color w:val="FFFFFF"/>
                <w:sz w:val="16"/>
              </w:rPr>
              <w:t>Step</w:t>
            </w:r>
          </w:p>
        </w:tc>
        <w:tc>
          <w:tcPr>
            <w:tcW w:type="dxa" w:w="4082"/>
            <w:tcMar>
              <w:top w:w="100" w:type="dxa"/>
              <w:start w:w="130" w:type="dxa"/>
              <w:bottom w:w="100" w:type="dxa"/>
              <w:end w:w="130" w:type="dxa"/>
            </w:tcMar>
            <w:vAlign w:val="center"/>
            <w:shd w:fill="356F99"/>
          </w:tcPr>
          <w:p>
            <w:pPr>
              <w:spacing w:after="0"/>
              <w:jc w:val="center"/>
            </w:pPr>
            <w:r/>
            <w:r>
              <w:rPr>
                <w:rFonts w:ascii="Aptos" w:hAnsi="Aptos"/>
                <w:b/>
                <w:color w:val="FFFFFF"/>
                <w:sz w:val="16"/>
              </w:rPr>
              <w:t>Decision</w:t>
            </w:r>
          </w:p>
        </w:tc>
        <w:tc>
          <w:tcPr>
            <w:tcW w:type="dxa" w:w="4082"/>
            <w:tcMar>
              <w:top w:w="100" w:type="dxa"/>
              <w:start w:w="130" w:type="dxa"/>
              <w:bottom w:w="100" w:type="dxa"/>
              <w:end w:w="130" w:type="dxa"/>
            </w:tcMar>
            <w:vAlign w:val="center"/>
            <w:shd w:fill="356F99"/>
          </w:tcPr>
          <w:p>
            <w:pPr>
              <w:spacing w:after="0"/>
              <w:jc w:val="center"/>
            </w:pPr>
            <w:r/>
            <w:r>
              <w:rPr>
                <w:rFonts w:ascii="Aptos" w:hAnsi="Aptos"/>
                <w:b/>
                <w:color w:val="FFFFFF"/>
                <w:sz w:val="16"/>
              </w:rPr>
              <w:t>Plan</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6"/>
              </w:rPr>
              <w:t>Use case</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One friction point + one patient value</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6"/>
              </w:rPr>
              <w:t>Baseline</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Time, errors, experience, access or quality before AI</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6"/>
              </w:rPr>
              <w:t>Pilot</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Small scope; synthetic/test first; named owner</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6"/>
              </w:rPr>
              <w:t>Check</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Sampling, POPLE, incident path and stop rule</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6"/>
              </w:rPr>
              <w:t>Decide</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Continue, redesign or stop on a named date</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r>
          </w:p>
        </w:tc>
      </w:tr>
    </w:tbl>
    <w:p>
      <w:pPr>
        <w:spacing w:after="0"/>
      </w:pPr>
    </w:p>
    <w:p>
      <w:r>
        <w:rPr>
          <w:b/>
          <w:color w:val="0B6E69"/>
        </w:rPr>
        <w:t>My commitment and accountable reviewer:</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p>
      <w:pPr>
        <w:pStyle w:val="Heading1"/>
      </w:pPr>
      <w:r>
        <w:t>References and source register</w:t>
      </w:r>
    </w:p>
    <w:p>
      <w:pPr>
        <w:pStyle w:val="Heading2"/>
      </w:pPr>
      <w:r>
        <w:t>Seven primary case sources</w:t>
      </w:r>
    </w:p>
    <w:p>
      <w:pPr>
        <w:pStyle w:val="ListBullet"/>
      </w:pPr>
      <w:r>
        <w:t>Case 1 — EHR-embedded X-ray triage and no-show prediction — https://www.mdpi.com/2073-431X/14/8/320</w:t>
      </w:r>
    </w:p>
    <w:p>
      <w:pPr>
        <w:pStyle w:val="ListBullet"/>
      </w:pPr>
      <w:r>
        <w:t>Case 2 — What family physicians expect and fear — https://ai.jmir.org/2024/1/e40781</w:t>
      </w:r>
    </w:p>
    <w:p>
      <w:pPr>
        <w:pStyle w:val="ListBullet"/>
      </w:pPr>
      <w:r>
        <w:t>Case 3 — Generative AI in case-based medical learning — https://link.springer.com/article/10.1186/s12909-025-07567-z</w:t>
      </w:r>
    </w:p>
    <w:p>
      <w:pPr>
        <w:pStyle w:val="ListBullet"/>
      </w:pPr>
      <w:r>
        <w:t>Case 4 — AI-supported scenario planning for medical curricula — https://www.jmir.org/2025/1/e73173</w:t>
      </w:r>
    </w:p>
    <w:p>
      <w:pPr>
        <w:pStyle w:val="ListBullet"/>
      </w:pPr>
      <w:r>
        <w:t>Case 5 — Why clinicians ignore alerts—and how design can restore trust — https://pmc.ncbi.nlm.nih.gov/articles/PMC11149368/</w:t>
      </w:r>
    </w:p>
    <w:p>
      <w:pPr>
        <w:pStyle w:val="ListBullet"/>
      </w:pPr>
      <w:r>
        <w:t>Case 6 — The real workflow cost and payoff of ambient documentation — https://www.proquest.com/openview/574eebe7a1f1dcd2ca5d88f6a9a22a7b/1?pq-origsite=gscholar&amp;cbl=18750&amp;diss=y</w:t>
      </w:r>
    </w:p>
    <w:p>
      <w:pPr>
        <w:pStyle w:val="ListBullet"/>
      </w:pPr>
      <w:r>
        <w:t>Case 7 — Why a visible explanation is necessary—but not sufficient — https://www.sciencedirect.com/science/article/pii/B9780443239793000063</w:t>
      </w:r>
    </w:p>
    <w:p>
      <w:pPr>
        <w:pStyle w:val="Heading2"/>
      </w:pPr>
      <w:r>
        <w:t>Governance and supporting evidence</w:t>
      </w:r>
    </w:p>
    <w:p>
      <w:pPr>
        <w:pStyle w:val="ListBullet"/>
      </w:pPr>
      <w:r>
        <w:t>Digital Personal Data Protection Rules, 2025 (MeitY, Government of India, 2025) — https://www.meity.gov.in/documents/act-and-policies/digital-personal-data-protection-rules-2025-gDOxUjMtQWa?pageTitle=Digital-Personal-Data-Protection-Rules-2025 — Use: Purpose limitation, notice, security and breach governance</w:t>
      </w:r>
    </w:p>
    <w:p>
      <w:pPr>
        <w:pStyle w:val="ListBullet"/>
      </w:pPr>
      <w:r>
        <w:t>Ethical Guidelines for Application of AI in Biomedical Research and Healthcare (ICMR, 2023) — https://www.icmr.gov.in/ethical-guidelines-for-application-of-artificial-intelligence-in-biomedical-research-and-healthcare — Use: Ethics, accountability, transparency, bias, consent and governance</w:t>
      </w:r>
    </w:p>
    <w:p>
      <w:pPr>
        <w:pStyle w:val="ListBullet"/>
      </w:pPr>
      <w:r>
        <w:t>Telemedicine Practice Guidelines / FAQs (National Medical Commission, 2020) — https://www.nmc.org.in/MCIRest/open/getDocument?path=%2FDocuments%2FPublic%2FPortal%2FLatestNews%2FFinal_FAQ-TELEMEDICINE++6-4-2020..pdf — Use: Consent, identification, documentation and clinical responsibility</w:t>
      </w:r>
    </w:p>
    <w:p>
      <w:pPr>
        <w:pStyle w:val="ListBullet"/>
      </w:pPr>
      <w:r>
        <w:t>Draft Guidance Document on Medical Device Software (CDSCO, 2025) — https://cdsco.gov.in/opencms/resources/UploadCDSCOWeb/2018/UploadPublic_NoticesFiles/Draft%20guidance%20document%20on%20Medical%20Device%20Software%2021%2010%202025.pdf — Use: Intended use, classification and regulatory pathway for medical device software</w:t>
      </w:r>
    </w:p>
    <w:p>
      <w:pPr>
        <w:pStyle w:val="ListBullet"/>
      </w:pPr>
      <w:r>
        <w:t>Uniform Code for Pharmaceutical Marketing Practices 2024 (Department of Pharmaceuticals, 2024; amended 2025) — https://pharma-dept.gov.in/policy/uniform-code-pharmaceutical-marketing-practices-ucpmp-2024-reg — Use: Promotion, medical communication, transparency and HCP engagement</w:t>
      </w:r>
    </w:p>
    <w:p>
      <w:pPr>
        <w:pStyle w:val="ListBullet"/>
      </w:pPr>
      <w:r>
        <w:t>Uniform Code for Marketing Practices in Medical Devices 2024 (Department of Pharmaceuticals, 2024; amended 2026) — https://pharma-dept.gov.in/policy/uniform-code-marketing-practices-medical-devices-ucmpmd-2024 — Use: Medical-device communication and promotion</w:t>
      </w:r>
    </w:p>
    <w:p>
      <w:pPr>
        <w:pStyle w:val="ListBullet"/>
      </w:pPr>
      <w:r>
        <w:t>eSanjeevani Programme (Online OPD) (Government of India, Current) — https://www.india.gov.in/category/health-wellness/subcategory/health-resources/details/esanjeevani-programme-online-opd — Use: India telemedicine service</w:t>
      </w:r>
    </w:p>
    <w:p>
      <w:pPr>
        <w:pStyle w:val="ListBullet"/>
      </w:pPr>
      <w:r>
        <w:t>Use of Ambient AI Scribes to Reduce Administrative Burden and Improve Clinician Well-being (JAMA Network Open, 2025) — https://jamanetwork.com/journals/jamanetworkopen/fullarticle/2839542 — Use: Ambient-scribe benefits and limitations</w:t>
      </w:r>
    </w:p>
    <w:p>
      <w:pPr>
        <w:pStyle w:val="ListBullet"/>
      </w:pPr>
      <w:r>
        <w:t>Impact of an Ambient AI Scribe Among Clinicians and Patients (JMIR Medical Informatics, 2026) — https://medinform.jmir.org/2026/1/e85580 — Use: Clinician and patient outcomes</w:t>
      </w:r>
    </w:p>
    <w:p>
      <w:pPr>
        <w:pStyle w:val="ListBullet"/>
      </w:pPr>
      <w:r>
        <w:t>Changes in Clinician Time Expenditure and Visit Quantity Following Ambient AI Scribe Use (JAMA, 2026) — https://jamanetwork.com/journals/jama/article-abstract/2847319 — Use: Time-use evidence</w:t>
      </w:r>
    </w:p>
    <w:p>
      <w:pPr>
        <w:pStyle w:val="ListBullet"/>
      </w:pPr>
      <w:r>
        <w:t>Multi-model assurance analysis of clinical hallucination risk (Communications Medicine, 2025) — https://www.nature.com/articles/s43856-025-01021-3 — Use: Hallucination and adversarial misinformation risk</w:t>
      </w:r>
    </w:p>
    <w:p>
      <w:pPr>
        <w:pStyle w:val="ListBullet"/>
      </w:pPr>
      <w:r>
        <w:t>Framework to assess clinical safety and hallucination rates (npj Digital Medicine / PMC, 2025) — https://pmc.ncbi.nlm.nih.gov/articles/PMC12075489/ — Use: Structured safety evaluation</w:t>
      </w:r>
    </w:p>
    <w:p>
      <w:pPr>
        <w:pStyle w:val="ListBullet"/>
      </w:pPr>
      <w:r>
        <w:t>Artificial Intelligence-Supported Patient-Centered Clinical Decision Support (AHRQ, 2024) — https://digital.ahrq.gov/sites/default/files/IAS%20Topic%20Highlight%20AI%20and%20PC%20CDS_508%20Compliant.pdf — Use: Shared decision-making and patient-centred CDS</w:t>
      </w:r>
    </w:p>
    <w:p>
      <w:pPr>
        <w:pStyle w:val="ListBullet"/>
      </w:pPr>
      <w:r>
        <w:t>Patient perspectives on clinicians' use of ambient AI scribes (JAMIA Open, 2026) — https://academic.oup.com/jamiaopen/article/9/3/ooag104/8707573 — Use: Patient acceptability and preference evidence</w:t>
      </w:r>
    </w:p>
    <w:p>
      <w:pPr>
        <w:pStyle w:val="ListBullet"/>
      </w:pPr>
      <w:r>
        <w:t>Medscape AI (Medscape, Current) — https://www.medscape.com/sites/public/medscape-ai — Use: Clinical evidence tool and access</w:t>
      </w:r>
    </w:p>
    <w:p>
      <w:pPr>
        <w:pStyle w:val="ListBullet"/>
      </w:pPr>
      <w:r>
        <w:t>OpenEvidence (OpenEvidence, Current) — https://www.openevidence.com/ — Use: US clinician access restriction and evidence search</w:t>
      </w:r>
    </w:p>
    <w:p>
      <w:pPr>
        <w:pStyle w:val="ListBullet"/>
      </w:pPr>
      <w:r>
        <w:t>ClinicalKey AI (Elsevier, Current) — https://www.elsevier.com/products/clinicalkey/clinicalkey-ai — Use: Evidence-grounded clinical decision support</w:t>
      </w:r>
    </w:p>
    <w:p>
      <w:pPr>
        <w:pStyle w:val="ListBullet"/>
      </w:pPr>
      <w:r>
        <w:t>VisualDx (VisualDx, Current) — https://www.visualdx.com/ — Use: Visual clinical decision support</w:t>
      </w:r>
    </w:p>
    <w:p>
      <w:pPr>
        <w:pStyle w:val="ListBullet"/>
      </w:pPr>
      <w:r>
        <w:t>Heidi Health (Heidi Health, Current) — https://www.heidihealth.com/ — Use: Ambient documentation and free entry point</w:t>
      </w:r>
    </w:p>
    <w:p>
      <w:pPr>
        <w:pStyle w:val="ListBullet"/>
      </w:pPr>
      <w:r>
        <w:t>Nabla (Nabla, Current) — https://www.nabla.com/ — Use: Ambient documentation and free trial</w:t>
      </w:r>
    </w:p>
    <w:p>
      <w:pPr>
        <w:pStyle w:val="ListBullet"/>
      </w:pPr>
      <w:r>
        <w:t>DxGPT FAQ (Foundation 29, Current) — https://dxgpt.app/faq — Use: Free access, decision-support status and limitations</w:t>
      </w:r>
    </w:p>
    <w:p>
      <w:pPr>
        <w:pStyle w:val="ListBullet"/>
      </w:pPr>
      <w:r>
        <w:t>Veeva Vault Medical (Veeva, Current) — https://www.veeva.com/products/vault-medical/ — Use: Medical-affairs workflow</w:t>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FINAL PRINCIPLE</w:t>
            </w:r>
          </w:p>
          <w:p>
            <w:pPr>
              <w:spacing w:after="0"/>
            </w:pPr>
            <w:r>
              <w:rPr>
                <w:rFonts w:ascii="Aptos" w:hAnsi="Aptos"/>
                <w:color w:val="18313F"/>
                <w:sz w:val="19"/>
              </w:rPr>
              <w:t>AI assists. Professionals decide. Patients remain the purpose.</w:t>
            </w:r>
          </w:p>
        </w:tc>
      </w:tr>
    </w:tbl>
    <w:p>
      <w:pPr>
        <w:spacing w:after="0"/>
      </w:pPr>
    </w:p>
    <w:p>
      <w:pPr>
        <w:jc w:val="center"/>
      </w:pPr>
      <w:r>
        <w:rPr>
          <w:b/>
          <w:color w:val="0B6E69"/>
        </w:rPr>
        <w:t>End of complete handbook</w:t>
      </w:r>
    </w:p>
    <w:sectPr w:rsidR="00FC693F" w:rsidRPr="0006063C" w:rsidSect="00034616">
      <w:headerReference w:type="default" r:id="rId9"/>
      <w:footerReference w:type="default" r:id="rId10"/>
      <w:pgSz w:w="11906" w:h="16838"/>
      <w:pgMar w:top="964" w:right="992" w:bottom="879" w:left="992" w:header="369"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2747E"/>
        <w:sz w:val="16"/>
      </w:rPr>
      <w:t xml:space="preserve">Patient-Centric Healthcare 5.0  •  Dr. Alok Tiwari  •  </w:t>
    </w:r>
    <w:r>
      <w:rPr>
        <w:color w:val="62747E"/>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B6E69"/>
        <w:sz w:val="15"/>
      </w:rPr>
      <w:t>COMPLETE HANDBOOK • 60 + 90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31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2438"/>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6E69"/>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56F9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B243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Patient-Centric Healthcare 5.0 – Complete Case and Workshop Handbook</dc:title>
  <dc:subject>150-minute MDP for doctors and pharmaceutical professionals</dc:subject>
  <dc:creator>Dr. Alok Tiwari</dc:creator>
  <cp:keywords>patient centricity, medical AI, diagnosis, research, professional presence</cp:keywords>
  <dc:description>generated by python-docx</dc:description>
  <cp:lastModifiedBy/>
  <cp:revision>1</cp:revision>
  <dcterms:created xsi:type="dcterms:W3CDTF">2013-12-23T23:15:00Z</dcterms:created>
  <dcterms:modified xsi:type="dcterms:W3CDTF">2013-12-23T23:15:00Z</dcterms:modified>
  <cp:category/>
</cp:coreProperties>
</file>