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Pr>
      <w:r>
        <w:rPr>
          <w:rFonts w:ascii="Times New Roman" w:hAnsi="Times New Roman"/>
          <w:b/>
          <w:i w:val="0"/>
          <w:sz w:val="40"/>
        </w:rPr>
        <w:t>Resilient Grid Intelligence: A Standards-Guided Graph Neural Network Framework for Incipient Fault Prediction and Cyber-Physical Anomaly Discrimination in Saudi Medium-Voltage Distribution Networks</w:t>
      </w:r>
    </w:p>
    <w:p>
      <w:pPr>
        <w:spacing w:after="40" w:before="0" w:line="240" w:lineRule="auto"/>
        <w:jc w:val="center"/>
      </w:pPr>
      <w:r>
        <w:rPr>
          <w:rFonts w:ascii="Times New Roman" w:hAnsi="Times New Roman"/>
          <w:b w:val="0"/>
          <w:i w:val="0"/>
          <w:sz w:val="22"/>
        </w:rPr>
        <w:t>Moustafa Elbehairy</w:t>
      </w:r>
      <w:r>
        <w:rPr>
          <w:rFonts w:ascii="Times New Roman" w:hAnsi="Times New Roman"/>
          <w:b w:val="0"/>
          <w:i w:val="0"/>
          <w:sz w:val="22"/>
          <w:vertAlign w:val="superscript"/>
        </w:rPr>
        <w:t>1,2</w:t>
      </w:r>
      <w:r>
        <w:rPr>
          <w:rFonts w:ascii="Times New Roman" w:hAnsi="Times New Roman"/>
          <w:b w:val="0"/>
          <w:i w:val="0"/>
          <w:sz w:val="22"/>
        </w:rPr>
        <w:t>, Ahmed Abu Abuseen</w:t>
      </w:r>
      <w:r>
        <w:rPr>
          <w:rFonts w:ascii="Times New Roman" w:hAnsi="Times New Roman"/>
          <w:b w:val="0"/>
          <w:i w:val="0"/>
          <w:sz w:val="22"/>
          <w:vertAlign w:val="superscript"/>
        </w:rPr>
        <w:t>1</w:t>
      </w:r>
      <w:r>
        <w:rPr>
          <w:rFonts w:ascii="Times New Roman" w:hAnsi="Times New Roman"/>
          <w:b w:val="0"/>
          <w:i w:val="0"/>
          <w:sz w:val="22"/>
        </w:rPr>
        <w:t>, Nasser Al-Maawi</w:t>
      </w:r>
      <w:r>
        <w:rPr>
          <w:rFonts w:ascii="Times New Roman" w:hAnsi="Times New Roman"/>
          <w:b w:val="0"/>
          <w:i w:val="0"/>
          <w:sz w:val="22"/>
          <w:vertAlign w:val="superscript"/>
        </w:rPr>
        <w:t>3</w:t>
      </w:r>
      <w:r>
        <w:rPr>
          <w:rFonts w:ascii="Times New Roman" w:hAnsi="Times New Roman"/>
          <w:b w:val="0"/>
          <w:i w:val="0"/>
          <w:sz w:val="22"/>
        </w:rPr>
        <w:t>, Amir Raouf</w:t>
      </w:r>
      <w:r>
        <w:rPr>
          <w:rFonts w:ascii="Times New Roman" w:hAnsi="Times New Roman"/>
          <w:b w:val="0"/>
          <w:i w:val="0"/>
          <w:sz w:val="22"/>
          <w:vertAlign w:val="superscript"/>
        </w:rPr>
        <w:t>4</w:t>
      </w:r>
      <w:r>
        <w:rPr>
          <w:rFonts w:ascii="Times New Roman" w:hAnsi="Times New Roman"/>
          <w:b w:val="0"/>
          <w:i w:val="0"/>
          <w:sz w:val="22"/>
        </w:rPr>
        <w:t>, and Ahmed Abdulrahman Al-Jafin</w:t>
      </w:r>
      <w:r>
        <w:rPr>
          <w:rFonts w:ascii="Times New Roman" w:hAnsi="Times New Roman"/>
          <w:b w:val="0"/>
          <w:i w:val="0"/>
          <w:sz w:val="22"/>
          <w:vertAlign w:val="superscript"/>
        </w:rPr>
        <w:t>5</w:t>
      </w:r>
    </w:p>
    <w:p>
      <w:pPr>
        <w:spacing w:after="20" w:before="0" w:line="240" w:lineRule="auto"/>
        <w:jc w:val="center"/>
      </w:pPr>
      <w:r>
        <w:rPr>
          <w:rFonts w:ascii="Times New Roman" w:hAnsi="Times New Roman"/>
          <w:b w:val="0"/>
          <w:i w:val="0"/>
          <w:sz w:val="18"/>
          <w:vertAlign w:val="superscript"/>
        </w:rPr>
        <w:t>1</w:t>
      </w:r>
      <w:r>
        <w:rPr>
          <w:rFonts w:ascii="Times New Roman" w:hAnsi="Times New Roman"/>
          <w:b w:val="0"/>
          <w:i w:val="0"/>
          <w:sz w:val="18"/>
        </w:rPr>
        <w:t xml:space="preserve">Nukhbaat Hulul Alamal, Riyadh, Saudi Arabia   </w:t>
      </w:r>
      <w:r>
        <w:rPr>
          <w:rFonts w:ascii="Times New Roman" w:hAnsi="Times New Roman"/>
          <w:b w:val="0"/>
          <w:i w:val="0"/>
          <w:sz w:val="18"/>
          <w:vertAlign w:val="superscript"/>
        </w:rPr>
        <w:t>2</w:t>
      </w:r>
      <w:r>
        <w:rPr>
          <w:rFonts w:ascii="Times New Roman" w:hAnsi="Times New Roman"/>
          <w:b w:val="0"/>
          <w:i w:val="0"/>
          <w:sz w:val="18"/>
        </w:rPr>
        <w:t xml:space="preserve">SystechHub, Germany   </w:t>
      </w:r>
      <w:r>
        <w:rPr>
          <w:rFonts w:ascii="Times New Roman" w:hAnsi="Times New Roman"/>
          <w:b w:val="0"/>
          <w:i w:val="0"/>
          <w:sz w:val="18"/>
          <w:vertAlign w:val="superscript"/>
        </w:rPr>
        <w:t>3</w:t>
      </w:r>
      <w:r>
        <w:rPr>
          <w:rFonts w:ascii="Times New Roman" w:hAnsi="Times New Roman"/>
          <w:b w:val="0"/>
          <w:i w:val="0"/>
          <w:sz w:val="18"/>
        </w:rPr>
        <w:t xml:space="preserve">United Specialists Co., Saudi Arabia   </w:t>
      </w:r>
      <w:r>
        <w:rPr>
          <w:rFonts w:ascii="Times New Roman" w:hAnsi="Times New Roman"/>
          <w:b w:val="0"/>
          <w:i w:val="0"/>
          <w:sz w:val="18"/>
          <w:vertAlign w:val="superscript"/>
        </w:rPr>
        <w:t>4</w:t>
      </w:r>
      <w:r>
        <w:rPr>
          <w:rFonts w:ascii="Times New Roman" w:hAnsi="Times New Roman"/>
          <w:b w:val="0"/>
          <w:i w:val="0"/>
          <w:sz w:val="18"/>
        </w:rPr>
        <w:t xml:space="preserve">Karaz Platform, Saudi Arabia   </w:t>
      </w:r>
      <w:r>
        <w:rPr>
          <w:rFonts w:ascii="Times New Roman" w:hAnsi="Times New Roman"/>
          <w:b w:val="0"/>
          <w:i w:val="0"/>
          <w:sz w:val="18"/>
          <w:vertAlign w:val="superscript"/>
        </w:rPr>
        <w:t>5</w:t>
      </w:r>
      <w:r>
        <w:rPr>
          <w:rFonts w:ascii="Times New Roman" w:hAnsi="Times New Roman"/>
          <w:b w:val="0"/>
          <w:i w:val="0"/>
          <w:sz w:val="18"/>
        </w:rPr>
        <w:t>Energy Tower Company, Saudi Arabia</w:t>
      </w:r>
    </w:p>
    <w:p>
      <w:pPr>
        <w:spacing w:after="200" w:before="0" w:line="240" w:lineRule="auto"/>
        <w:jc w:val="center"/>
      </w:pPr>
      <w:r>
        <w:rPr>
          <w:rFonts w:ascii="Times New Roman" w:hAnsi="Times New Roman"/>
          <w:b w:val="0"/>
          <w:i w:val="0"/>
          <w:sz w:val="18"/>
        </w:rPr>
        <w:t>m.elbehairy@nukhbaa.sa, a.abuseen@nukhbaa.sa, nasser.a@usco-sa.com, amir.raouf@outlook.sa, aaljafin@etco.com.sa   |   Corresponding author: Moustafa Elbehairy</w:t>
      </w:r>
    </w:p>
    <w:p>
      <w:pPr>
        <w:sectPr>
          <w:pgSz w:w="12240" w:h="15840"/>
          <w:pgMar w:top="958" w:right="958" w:bottom="958" w:left="958" w:header="720" w:footer="720" w:gutter="0"/>
          <w:docGrid w:linePitch="360"/>
          <w:cols w:num="1" w:space="238" w:equalWidth="1"/>
        </w:sectPr>
      </w:pPr>
    </w:p>
    <w:p>
      <w:pPr>
        <w:spacing w:after="80" w:before="0" w:line="240" w:lineRule="auto"/>
        <w:jc w:val="both"/>
      </w:pPr>
      <w:r>
        <w:rPr>
          <w:rFonts w:ascii="Times New Roman" w:hAnsi="Times New Roman"/>
          <w:b/>
          <w:sz w:val="18"/>
        </w:rPr>
        <w:t>Abstract—</w:t>
      </w:r>
      <w:r>
        <w:rPr>
          <w:rFonts w:ascii="Times New Roman" w:hAnsi="Times New Roman"/>
          <w:b/>
          <w:sz w:val="18"/>
        </w:rPr>
        <w:t>Most customer interruptions originate in medium-voltage networks, and failures of distribution transformers and cable joints emit measurable precursors days before breakdown. This paper develops VoltyGuard, which represents a 13.8 kV-class feeder as a dynamic graph and fuses standards-based diagnostics, physics-based thermal and power-flow models and a spatio-temporal graph neural network, with alerts gated by agreement between the standards and learned layers. A cyber-physical discriminator separates incipient faults from false data injection, and a regulation-aware scheduler maps lead time to actions admissible under the Saudi Electricity Regulatory Authority's guaranteed standards. On 24 simulated Riyadh summers of the IEEE 33-bus feeder, at the false-alarm budget of the standards alarm the framework detects 93% of failures with a median warning of 9.4 days (alarm: 85%, 4.0 days), reaches 88% precision at its own operating point, separates faults from attacks in 87% of episodes and converts every detected failure into a planned outage.</w:t>
      </w:r>
    </w:p>
    <w:p>
      <w:pPr>
        <w:spacing w:after="120" w:before="0" w:line="240" w:lineRule="auto"/>
        <w:jc w:val="both"/>
      </w:pPr>
      <w:r>
        <w:rPr>
          <w:rFonts w:ascii="Times New Roman" w:hAnsi="Times New Roman"/>
          <w:b/>
          <w:sz w:val="18"/>
        </w:rPr>
        <w:t>Index Terms—</w:t>
      </w:r>
      <w:r>
        <w:rPr>
          <w:rFonts w:ascii="Times New Roman" w:hAnsi="Times New Roman"/>
          <w:b/>
          <w:sz w:val="18"/>
        </w:rPr>
        <w:t>Cyber-physical security, dissolved gas analysis, distribution reliability, explainable AI, false data injection, graph neural networks, partial discharge, predictive maintenance, Saudi Arabia, transformer thermal model.</w:t>
      </w:r>
    </w:p>
    <w:p>
      <w:pPr>
        <w:keepNext/>
        <w:spacing w:after="80" w:before="160" w:line="240" w:lineRule="auto"/>
        <w:jc w:val="center"/>
      </w:pPr>
      <w:r>
        <w:rPr>
          <w:rFonts w:ascii="Times New Roman" w:hAnsi="Times New Roman"/>
          <w:b w:val="0"/>
          <w:i w:val="0"/>
          <w:smallCaps/>
          <w:sz w:val="20"/>
        </w:rPr>
        <w:t>I. Introduction</w:t>
      </w:r>
    </w:p>
    <w:p>
      <w:pPr>
        <w:spacing w:after="0" w:before="0" w:line="240" w:lineRule="auto"/>
        <w:ind w:firstLine="238"/>
        <w:jc w:val="both"/>
      </w:pPr>
      <w:r>
        <w:rPr>
          <w:rFonts w:ascii="Times New Roman" w:hAnsi="Times New Roman"/>
          <w:b w:val="0"/>
          <w:i w:val="0"/>
          <w:sz w:val="20"/>
        </w:rPr>
        <w:t>Saudi distribution networks are modernising quickly. Distribution automation was reported at about 40% by the end of 2025, with 12.3 GW of renewable capacity connected to the national grid [1], and the Saudi Electricity Company reported improvements of 17% in SAIDI and 19% in SAIFI for 2024 [2]. Sustaining those gains means moving from restoration after an outage to anticipation before it, and the medium-voltage (MV) network is where that shift pays most, because it is where most customer-minutes lost originate. The regulatory frame makes the economics explicit. The guaranteed service standards of the Saudi Electricity Regulatory Authority (SERA) require at least two days of notice before a planned interruption, restoration within six hours of a planned outage and within three hours of an unplanned one, with automatic customer compensation when a limit is breached [3]. A warning that arrives earlier than the 48-hour notice period can therefore be converted into a planned, compensated-free outage; one that arrives later cannot.</w:t>
      </w:r>
    </w:p>
    <w:p>
      <w:pPr>
        <w:spacing w:after="0" w:before="0" w:line="240" w:lineRule="auto"/>
        <w:ind w:firstLine="238"/>
        <w:jc w:val="both"/>
      </w:pPr>
      <w:r>
        <w:rPr>
          <w:rFonts w:ascii="Times New Roman" w:hAnsi="Times New Roman"/>
          <w:b w:val="0"/>
          <w:i w:val="0"/>
          <w:sz w:val="20"/>
        </w:rPr>
        <w:t>Two obstacles have slowed the use of machine learning for this purpose in utility control rooms. The first is trust: engineers do not act on opaque scores that contradict diagnostic standards they have applied for decades, a concern that the interpretability literature shares for high-stakes decisions [4]. The second is security. A model that consumes operational data inherits the attack surface of that data: coordinated false data injection (FDI) can pass residual-based bad-data detection [5] and either provoke an unnecessary switching operation or hide a genuine degradation. An early-warning system that cannot tell a failing transformer from a spoofed sensor is, in the attacker's hands, a remote switching tool.</w:t>
      </w:r>
    </w:p>
    <w:p>
      <w:pPr>
        <w:spacing w:after="0" w:before="0" w:line="240" w:lineRule="auto"/>
        <w:ind w:firstLine="238"/>
        <w:jc w:val="both"/>
      </w:pPr>
      <w:r>
        <w:rPr>
          <w:rFonts w:ascii="Times New Roman" w:hAnsi="Times New Roman"/>
          <w:b w:val="0"/>
          <w:i w:val="0"/>
          <w:sz w:val="20"/>
        </w:rPr>
        <w:t>This paper reports the full study announced in our accepted extended abstract. We make four contributions. (1) A standards-guided hybrid architecture in which a graph neural network (GNN) is fed with, and gated by, the outputs of IEEE C57.104 [6], IEC 60599 [7], IEC 60270 [8] and the IEC 60076-7 thermal model [9]. (2) A cyber-physical discriminator that uses cross-modal and power-flow consistency across neighbouring nodes to separate incipient faults, data-integrity attacks and sensor faults. (3) A regulation-aware scheduler that maps warning lead time to actions admissible under SERA's guaranteed standards, including an N-1 load-transfer check in a power-flow model. (4) A reproducible evaluation on the IEEE 33-bus feeder [10] under Riyadh summer load and temperature, with 116 degradation episodes, 75 injection attacks and 48 sensor malfunctions across 24 independent realisations, against static-threshold and per-asset learning baselines. Code, data generator and results are public.</w:t>
      </w:r>
    </w:p>
    <w:p>
      <w:pPr>
        <w:keepNext/>
        <w:spacing w:after="80" w:before="160" w:line="240" w:lineRule="auto"/>
        <w:jc w:val="center"/>
      </w:pPr>
      <w:r>
        <w:rPr>
          <w:rFonts w:ascii="Times New Roman" w:hAnsi="Times New Roman"/>
          <w:b w:val="0"/>
          <w:i w:val="0"/>
          <w:smallCaps/>
          <w:sz w:val="20"/>
        </w:rPr>
        <w:t>II. Background and Related Work</w:t>
      </w:r>
    </w:p>
    <w:p>
      <w:pPr>
        <w:spacing w:after="0" w:before="0" w:line="240" w:lineRule="auto"/>
        <w:ind w:firstLine="238"/>
        <w:jc w:val="both"/>
      </w:pPr>
      <w:r>
        <w:rPr>
          <w:rFonts w:ascii="Times New Roman" w:hAnsi="Times New Roman"/>
          <w:b w:val="0"/>
          <w:i w:val="0"/>
          <w:sz w:val="20"/>
        </w:rPr>
        <w:t>Transformer condition assessment is mature and standardised. Dissolved gas analysis (DGA) is interpreted with the gas-by-gas screening values and rate-of-change limits of IEEE C57.104-2019 [6] and the ratio methods of IEC 60599, including the Duval triangle [7], [11]; partial discharge (PD) is quantified per IEC 60270 [8]; and thermal ageing follows the loading guide IEC 60076-7 [9], whose exponential top-oil and hot-spot model has been validated for distribution units [12]. For underground cables, failures of joints and terminations are preceded by sub-cycle self-clearing arcing events that recur with increasing frequency; their detection and location from feeder-head recordings is well documented [13]–[15]. These methods, however, are applied asset by asset. A transformer is assessed without reference to the joint feeding it, and a recurring transient is attributed to a segment without reference to the voltage profile its neighbours observe.</w:t>
      </w:r>
    </w:p>
    <w:p>
      <w:pPr>
        <w:spacing w:after="0" w:before="0" w:line="240" w:lineRule="auto"/>
        <w:ind w:firstLine="238"/>
        <w:jc w:val="both"/>
      </w:pPr>
      <w:r>
        <w:rPr>
          <w:rFonts w:ascii="Times New Roman" w:hAnsi="Times New Roman"/>
          <w:b w:val="0"/>
          <w:i w:val="0"/>
          <w:sz w:val="20"/>
        </w:rPr>
        <w:t>Graph neural networks exploit grid topology directly through message passing [16], [17] and have been reviewed for power-system use [18]. They have located faults in distribution systems [19], localised faulted lines from sparse PMU data [20], estimated unmeasured states [21] and detected stealthy FDI attacks [22]. Machine learning has also been used to predict distribution faults under heatwaves from weather and asset data [23]. To our knowledge these strands remain separate: fault-prediction models assume trustworthy data, and FDI detectors do not reason about physical degradation. Neither connects its output to what a regulated operator may actually do with it. The gap this paper addresses is a single, standards-anchored model that separates normal operation, incipient physical faults and data-integrity attacks on the same graph, and that converts its output into actions admissible under national service regulation.</w:t>
      </w:r>
    </w:p>
    <w:p>
      <w:pPr>
        <w:keepNext/>
        <w:spacing w:after="80" w:before="160" w:line="240" w:lineRule="auto"/>
        <w:jc w:val="center"/>
      </w:pPr>
      <w:r>
        <w:rPr>
          <w:rFonts w:ascii="Times New Roman" w:hAnsi="Times New Roman"/>
          <w:b w:val="0"/>
          <w:i w:val="0"/>
          <w:smallCaps/>
          <w:sz w:val="20"/>
        </w:rPr>
        <w:t>III. Proposed Framework</w:t>
      </w:r>
    </w:p>
    <w:p>
      <w:pPr>
        <w:sectPr>
          <w:type w:val="continuous"/>
          <w:pgSz w:w="12240" w:h="15840"/>
          <w:pgMar w:top="958" w:right="958" w:bottom="958" w:left="958" w:header="720" w:footer="720" w:gutter="0"/>
          <w:docGrid w:linePitch="360"/>
          <w:cols w:num="2" w:space="238" w:equalWidth="1"/>
        </w:sectPr>
      </w:pPr>
    </w:p>
    <w:p>
      <w:pPr>
        <w:keepNext/>
        <w:spacing w:before="80"/>
        <w:jc w:val="center"/>
      </w:pPr>
      <w:r>
        <w:drawing>
          <wp:inline xmlns:a="http://schemas.openxmlformats.org/drawingml/2006/main" xmlns:pic="http://schemas.openxmlformats.org/drawingml/2006/picture">
            <wp:extent cx="6300000" cy="3573962"/>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6300000" cy="3573962"/>
                    </a:xfrm>
                    <a:prstGeom prst="rect"/>
                  </pic:spPr>
                </pic:pic>
              </a:graphicData>
            </a:graphic>
          </wp:inline>
        </w:drawing>
      </w:r>
    </w:p>
    <w:p>
      <w:pPr>
        <w:spacing w:after="120" w:before="0" w:line="240" w:lineRule="auto"/>
        <w:jc w:val="both"/>
      </w:pPr>
      <w:r>
        <w:rPr>
          <w:rFonts w:ascii="Times New Roman" w:hAnsi="Times New Roman"/>
          <w:b w:val="0"/>
          <w:i w:val="0"/>
          <w:sz w:val="16"/>
        </w:rPr>
        <w:t>Fig. 1.  VoltyGuard framework: multi-source data on a dynamic grid graph, three-layer hybrid inference, cyber-physical discrimination and agreement-gated operational outputs.</w:t>
      </w:r>
    </w:p>
    <w:p>
      <w:pPr>
        <w:sectPr>
          <w:type w:val="continuous"/>
          <w:pgSz w:w="12240" w:h="15840"/>
          <w:pgMar w:top="958" w:right="958" w:bottom="958" w:left="958" w:header="720" w:footer="720" w:gutter="0"/>
          <w:docGrid w:linePitch="360"/>
          <w:cols w:num="1" w:space="238" w:equalWidth="1"/>
        </w:sectPr>
      </w:pPr>
    </w:p>
    <w:p>
      <w:pPr>
        <w:keepNext/>
        <w:spacing w:after="40" w:before="100" w:line="240" w:lineRule="auto"/>
        <w:jc w:val="left"/>
      </w:pPr>
      <w:r>
        <w:rPr>
          <w:rFonts w:ascii="Times New Roman" w:hAnsi="Times New Roman"/>
          <w:b w:val="0"/>
          <w:i/>
          <w:sz w:val="20"/>
        </w:rPr>
        <w:t>A. Dynamic Grid Graph</w:t>
      </w:r>
    </w:p>
    <w:p>
      <w:pPr>
        <w:spacing w:after="0" w:before="0" w:line="240" w:lineRule="auto"/>
        <w:ind w:firstLine="238"/>
        <w:jc w:val="both"/>
      </w:pPr>
      <w:r>
        <w:rPr>
          <w:rFonts w:ascii="Times New Roman" w:hAnsi="Times New Roman"/>
          <w:b w:val="0"/>
          <w:i w:val="0"/>
          <w:sz w:val="20"/>
        </w:rPr>
        <w:t>The feeder is a graph whose nodes are assets (primary-substation busbar, cable sections and joints, distribution transformers, measurement points) and whose edges are electrical connections carrying series impedance. Topology, including normally-open points, is imported from the utility network model and updated from switch status, so reconfiguration changes the adjacency without retraining. Node features combine SCADA loads and voltages, branch flows, protection and fault-recorder events, condition-monitoring data where available (dissolved gases, PD, top-oil temperature), upstream synchrophasor data where available [24], asset rating and age, and ambient temperature. Fig. 1 summarises the architecture.</w:t>
      </w:r>
    </w:p>
    <w:p>
      <w:pPr>
        <w:keepNext/>
        <w:spacing w:after="40" w:before="100" w:line="240" w:lineRule="auto"/>
        <w:jc w:val="left"/>
      </w:pPr>
      <w:r>
        <w:rPr>
          <w:rFonts w:ascii="Times New Roman" w:hAnsi="Times New Roman"/>
          <w:b w:val="0"/>
          <w:i/>
          <w:sz w:val="20"/>
        </w:rPr>
        <w:t>B. Three-Layer Hybrid Inference</w:t>
      </w:r>
    </w:p>
    <w:p>
      <w:pPr>
        <w:spacing w:after="0" w:before="0" w:line="240" w:lineRule="auto"/>
        <w:ind w:firstLine="238"/>
        <w:jc w:val="both"/>
      </w:pPr>
      <w:r>
        <w:rPr>
          <w:rFonts w:ascii="Times New Roman" w:hAnsi="Times New Roman"/>
          <w:b w:val="0"/>
          <w:i/>
          <w:sz w:val="20"/>
        </w:rPr>
        <w:t>Layer 1</w:t>
      </w:r>
      <w:r>
        <w:rPr>
          <w:rFonts w:ascii="Times New Roman" w:hAnsi="Times New Roman"/>
          <w:b w:val="0"/>
          <w:i w:val="0"/>
          <w:sz w:val="20"/>
        </w:rPr>
        <w:t xml:space="preserve"> applies the standards-based rules of Section II to each asset and emits an interpretable code (normal, caution, alarm): DGA status from the C57.104 screening and rate limits, PD caution and alarm levels, self-clearing fault counts, and top-oil and hot-spot limits. </w:t>
      </w:r>
      <w:r>
        <w:rPr>
          <w:rFonts w:ascii="Times New Roman" w:hAnsi="Times New Roman"/>
          <w:b w:val="0"/>
          <w:i/>
          <w:sz w:val="20"/>
        </w:rPr>
        <w:t>Layer 2</w:t>
      </w:r>
      <w:r>
        <w:rPr>
          <w:rFonts w:ascii="Times New Roman" w:hAnsi="Times New Roman"/>
          <w:b w:val="0"/>
          <w:i w:val="0"/>
          <w:sz w:val="20"/>
        </w:rPr>
        <w:t xml:space="preserve"> computes physics-based quantities from the measured data: the IEC 60076-7 top-oil and hot-spot temperatures and the relative ageing rate implied by the measured load and ambient temperature, the residual between measured and modelled top-oil temperature, and two power-flow residuals obtained by solving the network with the measured loads, namely the voltage residual at each bus and the branch power-balance residual (measured flow minus the flow implied by all measured loads). </w:t>
      </w:r>
      <w:r>
        <w:rPr>
          <w:rFonts w:ascii="Times New Roman" w:hAnsi="Times New Roman"/>
          <w:b w:val="0"/>
          <w:i/>
          <w:sz w:val="20"/>
        </w:rPr>
        <w:t>Layer 3</w:t>
      </w:r>
      <w:r>
        <w:rPr>
          <w:rFonts w:ascii="Times New Roman" w:hAnsi="Times New Roman"/>
          <w:b w:val="0"/>
          <w:i w:val="0"/>
          <w:sz w:val="20"/>
        </w:rPr>
        <w:t xml:space="preserve"> is a spatio-temporal GNN. A gated recurrent unit encodes the last 24 h of every node's features; two GraphSAGE-style layers [17] then exchange messages over the admittance-weighted adjacency, so that each asset's representation includes the state of its electrical neighbours; two heads output the probability of failure within seven days and the probability of each anomaly class. Probabilities are calibrated by temperature scaling on validation data [25]. A </w:t>
      </w:r>
      <w:r>
        <w:rPr>
          <w:rFonts w:ascii="Times New Roman" w:hAnsi="Times New Roman"/>
          <w:b w:val="0"/>
          <w:i/>
          <w:sz w:val="20"/>
        </w:rPr>
        <w:t>critical</w:t>
      </w:r>
      <w:r>
        <w:rPr>
          <w:rFonts w:ascii="Times New Roman" w:hAnsi="Times New Roman"/>
          <w:b w:val="0"/>
          <w:i w:val="0"/>
          <w:sz w:val="20"/>
        </w:rPr>
        <w:t xml:space="preserve"> alert requires agreement between Layer 1 (code at least caution within the previous 24 h) and Layer 3 (calibrated probability above a threshold for three consecutive hours); a Layer-3 alert without Layer-1 support is routed to engineer review with the evidence of both layers.</w:t>
      </w:r>
    </w:p>
    <w:p>
      <w:pPr>
        <w:keepNext/>
        <w:spacing w:after="40" w:before="100" w:line="240" w:lineRule="auto"/>
        <w:jc w:val="left"/>
      </w:pPr>
      <w:r>
        <w:rPr>
          <w:rFonts w:ascii="Times New Roman" w:hAnsi="Times New Roman"/>
          <w:b w:val="0"/>
          <w:i/>
          <w:sz w:val="20"/>
        </w:rPr>
        <w:t>C. Cyber-Physical Anomaly Discrimination</w:t>
      </w:r>
    </w:p>
    <w:p>
      <w:pPr>
        <w:spacing w:after="0" w:before="0" w:line="240" w:lineRule="auto"/>
        <w:ind w:firstLine="238"/>
        <w:jc w:val="both"/>
      </w:pPr>
      <w:r>
        <w:rPr>
          <w:rFonts w:ascii="Times New Roman" w:hAnsi="Times New Roman"/>
          <w:b w:val="0"/>
          <w:i w:val="0"/>
          <w:sz w:val="20"/>
        </w:rPr>
        <w:t>Genuine incipient faults leave physically consistent signatures across independent modalities and neighbouring nodes: rising gases corroborate hot-spot temperatures computed from load, PD activity corroborates self-clearing events, and electrical quantities obey the power-flow equations across the graph. An attacker who manipulates one channel must spoof several modalities and several nodes consistently to avoid detection. The discriminator is the second head of Layer 3, trained on the Layer-2 residuals and on the neighbours' features, and it classifies each anomaly as incipient fault, suspected data-integrity attack or sensor malfunction. Suspected attacks never trigger switching recommendations; they are escalated to the security operations function.</w:t>
      </w:r>
    </w:p>
    <w:p>
      <w:pPr>
        <w:keepNext/>
        <w:spacing w:after="40" w:before="100" w:line="240" w:lineRule="auto"/>
        <w:jc w:val="left"/>
      </w:pPr>
      <w:r>
        <w:rPr>
          <w:rFonts w:ascii="Times New Roman" w:hAnsi="Times New Roman"/>
          <w:b w:val="0"/>
          <w:i/>
          <w:sz w:val="20"/>
        </w:rPr>
        <w:t>D. Regulation-Aware Maintenance Scheduler</w:t>
      </w:r>
    </w:p>
    <w:p>
      <w:pPr>
        <w:spacing w:after="0" w:before="0" w:line="240" w:lineRule="auto"/>
        <w:ind w:firstLine="238"/>
        <w:jc w:val="both"/>
      </w:pPr>
      <w:r>
        <w:rPr>
          <w:rFonts w:ascii="Times New Roman" w:hAnsi="Times New Roman"/>
          <w:b w:val="0"/>
          <w:i w:val="0"/>
          <w:sz w:val="20"/>
        </w:rPr>
        <w:t>The scheduler converts each critical alert into an admissible action given its lead time, the N-1 margin of adjacent assets and customer criticality (Table I). For a cable-section alert the N-1 check opens the section, closes the best normally-open tie and solves the power flow, accepting the transfer when all bus voltages stay above 0.95 p.u. and no cable exceeds its ampacity. For a transformer alert the check compares the spare capacity of the adjacent unit with the load to be transferred.</w:t>
      </w:r>
    </w:p>
    <w:p>
      <w:pPr>
        <w:keepNext/>
        <w:spacing w:after="0" w:before="120" w:line="240" w:lineRule="auto"/>
        <w:jc w:val="center"/>
      </w:pPr>
      <w:r>
        <w:rPr>
          <w:rFonts w:ascii="Times New Roman" w:hAnsi="Times New Roman"/>
          <w:b w:val="0"/>
          <w:i w:val="0"/>
          <w:sz w:val="16"/>
        </w:rPr>
        <w:t>TABLE I</w:t>
      </w:r>
    </w:p>
    <w:p>
      <w:pPr>
        <w:keepNext/>
        <w:spacing w:after="40" w:before="0" w:line="240" w:lineRule="auto"/>
        <w:jc w:val="center"/>
      </w:pPr>
      <w:r>
        <w:rPr>
          <w:rFonts w:ascii="Times New Roman" w:hAnsi="Times New Roman"/>
          <w:b w:val="0"/>
          <w:i w:val="0"/>
          <w:sz w:val="15"/>
        </w:rPr>
        <w:t>MAPPING OF PREDICTION LEAD TIME TO ADMISSIBLE ACTIONS</w:t>
      </w:r>
    </w:p>
    <w:tbl>
      <w:tblPr>
        <w:tblStyle w:val="TableGrid"/>
        <w:jc w:val="center"/>
        <w:tblLayout w:type="fixed"/>
        <w:tblLook w:firstColumn="1" w:firstRow="1" w:lastColumn="0" w:lastRow="0" w:noHBand="0" w:noVBand="1" w:val="04A0"/>
        <w:tblLayout w:type="fixed"/>
        <w:tblW w:w="4818" w:type="dxa"/>
      </w:tblPr>
      <w:tblGrid>
        <w:gridCol w:w="907"/>
        <w:gridCol w:w="2437"/>
        <w:gridCol w:w="1474"/>
      </w:tblGrid>
      <w:tr>
        <w:trPr>
          <w:tblHeader w:val="true"/>
          <w:cantSplit w:val="true"/>
        </w:trPr>
        <w:tc>
          <w:tcPr>
            <w:tcW w:type="dxa" w:w="907"/>
            <w:shd w:val="clear" w:color="auto" w:fill="EDEDED"/>
          </w:tcPr>
          <w:p>
            <w:pPr>
              <w:keepNext/>
              <w:spacing w:after="0" w:line="240" w:lineRule="auto"/>
            </w:pPr>
            <w:r/>
            <w:r>
              <w:rPr>
                <w:rFonts w:ascii="Times New Roman" w:hAnsi="Times New Roman"/>
                <w:b/>
                <w:sz w:val="15"/>
              </w:rPr>
              <w:t>Lead time</w:t>
            </w:r>
          </w:p>
        </w:tc>
        <w:tc>
          <w:tcPr>
            <w:tcW w:type="dxa" w:w="2438"/>
            <w:shd w:val="clear" w:color="auto" w:fill="EDEDED"/>
          </w:tcPr>
          <w:p>
            <w:pPr>
              <w:keepNext/>
              <w:spacing w:after="0" w:line="240" w:lineRule="auto"/>
            </w:pPr>
            <w:r/>
            <w:r>
              <w:rPr>
                <w:rFonts w:ascii="Times New Roman" w:hAnsi="Times New Roman"/>
                <w:b/>
                <w:sz w:val="15"/>
              </w:rPr>
              <w:t>Admissible action proposed by the scheduler</w:t>
            </w:r>
          </w:p>
        </w:tc>
        <w:tc>
          <w:tcPr>
            <w:tcW w:type="dxa" w:w="1474"/>
            <w:shd w:val="clear" w:color="auto" w:fill="EDEDED"/>
          </w:tcPr>
          <w:p>
            <w:pPr>
              <w:keepNext/>
              <w:spacing w:after="0" w:line="240" w:lineRule="auto"/>
            </w:pPr>
            <w:r/>
            <w:r>
              <w:rPr>
                <w:rFonts w:ascii="Times New Roman" w:hAnsi="Times New Roman"/>
                <w:b/>
                <w:sz w:val="15"/>
              </w:rPr>
              <w:t>SERA guaranteed standard</w:t>
            </w:r>
          </w:p>
        </w:tc>
      </w:tr>
      <w:tr>
        <w:trPr>
          <w:cantSplit w:val="true"/>
        </w:trPr>
        <w:tc>
          <w:tcPr>
            <w:tcW w:type="dxa" w:w="907"/>
          </w:tcPr>
          <w:p>
            <w:pPr>
              <w:keepNext/>
              <w:spacing w:after="0" w:line="240" w:lineRule="auto"/>
            </w:pPr>
            <w:r/>
            <w:r>
              <w:rPr>
                <w:rFonts w:ascii="Times New Roman" w:hAnsi="Times New Roman"/>
                <w:b w:val="0"/>
                <w:sz w:val="15"/>
              </w:rPr>
              <w:t>≥ 48 h</w:t>
            </w:r>
          </w:p>
        </w:tc>
        <w:tc>
          <w:tcPr>
            <w:tcW w:type="dxa" w:w="2438"/>
          </w:tcPr>
          <w:p>
            <w:pPr>
              <w:keepNext/>
              <w:spacing w:after="0" w:line="240" w:lineRule="auto"/>
            </w:pPr>
            <w:r/>
            <w:r>
              <w:rPr>
                <w:rFonts w:ascii="Times New Roman" w:hAnsi="Times New Roman"/>
                <w:b w:val="0"/>
                <w:sz w:val="15"/>
              </w:rPr>
              <w:t>Planned outage with prior customer notice; repair or replacement in a low-impact window</w:t>
            </w:r>
          </w:p>
        </w:tc>
        <w:tc>
          <w:tcPr>
            <w:tcW w:type="dxa" w:w="1474"/>
          </w:tcPr>
          <w:p>
            <w:pPr>
              <w:keepNext/>
              <w:spacing w:after="0" w:line="240" w:lineRule="auto"/>
            </w:pPr>
            <w:r/>
            <w:r>
              <w:rPr>
                <w:rFonts w:ascii="Times New Roman" w:hAnsi="Times New Roman"/>
                <w:b w:val="0"/>
                <w:sz w:val="15"/>
              </w:rPr>
              <w:t>Std. 4 (notice ≥ 2 days); Std. 5 (restore ≤ 6 h)</w:t>
            </w:r>
          </w:p>
        </w:tc>
      </w:tr>
      <w:tr>
        <w:trPr>
          <w:cantSplit w:val="true"/>
        </w:trPr>
        <w:tc>
          <w:tcPr>
            <w:tcW w:type="dxa" w:w="907"/>
          </w:tcPr>
          <w:p>
            <w:pPr>
              <w:keepNext/>
              <w:spacing w:after="0" w:line="240" w:lineRule="auto"/>
            </w:pPr>
            <w:r/>
            <w:r>
              <w:rPr>
                <w:rFonts w:ascii="Times New Roman" w:hAnsi="Times New Roman"/>
                <w:b w:val="0"/>
                <w:sz w:val="15"/>
              </w:rPr>
              <w:t>&lt; 48 h, N-1 margin</w:t>
            </w:r>
          </w:p>
        </w:tc>
        <w:tc>
          <w:tcPr>
            <w:tcW w:type="dxa" w:w="2438"/>
          </w:tcPr>
          <w:p>
            <w:pPr>
              <w:keepNext/>
              <w:spacing w:after="0" w:line="240" w:lineRule="auto"/>
            </w:pPr>
            <w:r/>
            <w:r>
              <w:rPr>
                <w:rFonts w:ascii="Times New Roman" w:hAnsi="Times New Roman"/>
                <w:b w:val="0"/>
                <w:sz w:val="15"/>
              </w:rPr>
              <w:t>Load transfer to adjacent feeder or transformer; no customer interruption</w:t>
            </w:r>
          </w:p>
        </w:tc>
        <w:tc>
          <w:tcPr>
            <w:tcW w:type="dxa" w:w="1474"/>
          </w:tcPr>
          <w:p>
            <w:pPr>
              <w:keepNext/>
              <w:spacing w:after="0" w:line="240" w:lineRule="auto"/>
            </w:pPr>
            <w:r/>
            <w:r>
              <w:rPr>
                <w:rFonts w:ascii="Times New Roman" w:hAnsi="Times New Roman"/>
                <w:b w:val="0"/>
                <w:sz w:val="15"/>
              </w:rPr>
              <w:t>—</w:t>
            </w:r>
          </w:p>
        </w:tc>
      </w:tr>
      <w:tr>
        <w:trPr>
          <w:cantSplit w:val="true"/>
        </w:trPr>
        <w:tc>
          <w:tcPr>
            <w:tcW w:type="dxa" w:w="907"/>
          </w:tcPr>
          <w:p>
            <w:pPr>
              <w:keepNext/>
              <w:spacing w:after="0" w:line="240" w:lineRule="auto"/>
            </w:pPr>
            <w:r/>
            <w:r>
              <w:rPr>
                <w:rFonts w:ascii="Times New Roman" w:hAnsi="Times New Roman"/>
                <w:b w:val="0"/>
                <w:sz w:val="15"/>
              </w:rPr>
              <w:t>&lt; 48 h, no margin</w:t>
            </w:r>
          </w:p>
        </w:tc>
        <w:tc>
          <w:tcPr>
            <w:tcW w:type="dxa" w:w="2438"/>
          </w:tcPr>
          <w:p>
            <w:pPr>
              <w:keepNext/>
              <w:spacing w:after="0" w:line="240" w:lineRule="auto"/>
            </w:pPr>
            <w:r/>
            <w:r>
              <w:rPr>
                <w:rFonts w:ascii="Times New Roman" w:hAnsi="Times New Roman"/>
                <w:b w:val="0"/>
                <w:sz w:val="15"/>
              </w:rPr>
              <w:t>Pre-positioned crew, spare and mobile substation; controlled emergency response</w:t>
            </w:r>
          </w:p>
        </w:tc>
        <w:tc>
          <w:tcPr>
            <w:tcW w:type="dxa" w:w="1474"/>
          </w:tcPr>
          <w:p>
            <w:pPr>
              <w:keepNext/>
              <w:spacing w:after="0" w:line="240" w:lineRule="auto"/>
            </w:pPr>
            <w:r/>
            <w:r>
              <w:rPr>
                <w:rFonts w:ascii="Times New Roman" w:hAnsi="Times New Roman"/>
                <w:b w:val="0"/>
                <w:sz w:val="15"/>
              </w:rPr>
              <w:t>Std. 6 (restore ≤ 3 h)</w:t>
            </w:r>
          </w:p>
        </w:tc>
      </w:tr>
      <w:tr>
        <w:trPr>
          <w:cantSplit w:val="true"/>
        </w:trPr>
        <w:tc>
          <w:tcPr>
            <w:tcW w:type="dxa" w:w="907"/>
          </w:tcPr>
          <w:p>
            <w:pPr>
              <w:spacing w:after="0" w:line="240" w:lineRule="auto"/>
            </w:pPr>
            <w:r/>
            <w:r>
              <w:rPr>
                <w:rFonts w:ascii="Times New Roman" w:hAnsi="Times New Roman"/>
                <w:b w:val="0"/>
                <w:sz w:val="15"/>
              </w:rPr>
              <w:t>Fault occurred</w:t>
            </w:r>
          </w:p>
        </w:tc>
        <w:tc>
          <w:tcPr>
            <w:tcW w:type="dxa" w:w="2438"/>
          </w:tcPr>
          <w:p>
            <w:pPr>
              <w:spacing w:after="0" w:line="240" w:lineRule="auto"/>
            </w:pPr>
            <w:r/>
            <w:r>
              <w:rPr>
                <w:rFonts w:ascii="Times New Roman" w:hAnsi="Times New Roman"/>
                <w:b w:val="0"/>
                <w:sz w:val="15"/>
              </w:rPr>
              <w:t>Graph-based fault localisation to shorten restoration</w:t>
            </w:r>
          </w:p>
        </w:tc>
        <w:tc>
          <w:tcPr>
            <w:tcW w:type="dxa" w:w="1474"/>
          </w:tcPr>
          <w:p>
            <w:pPr>
              <w:spacing w:after="0" w:line="240" w:lineRule="auto"/>
            </w:pPr>
            <w:r/>
            <w:r>
              <w:rPr>
                <w:rFonts w:ascii="Times New Roman" w:hAnsi="Times New Roman"/>
                <w:b w:val="0"/>
                <w:sz w:val="15"/>
              </w:rPr>
              <w:t>Std. 6 (restore ≤ 3 h)</w:t>
            </w:r>
          </w:p>
        </w:tc>
      </w:tr>
    </w:tbl>
    <w:p>
      <w:pPr>
        <w:spacing w:after="80" w:before="0" w:line="240" w:lineRule="auto"/>
        <w:jc w:val="both"/>
      </w:pPr>
    </w:p>
    <w:p>
      <w:pPr>
        <w:keepNext/>
        <w:spacing w:after="80" w:before="160" w:line="240" w:lineRule="auto"/>
        <w:jc w:val="center"/>
      </w:pPr>
      <w:r>
        <w:rPr>
          <w:rFonts w:ascii="Times New Roman" w:hAnsi="Times New Roman"/>
          <w:b w:val="0"/>
          <w:i w:val="0"/>
          <w:smallCaps/>
          <w:sz w:val="20"/>
        </w:rPr>
        <w:t>IV. Simulation Study Design</w:t>
      </w:r>
    </w:p>
    <w:p>
      <w:pPr>
        <w:keepNext/>
        <w:spacing w:after="40" w:before="100" w:line="240" w:lineRule="auto"/>
        <w:jc w:val="left"/>
      </w:pPr>
      <w:r>
        <w:rPr>
          <w:rFonts w:ascii="Times New Roman" w:hAnsi="Times New Roman"/>
          <w:b w:val="0"/>
          <w:i/>
          <w:sz w:val="20"/>
        </w:rPr>
        <w:t>A. Feeder, Climate and Load</w:t>
      </w:r>
    </w:p>
    <w:p>
      <w:pPr>
        <w:spacing w:after="0" w:before="0" w:line="240" w:lineRule="auto"/>
        <w:ind w:firstLine="238"/>
        <w:jc w:val="both"/>
      </w:pPr>
      <w:r>
        <w:rPr>
          <w:rFonts w:ascii="Times New Roman" w:hAnsi="Times New Roman"/>
          <w:b w:val="0"/>
          <w:i w:val="0"/>
          <w:sz w:val="20"/>
        </w:rPr>
        <w:t>We use the IEEE 33-bus radial feeder of Baran and Wu [10] as shipped with pandapower [26] (12.66 kV, 3.715 MW and 2.3 MVAr at peak, 32 cable sections and five normally-open ties), representative of the 13.8 kV class operated in Saudi cities. Each load bus carries a distribution transformer sized at 0.95–1.35 times its peak apparent load; cable ampacities are assigned from the peak-case currents. Each realisation covers one summer of 92 days at hourly resolution. Ambient temperature follows Riyadh June–August normals (daily mean about 36 °C, a 16 K diurnal range with the maximum at 15:00, day-to-day autoregressive variation and two to three heatwave episodes of three to six days adding 3–5 K; on average 10.6 heatwave days per summer). Load combines residential and commercial diurnal shapes with a cooling sensitivity of 2.5% per kelvin above 30 °C, a weekend reduction and lognormal noise; the hourly network state is obtained by a backward-forward-sweep power flow.</w:t>
      </w:r>
    </w:p>
    <w:p>
      <w:pPr>
        <w:keepNext/>
        <w:spacing w:after="40" w:before="100" w:line="240" w:lineRule="auto"/>
        <w:jc w:val="left"/>
      </w:pPr>
      <w:r>
        <w:rPr>
          <w:rFonts w:ascii="Times New Roman" w:hAnsi="Times New Roman"/>
          <w:b w:val="0"/>
          <w:i/>
          <w:sz w:val="20"/>
        </w:rPr>
        <w:t>B. Degradation, Attack and Sensor-Fault Scenarios</w:t>
      </w:r>
    </w:p>
    <w:p>
      <w:pPr>
        <w:spacing w:after="0" w:before="0" w:line="240" w:lineRule="auto"/>
        <w:ind w:firstLine="238"/>
        <w:jc w:val="both"/>
      </w:pPr>
      <w:r>
        <w:rPr>
          <w:rFonts w:ascii="Times New Roman" w:hAnsi="Times New Roman"/>
          <w:b w:val="0"/>
          <w:i w:val="0"/>
          <w:sz w:val="20"/>
        </w:rPr>
        <w:t xml:space="preserve">Three transformer and joint processes are simulated per realisation (two to three of each). </w:t>
      </w:r>
      <w:r>
        <w:rPr>
          <w:rFonts w:ascii="Times New Roman" w:hAnsi="Times New Roman"/>
          <w:b w:val="0"/>
          <w:i/>
          <w:sz w:val="20"/>
        </w:rPr>
        <w:t>Transformer thermal ageing</w:t>
      </w:r>
      <w:r>
        <w:rPr>
          <w:rFonts w:ascii="Times New Roman" w:hAnsi="Times New Roman"/>
          <w:b w:val="0"/>
          <w:i w:val="0"/>
          <w:sz w:val="20"/>
        </w:rPr>
        <w:t xml:space="preserve">: under-sized units (rated at 0.68–0.84 times peak load) are driven through the IEC 60076-7 model (distribution ONAN parameters: top-oil rise 55 K, hot-spot gradient 23 K, loss ratio 5, exponents 0.8 and 1.6, oil time constant 180 min); the relative ageing rate accumulates into a damage index normalised so that failure occurs at a random day of the summer, and thermal-fault gases (C_2H_4, CH_4, C_2H_6, H_2, with C_2H_2 only near the end) are generated at a rate that rises with hot-spot temperature and accelerates once the damage index exceeds one half. </w:t>
      </w:r>
      <w:r>
        <w:rPr>
          <w:rFonts w:ascii="Times New Roman" w:hAnsi="Times New Roman"/>
          <w:b w:val="0"/>
          <w:i/>
          <w:sz w:val="20"/>
        </w:rPr>
        <w:t>Cable-joint degradation</w:t>
      </w:r>
      <w:r>
        <w:rPr>
          <w:rFonts w:ascii="Times New Roman" w:hAnsi="Times New Roman"/>
          <w:b w:val="0"/>
          <w:i w:val="0"/>
          <w:sz w:val="20"/>
        </w:rPr>
        <w:t xml:space="preserve">: a latent damage index grows from a random onset over 15–38 days, accelerated by load current; it drives a Poisson process of self-clearing faults (up to about four per day near failure, attributed to the correct segment with 80% probability and otherwise to an adjacent one, to mimic location error), a rising PD level where a monitor is installed, and a growing contact resistance that is written into the power-flow model so that neighbouring voltages respond physically. </w:t>
      </w:r>
      <w:r>
        <w:rPr>
          <w:rFonts w:ascii="Times New Roman" w:hAnsi="Times New Roman"/>
          <w:b w:val="0"/>
          <w:i/>
          <w:sz w:val="20"/>
        </w:rPr>
        <w:t>FDI attacks</w:t>
      </w:r>
      <w:r>
        <w:rPr>
          <w:rFonts w:ascii="Times New Roman" w:hAnsi="Times New Roman"/>
          <w:b w:val="0"/>
          <w:i w:val="0"/>
          <w:sz w:val="20"/>
        </w:rPr>
        <w:t xml:space="preserve"> of three kinds target healthy or degrading assets for two to eight days: a </w:t>
      </w:r>
      <w:r>
        <w:rPr>
          <w:rFonts w:ascii="Times New Roman" w:hAnsi="Times New Roman"/>
          <w:b w:val="0"/>
          <w:i/>
          <w:sz w:val="20"/>
        </w:rPr>
        <w:t>provoke</w:t>
      </w:r>
      <w:r>
        <w:rPr>
          <w:rFonts w:ascii="Times New Roman" w:hAnsi="Times New Roman"/>
          <w:b w:val="0"/>
          <w:i w:val="0"/>
          <w:sz w:val="20"/>
        </w:rPr>
        <w:t xml:space="preserve"> attack inflates the top-oil sensor and the online DGA of a healthy transformer to imitate degradation; a </w:t>
      </w:r>
      <w:r>
        <w:rPr>
          <w:rFonts w:ascii="Times New Roman" w:hAnsi="Times New Roman"/>
          <w:b w:val="0"/>
          <w:i/>
          <w:sz w:val="20"/>
        </w:rPr>
        <w:t>stealthy electrical</w:t>
      </w:r>
      <w:r>
        <w:rPr>
          <w:rFonts w:ascii="Times New Roman" w:hAnsi="Times New Roman"/>
          <w:b w:val="0"/>
          <w:i w:val="0"/>
          <w:sz w:val="20"/>
        </w:rPr>
        <w:t xml:space="preserve"> attack scales the load and the feeding-branch measurements of a node consistently with the local voltage drop, so that the node's own power-flow residual stays small while the parent branch's balance is violated; and a </w:t>
      </w:r>
      <w:r>
        <w:rPr>
          <w:rFonts w:ascii="Times New Roman" w:hAnsi="Times New Roman"/>
          <w:b w:val="0"/>
          <w:i/>
          <w:sz w:val="20"/>
        </w:rPr>
        <w:t>mask</w:t>
      </w:r>
      <w:r>
        <w:rPr>
          <w:rFonts w:ascii="Times New Roman" w:hAnsi="Times New Roman"/>
          <w:b w:val="0"/>
          <w:i w:val="0"/>
          <w:sz w:val="20"/>
        </w:rPr>
        <w:t xml:space="preserve"> attack replays the condition data of a degrading asset from 15 days earlier during its final days. </w:t>
      </w:r>
      <w:r>
        <w:rPr>
          <w:rFonts w:ascii="Times New Roman" w:hAnsi="Times New Roman"/>
          <w:b w:val="0"/>
          <w:i/>
          <w:sz w:val="20"/>
        </w:rPr>
        <w:t>Sensor malfunctions</w:t>
      </w:r>
      <w:r>
        <w:rPr>
          <w:rFonts w:ascii="Times New Roman" w:hAnsi="Times New Roman"/>
          <w:b w:val="0"/>
          <w:i w:val="0"/>
          <w:sz w:val="20"/>
        </w:rPr>
        <w:t xml:space="preserve"> are a stuck or drifting top-oil sensor. Measurement noise is 0.3% on voltages, 1% on powers and currents, 1 K on temperatures and 5% on gas concentrations. Online DGA is available on 51% of transformers (daily samples; the others are sampled monthly) and PD monitors on 48% of joints, which exposes the models to partial observability. Table II summarises the data.</w:t>
      </w:r>
    </w:p>
    <w:p>
      <w:pPr>
        <w:keepNext/>
        <w:spacing w:after="0" w:before="120" w:line="240" w:lineRule="auto"/>
        <w:jc w:val="center"/>
      </w:pPr>
      <w:r>
        <w:rPr>
          <w:rFonts w:ascii="Times New Roman" w:hAnsi="Times New Roman"/>
          <w:b w:val="0"/>
          <w:i w:val="0"/>
          <w:sz w:val="16"/>
        </w:rPr>
        <w:t>TABLE II</w:t>
      </w:r>
    </w:p>
    <w:p>
      <w:pPr>
        <w:keepNext/>
        <w:spacing w:after="40" w:before="0" w:line="240" w:lineRule="auto"/>
        <w:jc w:val="center"/>
      </w:pPr>
      <w:r>
        <w:rPr>
          <w:rFonts w:ascii="Times New Roman" w:hAnsi="Times New Roman"/>
          <w:b w:val="0"/>
          <w:i w:val="0"/>
          <w:sz w:val="15"/>
        </w:rPr>
        <w:t>SIMULATED DATA SET (24 REALISATIONS × 92 DAYS × 33 NODES)</w:t>
      </w:r>
    </w:p>
    <w:tbl>
      <w:tblPr>
        <w:tblStyle w:val="TableGrid"/>
        <w:jc w:val="center"/>
        <w:tblLayout w:type="fixed"/>
        <w:tblLook w:firstColumn="1" w:firstRow="1" w:lastColumn="0" w:lastRow="0" w:noHBand="0" w:noVBand="1" w:val="04A0"/>
        <w:tblLayout w:type="fixed"/>
        <w:tblW w:w="4818" w:type="dxa"/>
      </w:tblPr>
      <w:tblGrid>
        <w:gridCol w:w="3118"/>
        <w:gridCol w:w="1700"/>
      </w:tblGrid>
      <w:tr>
        <w:trPr>
          <w:tblHeader w:val="true"/>
          <w:cantSplit w:val="true"/>
        </w:trPr>
        <w:tc>
          <w:tcPr>
            <w:tcW w:type="dxa" w:w="3118"/>
            <w:shd w:val="clear" w:color="auto" w:fill="EDEDED"/>
          </w:tcPr>
          <w:p>
            <w:pPr>
              <w:keepNext/>
              <w:spacing w:after="0" w:line="240" w:lineRule="auto"/>
            </w:pPr>
            <w:r/>
            <w:r>
              <w:rPr>
                <w:rFonts w:ascii="Times New Roman" w:hAnsi="Times New Roman"/>
                <w:b/>
                <w:sz w:val="15"/>
              </w:rPr>
              <w:t>Quantity</w:t>
            </w:r>
          </w:p>
        </w:tc>
        <w:tc>
          <w:tcPr>
            <w:tcW w:type="dxa" w:w="1701"/>
            <w:shd w:val="clear" w:color="auto" w:fill="EDEDED"/>
          </w:tcPr>
          <w:p>
            <w:pPr>
              <w:keepNext/>
              <w:spacing w:after="0" w:line="240" w:lineRule="auto"/>
            </w:pPr>
            <w:r/>
            <w:r>
              <w:rPr>
                <w:rFonts w:ascii="Times New Roman" w:hAnsi="Times New Roman"/>
                <w:b/>
                <w:sz w:val="15"/>
              </w:rPr>
              <w:t>Value</w:t>
            </w:r>
          </w:p>
        </w:tc>
      </w:tr>
      <w:tr>
        <w:trPr>
          <w:cantSplit w:val="true"/>
        </w:trPr>
        <w:tc>
          <w:tcPr>
            <w:tcW w:type="dxa" w:w="3118"/>
          </w:tcPr>
          <w:p>
            <w:pPr>
              <w:keepNext/>
              <w:spacing w:after="0" w:line="240" w:lineRule="auto"/>
            </w:pPr>
            <w:r/>
            <w:r>
              <w:rPr>
                <w:rFonts w:ascii="Times New Roman" w:hAnsi="Times New Roman"/>
                <w:b w:val="0"/>
                <w:sz w:val="15"/>
              </w:rPr>
              <w:t>Node-hours (train / validation / test realisations)</w:t>
            </w:r>
          </w:p>
        </w:tc>
        <w:tc>
          <w:tcPr>
            <w:tcW w:type="dxa" w:w="1701"/>
          </w:tcPr>
          <w:p>
            <w:pPr>
              <w:keepNext/>
              <w:spacing w:after="0" w:line="240" w:lineRule="auto"/>
            </w:pPr>
            <w:r/>
            <w:r>
              <w:rPr>
                <w:rFonts w:ascii="Times New Roman" w:hAnsi="Times New Roman"/>
                <w:b w:val="0"/>
                <w:sz w:val="15"/>
              </w:rPr>
              <w:t>1,748,736 (14 / 4 / 6 realisations)</w:t>
            </w:r>
          </w:p>
        </w:tc>
      </w:tr>
      <w:tr>
        <w:trPr>
          <w:cantSplit w:val="true"/>
        </w:trPr>
        <w:tc>
          <w:tcPr>
            <w:tcW w:type="dxa" w:w="3118"/>
          </w:tcPr>
          <w:p>
            <w:pPr>
              <w:keepNext/>
              <w:spacing w:after="0" w:line="240" w:lineRule="auto"/>
            </w:pPr>
            <w:r/>
            <w:r>
              <w:rPr>
                <w:rFonts w:ascii="Times New Roman" w:hAnsi="Times New Roman"/>
                <w:b w:val="0"/>
                <w:sz w:val="15"/>
              </w:rPr>
              <w:t>Features per node (raw + rolling 24 h / 168 h statistics)</w:t>
            </w:r>
          </w:p>
        </w:tc>
        <w:tc>
          <w:tcPr>
            <w:tcW w:type="dxa" w:w="1701"/>
          </w:tcPr>
          <w:p>
            <w:pPr>
              <w:keepNext/>
              <w:spacing w:after="0" w:line="240" w:lineRule="auto"/>
            </w:pPr>
            <w:r/>
            <w:r>
              <w:rPr>
                <w:rFonts w:ascii="Times New Roman" w:hAnsi="Times New Roman"/>
                <w:b w:val="0"/>
                <w:sz w:val="15"/>
              </w:rPr>
              <w:t>30 + 52</w:t>
            </w:r>
          </w:p>
        </w:tc>
      </w:tr>
      <w:tr>
        <w:trPr>
          <w:cantSplit w:val="true"/>
        </w:trPr>
        <w:tc>
          <w:tcPr>
            <w:tcW w:type="dxa" w:w="3118"/>
          </w:tcPr>
          <w:p>
            <w:pPr>
              <w:keepNext/>
              <w:spacing w:after="0" w:line="240" w:lineRule="auto"/>
            </w:pPr>
            <w:r/>
            <w:r>
              <w:rPr>
                <w:rFonts w:ascii="Times New Roman" w:hAnsi="Times New Roman"/>
                <w:b w:val="0"/>
                <w:sz w:val="15"/>
              </w:rPr>
              <w:t>Node-hours labelled incipient / attack / sensor fault</w:t>
            </w:r>
          </w:p>
        </w:tc>
        <w:tc>
          <w:tcPr>
            <w:tcW w:type="dxa" w:w="1701"/>
          </w:tcPr>
          <w:p>
            <w:pPr>
              <w:keepNext/>
              <w:spacing w:after="0" w:line="240" w:lineRule="auto"/>
            </w:pPr>
            <w:r/>
            <w:r>
              <w:rPr>
                <w:rFonts w:ascii="Times New Roman" w:hAnsi="Times New Roman"/>
                <w:b w:val="0"/>
                <w:sz w:val="15"/>
              </w:rPr>
              <w:t>57,958 / 8,508 / 4,614</w:t>
            </w:r>
          </w:p>
        </w:tc>
      </w:tr>
      <w:tr>
        <w:trPr>
          <w:cantSplit w:val="true"/>
        </w:trPr>
        <w:tc>
          <w:tcPr>
            <w:tcW w:type="dxa" w:w="3118"/>
          </w:tcPr>
          <w:p>
            <w:pPr>
              <w:keepNext/>
              <w:spacing w:after="0" w:line="240" w:lineRule="auto"/>
            </w:pPr>
            <w:r/>
            <w:r>
              <w:rPr>
                <w:rFonts w:ascii="Times New Roman" w:hAnsi="Times New Roman"/>
                <w:b w:val="0"/>
                <w:sz w:val="15"/>
              </w:rPr>
              <w:t>Failure episodes: cable joints / transformers (test)</w:t>
            </w:r>
          </w:p>
        </w:tc>
        <w:tc>
          <w:tcPr>
            <w:tcW w:type="dxa" w:w="1701"/>
          </w:tcPr>
          <w:p>
            <w:pPr>
              <w:keepNext/>
              <w:spacing w:after="0" w:line="240" w:lineRule="auto"/>
            </w:pPr>
            <w:r/>
            <w:r>
              <w:rPr>
                <w:rFonts w:ascii="Times New Roman" w:hAnsi="Times New Roman"/>
                <w:b w:val="0"/>
                <w:sz w:val="15"/>
              </w:rPr>
              <w:t>59 / 57 (14 / 13)</w:t>
            </w:r>
          </w:p>
        </w:tc>
      </w:tr>
      <w:tr>
        <w:trPr>
          <w:cantSplit w:val="true"/>
        </w:trPr>
        <w:tc>
          <w:tcPr>
            <w:tcW w:type="dxa" w:w="3118"/>
          </w:tcPr>
          <w:p>
            <w:pPr>
              <w:keepNext/>
              <w:spacing w:after="0" w:line="240" w:lineRule="auto"/>
            </w:pPr>
            <w:r/>
            <w:r>
              <w:rPr>
                <w:rFonts w:ascii="Times New Roman" w:hAnsi="Times New Roman"/>
                <w:b w:val="0"/>
                <w:sz w:val="15"/>
              </w:rPr>
              <w:t>FDI episodes: provoke / electrical / mask (test)</w:t>
            </w:r>
          </w:p>
        </w:tc>
        <w:tc>
          <w:tcPr>
            <w:tcW w:type="dxa" w:w="1701"/>
          </w:tcPr>
          <w:p>
            <w:pPr>
              <w:keepNext/>
              <w:spacing w:after="0" w:line="240" w:lineRule="auto"/>
            </w:pPr>
            <w:r/>
            <w:r>
              <w:rPr>
                <w:rFonts w:ascii="Times New Roman" w:hAnsi="Times New Roman"/>
                <w:b w:val="0"/>
                <w:sz w:val="15"/>
              </w:rPr>
              <w:t>38 / 24 / 13 (11 / 6 / 4)</w:t>
            </w:r>
          </w:p>
        </w:tc>
      </w:tr>
      <w:tr>
        <w:trPr>
          <w:cantSplit w:val="true"/>
        </w:trPr>
        <w:tc>
          <w:tcPr>
            <w:tcW w:type="dxa" w:w="3118"/>
          </w:tcPr>
          <w:p>
            <w:pPr>
              <w:keepNext/>
              <w:spacing w:after="0" w:line="240" w:lineRule="auto"/>
            </w:pPr>
            <w:r/>
            <w:r>
              <w:rPr>
                <w:rFonts w:ascii="Times New Roman" w:hAnsi="Times New Roman"/>
                <w:b w:val="0"/>
                <w:sz w:val="15"/>
              </w:rPr>
              <w:t>Sensor-fault episodes: stuck / drift (test)</w:t>
            </w:r>
          </w:p>
        </w:tc>
        <w:tc>
          <w:tcPr>
            <w:tcW w:type="dxa" w:w="1701"/>
          </w:tcPr>
          <w:p>
            <w:pPr>
              <w:keepNext/>
              <w:spacing w:after="0" w:line="240" w:lineRule="auto"/>
            </w:pPr>
            <w:r/>
            <w:r>
              <w:rPr>
                <w:rFonts w:ascii="Times New Roman" w:hAnsi="Times New Roman"/>
                <w:b w:val="0"/>
                <w:sz w:val="15"/>
              </w:rPr>
              <w:t>24 / 24 (6 / 6)</w:t>
            </w:r>
          </w:p>
        </w:tc>
      </w:tr>
      <w:tr>
        <w:trPr>
          <w:cantSplit w:val="true"/>
        </w:trPr>
        <w:tc>
          <w:tcPr>
            <w:tcW w:type="dxa" w:w="3118"/>
          </w:tcPr>
          <w:p>
            <w:pPr>
              <w:keepNext/>
              <w:spacing w:after="0" w:line="240" w:lineRule="auto"/>
            </w:pPr>
            <w:r/>
            <w:r>
              <w:rPr>
                <w:rFonts w:ascii="Times New Roman" w:hAnsi="Times New Roman"/>
                <w:b w:val="0"/>
                <w:sz w:val="15"/>
              </w:rPr>
              <w:t>Layer-1 caution-or-alarm rate on normal node-hours</w:t>
            </w:r>
          </w:p>
        </w:tc>
        <w:tc>
          <w:tcPr>
            <w:tcW w:type="dxa" w:w="1701"/>
          </w:tcPr>
          <w:p>
            <w:pPr>
              <w:keepNext/>
              <w:spacing w:after="0" w:line="240" w:lineRule="auto"/>
            </w:pPr>
            <w:r/>
            <w:r>
              <w:rPr>
                <w:rFonts w:ascii="Times New Roman" w:hAnsi="Times New Roman"/>
                <w:b w:val="0"/>
                <w:sz w:val="15"/>
              </w:rPr>
              <w:t>3.6%</w:t>
            </w:r>
          </w:p>
        </w:tc>
      </w:tr>
      <w:tr>
        <w:trPr>
          <w:cantSplit w:val="true"/>
        </w:trPr>
        <w:tc>
          <w:tcPr>
            <w:tcW w:type="dxa" w:w="3118"/>
          </w:tcPr>
          <w:p>
            <w:pPr>
              <w:spacing w:after="0" w:line="240" w:lineRule="auto"/>
            </w:pPr>
            <w:r/>
            <w:r>
              <w:rPr>
                <w:rFonts w:ascii="Times New Roman" w:hAnsi="Times New Roman"/>
                <w:b w:val="0"/>
                <w:sz w:val="15"/>
              </w:rPr>
              <w:t>Simulation time per realisation (laptop CPU)</w:t>
            </w:r>
          </w:p>
        </w:tc>
        <w:tc>
          <w:tcPr>
            <w:tcW w:type="dxa" w:w="1701"/>
          </w:tcPr>
          <w:p>
            <w:pPr>
              <w:spacing w:after="0" w:line="240" w:lineRule="auto"/>
            </w:pPr>
            <w:r/>
            <w:r>
              <w:rPr>
                <w:rFonts w:ascii="Times New Roman" w:hAnsi="Times New Roman"/>
                <w:b w:val="0"/>
                <w:sz w:val="15"/>
              </w:rPr>
              <w:t>25 s</w:t>
            </w:r>
          </w:p>
        </w:tc>
      </w:tr>
    </w:tbl>
    <w:p>
      <w:pPr>
        <w:spacing w:after="80" w:before="0" w:line="240" w:lineRule="auto"/>
        <w:jc w:val="both"/>
      </w:pPr>
    </w:p>
    <w:p>
      <w:pPr>
        <w:keepNext/>
        <w:spacing w:after="40" w:before="100" w:line="240" w:lineRule="auto"/>
        <w:jc w:val="left"/>
      </w:pPr>
      <w:r>
        <w:rPr>
          <w:rFonts w:ascii="Times New Roman" w:hAnsi="Times New Roman"/>
          <w:b w:val="0"/>
          <w:i/>
          <w:sz w:val="20"/>
        </w:rPr>
        <w:t>C. Models, Baselines and Ablations</w:t>
      </w:r>
    </w:p>
    <w:p>
      <w:pPr>
        <w:spacing w:after="0" w:before="0" w:line="240" w:lineRule="auto"/>
        <w:ind w:firstLine="238"/>
        <w:jc w:val="both"/>
      </w:pPr>
      <w:r>
        <w:rPr>
          <w:rFonts w:ascii="Times New Roman" w:hAnsi="Times New Roman"/>
          <w:b w:val="0"/>
          <w:i/>
          <w:sz w:val="20"/>
        </w:rPr>
        <w:t>Static rules</w:t>
      </w:r>
      <w:r>
        <w:rPr>
          <w:rFonts w:ascii="Times New Roman" w:hAnsi="Times New Roman"/>
          <w:b w:val="0"/>
          <w:i w:val="0"/>
          <w:sz w:val="20"/>
        </w:rPr>
        <w:t xml:space="preserve"> use the Layer-1 code alone (alarm, or caution-or-alarm). The </w:t>
      </w:r>
      <w:r>
        <w:rPr>
          <w:rFonts w:ascii="Times New Roman" w:hAnsi="Times New Roman"/>
          <w:b w:val="0"/>
          <w:i/>
          <w:sz w:val="20"/>
        </w:rPr>
        <w:t>per-asset baseline</w:t>
      </w:r>
      <w:r>
        <w:rPr>
          <w:rFonts w:ascii="Times New Roman" w:hAnsi="Times New Roman"/>
          <w:b w:val="0"/>
          <w:i w:val="0"/>
          <w:sz w:val="20"/>
        </w:rPr>
        <w:t xml:space="preserve"> is a gradient-boosted tree ensemble [27] trained on each node's own features and rolling statistics, without neighbours; it represents the asset-isolated learning approach of [23]. </w:t>
      </w:r>
      <w:r>
        <w:rPr>
          <w:rFonts w:ascii="Times New Roman" w:hAnsi="Times New Roman"/>
          <w:b w:val="0"/>
          <w:i/>
          <w:sz w:val="20"/>
        </w:rPr>
        <w:t>VoltyGuard</w:t>
      </w:r>
      <w:r>
        <w:rPr>
          <w:rFonts w:ascii="Times New Roman" w:hAnsi="Times New Roman"/>
          <w:b w:val="0"/>
          <w:i w:val="0"/>
          <w:sz w:val="20"/>
        </w:rPr>
        <w:t xml:space="preserve"> is the network of Section III-B with hidden size 64 and 21,173 parameters, trained with class-weighted losses, AdamW, early stopping on the validation realisations and three random seeds. Two ablations remove the graph (adjacency set to zero, so each node sees only itself) and remove the Layer-1/2 features (the network sees raw measurements only). Realisations are split 14/4/6 into training, validation and test, so that no test asset, episode or weather trace is seen in training.</w:t>
      </w:r>
    </w:p>
    <w:p>
      <w:pPr>
        <w:keepNext/>
        <w:spacing w:after="40" w:before="100" w:line="240" w:lineRule="auto"/>
        <w:jc w:val="left"/>
      </w:pPr>
      <w:r>
        <w:rPr>
          <w:rFonts w:ascii="Times New Roman" w:hAnsi="Times New Roman"/>
          <w:b w:val="0"/>
          <w:i/>
          <w:sz w:val="20"/>
        </w:rPr>
        <w:t>D. Metrics</w:t>
      </w:r>
    </w:p>
    <w:p>
      <w:pPr>
        <w:spacing w:after="0" w:before="0" w:line="240" w:lineRule="auto"/>
        <w:ind w:firstLine="238"/>
        <w:jc w:val="both"/>
      </w:pPr>
      <w:r>
        <w:rPr>
          <w:rFonts w:ascii="Times New Roman" w:hAnsi="Times New Roman"/>
          <w:b w:val="0"/>
          <w:i w:val="0"/>
          <w:sz w:val="20"/>
        </w:rPr>
        <w:t xml:space="preserve">An alert is raised when the calibrated failure probability exceeds a threshold for three consecutive hours; the threshold is chosen on the validation realisations to maximise episode-level F1 (the </w:t>
      </w:r>
      <w:r>
        <w:rPr>
          <w:rFonts w:ascii="Times New Roman" w:hAnsi="Times New Roman"/>
          <w:b w:val="0"/>
          <w:i/>
          <w:sz w:val="20"/>
        </w:rPr>
        <w:t>F1 operating point</w:t>
      </w:r>
      <w:r>
        <w:rPr>
          <w:rFonts w:ascii="Times New Roman" w:hAnsi="Times New Roman"/>
          <w:b w:val="0"/>
          <w:i w:val="0"/>
          <w:sz w:val="20"/>
        </w:rPr>
        <w:t xml:space="preserve">); a second, </w:t>
      </w:r>
      <w:r>
        <w:rPr>
          <w:rFonts w:ascii="Times New Roman" w:hAnsi="Times New Roman"/>
          <w:b w:val="0"/>
          <w:i/>
          <w:sz w:val="20"/>
        </w:rPr>
        <w:t>matched-budget</w:t>
      </w:r>
      <w:r>
        <w:rPr>
          <w:rFonts w:ascii="Times New Roman" w:hAnsi="Times New Roman"/>
          <w:b w:val="0"/>
          <w:i w:val="0"/>
          <w:sz w:val="20"/>
        </w:rPr>
        <w:t xml:space="preserve"> threshold is the lowest one whose validation false-cluster rate stays within the false-cluster rate of the static alarm, which makes recall and lead time comparable across models at equal nuisance. A failure episode counts as detected if an alert occurs on that asset within the 45 days before failure, and its </w:t>
      </w:r>
      <w:r>
        <w:rPr>
          <w:rFonts w:ascii="Times New Roman" w:hAnsi="Times New Roman"/>
          <w:b w:val="0"/>
          <w:i/>
          <w:sz w:val="20"/>
        </w:rPr>
        <w:t>warning lead time</w:t>
      </w:r>
      <w:r>
        <w:rPr>
          <w:rFonts w:ascii="Times New Roman" w:hAnsi="Times New Roman"/>
          <w:b w:val="0"/>
          <w:i w:val="0"/>
          <w:sz w:val="20"/>
        </w:rPr>
        <w:t xml:space="preserve"> is the interval from the first such alert to failure. Alert runs on assets that do not fail within 45 days are </w:t>
      </w:r>
      <w:r>
        <w:rPr>
          <w:rFonts w:ascii="Times New Roman" w:hAnsi="Times New Roman"/>
          <w:b w:val="0"/>
          <w:i/>
          <w:sz w:val="20"/>
        </w:rPr>
        <w:t>false clusters</w:t>
      </w:r>
      <w:r>
        <w:rPr>
          <w:rFonts w:ascii="Times New Roman" w:hAnsi="Times New Roman"/>
          <w:b w:val="0"/>
          <w:i w:val="0"/>
          <w:sz w:val="20"/>
        </w:rPr>
        <w:t xml:space="preserve">, reported per 100 asset-days. Episode recall and precision follow. </w:t>
      </w:r>
      <w:r>
        <w:rPr>
          <w:rFonts w:ascii="Times New Roman" w:hAnsi="Times New Roman"/>
          <w:b w:val="0"/>
          <w:i/>
          <w:sz w:val="20"/>
        </w:rPr>
        <w:t>Discrimination accuracy</w:t>
      </w:r>
      <w:r>
        <w:rPr>
          <w:rFonts w:ascii="Times New Roman" w:hAnsi="Times New Roman"/>
          <w:b w:val="0"/>
          <w:i w:val="0"/>
          <w:sz w:val="20"/>
        </w:rPr>
        <w:t xml:space="preserve"> is the share of anomaly episodes whose majority class over the episode is correct; the fault-versus-attack figure restricts this to incipient-fault and FDI episodes. Calibration is the expected calibration error (ECE) on test node-hours [25]. The SERA mapping of Table I is applied to every detected failure at the hour of its first alert.</w:t>
      </w:r>
    </w:p>
    <w:p>
      <w:pPr>
        <w:keepNext/>
        <w:spacing w:after="80" w:before="160" w:line="240" w:lineRule="auto"/>
        <w:jc w:val="center"/>
      </w:pPr>
      <w:r>
        <w:rPr>
          <w:rFonts w:ascii="Times New Roman" w:hAnsi="Times New Roman"/>
          <w:b w:val="0"/>
          <w:i w:val="0"/>
          <w:smallCaps/>
          <w:sz w:val="20"/>
        </w:rPr>
        <w:t>V. Results</w:t>
      </w:r>
    </w:p>
    <w:p>
      <w:pPr>
        <w:keepNext/>
        <w:spacing w:after="40" w:before="100" w:line="240" w:lineRule="auto"/>
        <w:jc w:val="left"/>
      </w:pPr>
      <w:r>
        <w:rPr>
          <w:rFonts w:ascii="Times New Roman" w:hAnsi="Times New Roman"/>
          <w:b w:val="0"/>
          <w:i/>
          <w:sz w:val="20"/>
        </w:rPr>
        <w:t>A. Detection and Warning Lead Time</w:t>
      </w:r>
    </w:p>
    <w:p>
      <w:pPr>
        <w:keepNext/>
        <w:spacing w:after="0" w:before="120" w:line="240" w:lineRule="auto"/>
        <w:jc w:val="center"/>
      </w:pPr>
      <w:r>
        <w:rPr>
          <w:rFonts w:ascii="Times New Roman" w:hAnsi="Times New Roman"/>
          <w:b w:val="0"/>
          <w:i w:val="0"/>
          <w:sz w:val="16"/>
        </w:rPr>
        <w:t>TABLE III</w:t>
      </w:r>
    </w:p>
    <w:p>
      <w:pPr>
        <w:keepNext/>
        <w:spacing w:after="40" w:before="0" w:line="240" w:lineRule="auto"/>
        <w:jc w:val="center"/>
      </w:pPr>
      <w:r>
        <w:rPr>
          <w:rFonts w:ascii="Times New Roman" w:hAnsi="Times New Roman"/>
          <w:b w:val="0"/>
          <w:i w:val="0"/>
          <w:sz w:val="15"/>
        </w:rPr>
        <w:t>EPISODE-LEVEL PERFORMANCE ON THE SIX TEST REALISATIONS (27 FAILURES; MEANS OVER THREE SEEDS; SEED S.D. OF RECALL AND LEAD IN THE TEXT). COLUMNS 2–6: F1 OPERATING POINT; 7–8: MATCHED FALSE-ALARM BUDGET (0.54 FALSE CLUSTERS / 100 ASSET-DAYS)</w:t>
      </w:r>
    </w:p>
    <w:tbl>
      <w:tblPr>
        <w:tblStyle w:val="TableGrid"/>
        <w:jc w:val="center"/>
        <w:tblLayout w:type="fixed"/>
        <w:tblLook w:firstColumn="1" w:firstRow="1" w:lastColumn="0" w:lastRow="0" w:noHBand="0" w:noVBand="1" w:val="04A0"/>
        <w:tblLayout w:type="fixed"/>
        <w:tblW w:w="4875" w:type="dxa"/>
      </w:tblPr>
      <w:tblGrid>
        <w:gridCol w:w="1559"/>
        <w:gridCol w:w="481"/>
        <w:gridCol w:w="453"/>
        <w:gridCol w:w="481"/>
        <w:gridCol w:w="481"/>
        <w:gridCol w:w="425"/>
        <w:gridCol w:w="481"/>
        <w:gridCol w:w="510"/>
      </w:tblGrid>
      <w:tr>
        <w:trPr>
          <w:tblHeader w:val="true"/>
          <w:cantSplit w:val="true"/>
        </w:trPr>
        <w:tc>
          <w:tcPr>
            <w:tcW w:type="dxa" w:w="1559"/>
            <w:shd w:val="clear" w:color="auto" w:fill="EDEDED"/>
          </w:tcPr>
          <w:p>
            <w:pPr>
              <w:keepNext/>
              <w:spacing w:after="0" w:line="240" w:lineRule="auto"/>
            </w:pPr>
            <w:r/>
            <w:r>
              <w:rPr>
                <w:rFonts w:ascii="Times New Roman" w:hAnsi="Times New Roman"/>
                <w:b/>
                <w:sz w:val="13"/>
              </w:rPr>
              <w:t>Model</w:t>
            </w:r>
          </w:p>
        </w:tc>
        <w:tc>
          <w:tcPr>
            <w:tcW w:type="dxa" w:w="482"/>
            <w:shd w:val="clear" w:color="auto" w:fill="EDEDED"/>
          </w:tcPr>
          <w:p>
            <w:pPr>
              <w:keepNext/>
              <w:spacing w:after="0" w:line="240" w:lineRule="auto"/>
            </w:pPr>
            <w:r/>
            <w:r>
              <w:rPr>
                <w:rFonts w:ascii="Times New Roman" w:hAnsi="Times New Roman"/>
                <w:b/>
                <w:sz w:val="13"/>
              </w:rPr>
              <w:t>Recall</w:t>
            </w:r>
          </w:p>
        </w:tc>
        <w:tc>
          <w:tcPr>
            <w:tcW w:type="dxa" w:w="454"/>
            <w:shd w:val="clear" w:color="auto" w:fill="EDEDED"/>
          </w:tcPr>
          <w:p>
            <w:pPr>
              <w:keepNext/>
              <w:spacing w:after="0" w:line="240" w:lineRule="auto"/>
            </w:pPr>
            <w:r/>
            <w:r>
              <w:rPr>
                <w:rFonts w:ascii="Times New Roman" w:hAnsi="Times New Roman"/>
                <w:b/>
                <w:sz w:val="13"/>
              </w:rPr>
              <w:t>Prec.</w:t>
            </w:r>
          </w:p>
        </w:tc>
        <w:tc>
          <w:tcPr>
            <w:tcW w:type="dxa" w:w="482"/>
            <w:shd w:val="clear" w:color="auto" w:fill="EDEDED"/>
          </w:tcPr>
          <w:p>
            <w:pPr>
              <w:keepNext/>
              <w:spacing w:after="0" w:line="240" w:lineRule="auto"/>
            </w:pPr>
            <w:r/>
            <w:r>
              <w:rPr>
                <w:rFonts w:ascii="Times New Roman" w:hAnsi="Times New Roman"/>
                <w:b/>
                <w:sz w:val="13"/>
              </w:rPr>
              <w:t>FA/100</w:t>
            </w:r>
          </w:p>
        </w:tc>
        <w:tc>
          <w:tcPr>
            <w:tcW w:type="dxa" w:w="482"/>
            <w:shd w:val="clear" w:color="auto" w:fill="EDEDED"/>
          </w:tcPr>
          <w:p>
            <w:pPr>
              <w:keepNext/>
              <w:spacing w:after="0" w:line="240" w:lineRule="auto"/>
            </w:pPr>
            <w:r/>
            <w:r>
              <w:rPr>
                <w:rFonts w:ascii="Times New Roman" w:hAnsi="Times New Roman"/>
                <w:b/>
                <w:sz w:val="13"/>
              </w:rPr>
              <w:t>Lead (d)</w:t>
            </w:r>
          </w:p>
        </w:tc>
        <w:tc>
          <w:tcPr>
            <w:tcW w:type="dxa" w:w="425"/>
            <w:shd w:val="clear" w:color="auto" w:fill="EDEDED"/>
          </w:tcPr>
          <w:p>
            <w:pPr>
              <w:keepNext/>
              <w:spacing w:after="0" w:line="240" w:lineRule="auto"/>
            </w:pPr>
            <w:r/>
            <w:r>
              <w:rPr>
                <w:rFonts w:ascii="Times New Roman" w:hAnsi="Times New Roman"/>
                <w:b/>
                <w:sz w:val="13"/>
              </w:rPr>
              <w:t>≥48 h</w:t>
            </w:r>
          </w:p>
        </w:tc>
        <w:tc>
          <w:tcPr>
            <w:tcW w:type="dxa" w:w="482"/>
            <w:shd w:val="clear" w:color="auto" w:fill="EDEDED"/>
          </w:tcPr>
          <w:p>
            <w:pPr>
              <w:keepNext/>
              <w:spacing w:after="0" w:line="240" w:lineRule="auto"/>
            </w:pPr>
            <w:r/>
            <w:r>
              <w:rPr>
                <w:rFonts w:ascii="Times New Roman" w:hAnsi="Times New Roman"/>
                <w:b/>
                <w:sz w:val="13"/>
              </w:rPr>
              <w:t>Rec.@B</w:t>
            </w:r>
          </w:p>
        </w:tc>
        <w:tc>
          <w:tcPr>
            <w:tcW w:type="dxa" w:w="510"/>
            <w:shd w:val="clear" w:color="auto" w:fill="EDEDED"/>
          </w:tcPr>
          <w:p>
            <w:pPr>
              <w:keepNext/>
              <w:spacing w:after="0" w:line="240" w:lineRule="auto"/>
            </w:pPr>
            <w:r/>
            <w:r>
              <w:rPr>
                <w:rFonts w:ascii="Times New Roman" w:hAnsi="Times New Roman"/>
                <w:b/>
                <w:sz w:val="13"/>
              </w:rPr>
              <w:t>Lead@B</w:t>
            </w:r>
          </w:p>
        </w:tc>
      </w:tr>
      <w:tr>
        <w:trPr>
          <w:cantSplit w:val="true"/>
        </w:trPr>
        <w:tc>
          <w:tcPr>
            <w:tcW w:type="dxa" w:w="1559"/>
          </w:tcPr>
          <w:p>
            <w:pPr>
              <w:keepNext/>
              <w:spacing w:after="0" w:line="240" w:lineRule="auto"/>
            </w:pPr>
            <w:r/>
            <w:r>
              <w:rPr>
                <w:rFonts w:ascii="Times New Roman" w:hAnsi="Times New Roman"/>
                <w:b w:val="0"/>
                <w:sz w:val="13"/>
              </w:rPr>
              <w:t>Static alarm (Layer 1 = alarm)</w:t>
            </w:r>
          </w:p>
        </w:tc>
        <w:tc>
          <w:tcPr>
            <w:tcW w:type="dxa" w:w="482"/>
          </w:tcPr>
          <w:p>
            <w:pPr>
              <w:keepNext/>
              <w:spacing w:after="0" w:line="240" w:lineRule="auto"/>
            </w:pPr>
            <w:r/>
            <w:r>
              <w:rPr>
                <w:rFonts w:ascii="Times New Roman" w:hAnsi="Times New Roman"/>
                <w:b w:val="0"/>
                <w:sz w:val="13"/>
              </w:rPr>
              <w:t>0.85</w:t>
            </w:r>
          </w:p>
        </w:tc>
        <w:tc>
          <w:tcPr>
            <w:tcW w:type="dxa" w:w="454"/>
          </w:tcPr>
          <w:p>
            <w:pPr>
              <w:keepNext/>
              <w:spacing w:after="0" w:line="240" w:lineRule="auto"/>
            </w:pPr>
            <w:r/>
            <w:r>
              <w:rPr>
                <w:rFonts w:ascii="Times New Roman" w:hAnsi="Times New Roman"/>
                <w:b w:val="0"/>
                <w:sz w:val="13"/>
              </w:rPr>
              <w:t>0.19</w:t>
            </w:r>
          </w:p>
        </w:tc>
        <w:tc>
          <w:tcPr>
            <w:tcW w:type="dxa" w:w="482"/>
          </w:tcPr>
          <w:p>
            <w:pPr>
              <w:keepNext/>
              <w:spacing w:after="0" w:line="240" w:lineRule="auto"/>
            </w:pPr>
            <w:r/>
            <w:r>
              <w:rPr>
                <w:rFonts w:ascii="Times New Roman" w:hAnsi="Times New Roman"/>
                <w:b w:val="0"/>
                <w:sz w:val="13"/>
              </w:rPr>
              <w:t>0.54</w:t>
            </w:r>
          </w:p>
        </w:tc>
        <w:tc>
          <w:tcPr>
            <w:tcW w:type="dxa" w:w="482"/>
          </w:tcPr>
          <w:p>
            <w:pPr>
              <w:keepNext/>
              <w:spacing w:after="0" w:line="240" w:lineRule="auto"/>
            </w:pPr>
            <w:r/>
            <w:r>
              <w:rPr>
                <w:rFonts w:ascii="Times New Roman" w:hAnsi="Times New Roman"/>
                <w:b w:val="0"/>
                <w:sz w:val="13"/>
              </w:rPr>
              <w:t>4.0</w:t>
            </w:r>
          </w:p>
        </w:tc>
        <w:tc>
          <w:tcPr>
            <w:tcW w:type="dxa" w:w="425"/>
          </w:tcPr>
          <w:p>
            <w:pPr>
              <w:keepNext/>
              <w:spacing w:after="0" w:line="240" w:lineRule="auto"/>
            </w:pPr>
            <w:r/>
            <w:r>
              <w:rPr>
                <w:rFonts w:ascii="Times New Roman" w:hAnsi="Times New Roman"/>
                <w:b w:val="0"/>
                <w:sz w:val="13"/>
              </w:rPr>
              <w:t>0.78</w:t>
            </w:r>
          </w:p>
        </w:tc>
        <w:tc>
          <w:tcPr>
            <w:tcW w:type="dxa" w:w="482"/>
          </w:tcPr>
          <w:p>
            <w:pPr>
              <w:keepNext/>
              <w:spacing w:after="0" w:line="240" w:lineRule="auto"/>
            </w:pPr>
            <w:r/>
            <w:r>
              <w:rPr>
                <w:rFonts w:ascii="Times New Roman" w:hAnsi="Times New Roman"/>
                <w:b w:val="0"/>
                <w:sz w:val="13"/>
              </w:rPr>
              <w:t>—</w:t>
            </w:r>
          </w:p>
        </w:tc>
        <w:tc>
          <w:tcPr>
            <w:tcW w:type="dxa" w:w="510"/>
          </w:tcPr>
          <w:p>
            <w:pPr>
              <w:keepNext/>
              <w:spacing w:after="0" w:line="240" w:lineRule="auto"/>
            </w:pPr>
            <w:r/>
            <w:r>
              <w:rPr>
                <w:rFonts w:ascii="Times New Roman" w:hAnsi="Times New Roman"/>
                <w:b w:val="0"/>
                <w:sz w:val="13"/>
              </w:rPr>
              <w:t>—</w:t>
            </w:r>
          </w:p>
        </w:tc>
      </w:tr>
      <w:tr>
        <w:trPr>
          <w:cantSplit w:val="true"/>
        </w:trPr>
        <w:tc>
          <w:tcPr>
            <w:tcW w:type="dxa" w:w="1559"/>
          </w:tcPr>
          <w:p>
            <w:pPr>
              <w:keepNext/>
              <w:spacing w:after="0" w:line="240" w:lineRule="auto"/>
            </w:pPr>
            <w:r/>
            <w:r>
              <w:rPr>
                <w:rFonts w:ascii="Times New Roman" w:hAnsi="Times New Roman"/>
                <w:b w:val="0"/>
                <w:sz w:val="13"/>
              </w:rPr>
              <w:t>Static caution-or-alarm</w:t>
            </w:r>
          </w:p>
        </w:tc>
        <w:tc>
          <w:tcPr>
            <w:tcW w:type="dxa" w:w="482"/>
          </w:tcPr>
          <w:p>
            <w:pPr>
              <w:keepNext/>
              <w:spacing w:after="0" w:line="240" w:lineRule="auto"/>
            </w:pPr>
            <w:r/>
            <w:r>
              <w:rPr>
                <w:rFonts w:ascii="Times New Roman" w:hAnsi="Times New Roman"/>
                <w:b w:val="0"/>
                <w:sz w:val="13"/>
              </w:rPr>
              <w:t>0.96</w:t>
            </w:r>
          </w:p>
        </w:tc>
        <w:tc>
          <w:tcPr>
            <w:tcW w:type="dxa" w:w="454"/>
          </w:tcPr>
          <w:p>
            <w:pPr>
              <w:keepNext/>
              <w:spacing w:after="0" w:line="240" w:lineRule="auto"/>
            </w:pPr>
            <w:r/>
            <w:r>
              <w:rPr>
                <w:rFonts w:ascii="Times New Roman" w:hAnsi="Times New Roman"/>
                <w:b w:val="0"/>
                <w:sz w:val="13"/>
              </w:rPr>
              <w:t>0.10</w:t>
            </w:r>
          </w:p>
        </w:tc>
        <w:tc>
          <w:tcPr>
            <w:tcW w:type="dxa" w:w="482"/>
          </w:tcPr>
          <w:p>
            <w:pPr>
              <w:keepNext/>
              <w:spacing w:after="0" w:line="240" w:lineRule="auto"/>
            </w:pPr>
            <w:r/>
            <w:r>
              <w:rPr>
                <w:rFonts w:ascii="Times New Roman" w:hAnsi="Times New Roman"/>
                <w:b w:val="0"/>
                <w:sz w:val="13"/>
              </w:rPr>
              <w:t>1.31</w:t>
            </w:r>
          </w:p>
        </w:tc>
        <w:tc>
          <w:tcPr>
            <w:tcW w:type="dxa" w:w="482"/>
          </w:tcPr>
          <w:p>
            <w:pPr>
              <w:keepNext/>
              <w:spacing w:after="0" w:line="240" w:lineRule="auto"/>
            </w:pPr>
            <w:r/>
            <w:r>
              <w:rPr>
                <w:rFonts w:ascii="Times New Roman" w:hAnsi="Times New Roman"/>
                <w:b w:val="0"/>
                <w:sz w:val="13"/>
              </w:rPr>
              <w:t>31.2</w:t>
            </w:r>
          </w:p>
        </w:tc>
        <w:tc>
          <w:tcPr>
            <w:tcW w:type="dxa" w:w="425"/>
          </w:tcPr>
          <w:p>
            <w:pPr>
              <w:keepNext/>
              <w:spacing w:after="0" w:line="240" w:lineRule="auto"/>
            </w:pPr>
            <w:r/>
            <w:r>
              <w:rPr>
                <w:rFonts w:ascii="Times New Roman" w:hAnsi="Times New Roman"/>
                <w:b w:val="0"/>
                <w:sz w:val="13"/>
              </w:rPr>
              <w:t>1.00</w:t>
            </w:r>
          </w:p>
        </w:tc>
        <w:tc>
          <w:tcPr>
            <w:tcW w:type="dxa" w:w="482"/>
          </w:tcPr>
          <w:p>
            <w:pPr>
              <w:keepNext/>
              <w:spacing w:after="0" w:line="240" w:lineRule="auto"/>
            </w:pPr>
            <w:r/>
            <w:r>
              <w:rPr>
                <w:rFonts w:ascii="Times New Roman" w:hAnsi="Times New Roman"/>
                <w:b w:val="0"/>
                <w:sz w:val="13"/>
              </w:rPr>
              <w:t>—</w:t>
            </w:r>
          </w:p>
        </w:tc>
        <w:tc>
          <w:tcPr>
            <w:tcW w:type="dxa" w:w="510"/>
          </w:tcPr>
          <w:p>
            <w:pPr>
              <w:keepNext/>
              <w:spacing w:after="0" w:line="240" w:lineRule="auto"/>
            </w:pPr>
            <w:r/>
            <w:r>
              <w:rPr>
                <w:rFonts w:ascii="Times New Roman" w:hAnsi="Times New Roman"/>
                <w:b w:val="0"/>
                <w:sz w:val="13"/>
              </w:rPr>
              <w:t>—</w:t>
            </w:r>
          </w:p>
        </w:tc>
      </w:tr>
      <w:tr>
        <w:trPr>
          <w:cantSplit w:val="true"/>
        </w:trPr>
        <w:tc>
          <w:tcPr>
            <w:tcW w:type="dxa" w:w="1559"/>
          </w:tcPr>
          <w:p>
            <w:pPr>
              <w:keepNext/>
              <w:spacing w:after="0" w:line="240" w:lineRule="auto"/>
            </w:pPr>
            <w:r/>
            <w:r>
              <w:rPr>
                <w:rFonts w:ascii="Times New Roman" w:hAnsi="Times New Roman"/>
                <w:b w:val="0"/>
                <w:sz w:val="13"/>
              </w:rPr>
              <w:t>Per-asset GBT</w:t>
            </w:r>
          </w:p>
        </w:tc>
        <w:tc>
          <w:tcPr>
            <w:tcW w:type="dxa" w:w="482"/>
          </w:tcPr>
          <w:p>
            <w:pPr>
              <w:keepNext/>
              <w:spacing w:after="0" w:line="240" w:lineRule="auto"/>
            </w:pPr>
            <w:r/>
            <w:r>
              <w:rPr>
                <w:rFonts w:ascii="Times New Roman" w:hAnsi="Times New Roman"/>
                <w:b w:val="0"/>
                <w:sz w:val="13"/>
              </w:rPr>
              <w:t>0.74</w:t>
            </w:r>
          </w:p>
        </w:tc>
        <w:tc>
          <w:tcPr>
            <w:tcW w:type="dxa" w:w="454"/>
          </w:tcPr>
          <w:p>
            <w:pPr>
              <w:keepNext/>
              <w:spacing w:after="0" w:line="240" w:lineRule="auto"/>
            </w:pPr>
            <w:r/>
            <w:r>
              <w:rPr>
                <w:rFonts w:ascii="Times New Roman" w:hAnsi="Times New Roman"/>
                <w:b w:val="0"/>
                <w:sz w:val="13"/>
              </w:rPr>
              <w:t>0.57</w:t>
            </w:r>
          </w:p>
        </w:tc>
        <w:tc>
          <w:tcPr>
            <w:tcW w:type="dxa" w:w="482"/>
          </w:tcPr>
          <w:p>
            <w:pPr>
              <w:keepNext/>
              <w:spacing w:after="0" w:line="240" w:lineRule="auto"/>
            </w:pPr>
            <w:r/>
            <w:r>
              <w:rPr>
                <w:rFonts w:ascii="Times New Roman" w:hAnsi="Times New Roman"/>
                <w:b w:val="0"/>
                <w:sz w:val="13"/>
              </w:rPr>
              <w:t>0.08</w:t>
            </w:r>
          </w:p>
        </w:tc>
        <w:tc>
          <w:tcPr>
            <w:tcW w:type="dxa" w:w="482"/>
          </w:tcPr>
          <w:p>
            <w:pPr>
              <w:keepNext/>
              <w:spacing w:after="0" w:line="240" w:lineRule="auto"/>
            </w:pPr>
            <w:r/>
            <w:r>
              <w:rPr>
                <w:rFonts w:ascii="Times New Roman" w:hAnsi="Times New Roman"/>
                <w:b w:val="0"/>
                <w:sz w:val="13"/>
              </w:rPr>
              <w:t>5.9</w:t>
            </w:r>
          </w:p>
        </w:tc>
        <w:tc>
          <w:tcPr>
            <w:tcW w:type="dxa" w:w="425"/>
          </w:tcPr>
          <w:p>
            <w:pPr>
              <w:keepNext/>
              <w:spacing w:after="0" w:line="240" w:lineRule="auto"/>
            </w:pPr>
            <w:r/>
            <w:r>
              <w:rPr>
                <w:rFonts w:ascii="Times New Roman" w:hAnsi="Times New Roman"/>
                <w:b w:val="0"/>
                <w:sz w:val="13"/>
              </w:rPr>
              <w:t>0.85</w:t>
            </w:r>
          </w:p>
        </w:tc>
        <w:tc>
          <w:tcPr>
            <w:tcW w:type="dxa" w:w="482"/>
          </w:tcPr>
          <w:p>
            <w:pPr>
              <w:keepNext/>
              <w:spacing w:after="0" w:line="240" w:lineRule="auto"/>
            </w:pPr>
            <w:r/>
            <w:r>
              <w:rPr>
                <w:rFonts w:ascii="Times New Roman" w:hAnsi="Times New Roman"/>
                <w:b w:val="0"/>
                <w:sz w:val="13"/>
              </w:rPr>
              <w:t>0.89</w:t>
            </w:r>
          </w:p>
        </w:tc>
        <w:tc>
          <w:tcPr>
            <w:tcW w:type="dxa" w:w="510"/>
          </w:tcPr>
          <w:p>
            <w:pPr>
              <w:keepNext/>
              <w:spacing w:after="0" w:line="240" w:lineRule="auto"/>
            </w:pPr>
            <w:r/>
            <w:r>
              <w:rPr>
                <w:rFonts w:ascii="Times New Roman" w:hAnsi="Times New Roman"/>
                <w:b w:val="0"/>
                <w:sz w:val="13"/>
              </w:rPr>
              <w:t>9.1</w:t>
            </w:r>
          </w:p>
        </w:tc>
      </w:tr>
      <w:tr>
        <w:trPr>
          <w:cantSplit w:val="true"/>
        </w:trPr>
        <w:tc>
          <w:tcPr>
            <w:tcW w:type="dxa" w:w="1559"/>
          </w:tcPr>
          <w:p>
            <w:pPr>
              <w:keepNext/>
              <w:spacing w:after="0" w:line="240" w:lineRule="auto"/>
            </w:pPr>
            <w:r/>
            <w:r>
              <w:rPr>
                <w:rFonts w:ascii="Times New Roman" w:hAnsi="Times New Roman"/>
                <w:b w:val="0"/>
                <w:sz w:val="13"/>
              </w:rPr>
              <w:t>GNN without standards/physics</w:t>
            </w:r>
          </w:p>
        </w:tc>
        <w:tc>
          <w:tcPr>
            <w:tcW w:type="dxa" w:w="482"/>
          </w:tcPr>
          <w:p>
            <w:pPr>
              <w:keepNext/>
              <w:spacing w:after="0" w:line="240" w:lineRule="auto"/>
            </w:pPr>
            <w:r/>
            <w:r>
              <w:rPr>
                <w:rFonts w:ascii="Times New Roman" w:hAnsi="Times New Roman"/>
                <w:b w:val="0"/>
                <w:sz w:val="13"/>
              </w:rPr>
              <w:t>0.74</w:t>
            </w:r>
          </w:p>
        </w:tc>
        <w:tc>
          <w:tcPr>
            <w:tcW w:type="dxa" w:w="454"/>
          </w:tcPr>
          <w:p>
            <w:pPr>
              <w:keepNext/>
              <w:spacing w:after="0" w:line="240" w:lineRule="auto"/>
            </w:pPr>
            <w:r/>
            <w:r>
              <w:rPr>
                <w:rFonts w:ascii="Times New Roman" w:hAnsi="Times New Roman"/>
                <w:b w:val="0"/>
                <w:sz w:val="13"/>
              </w:rPr>
              <w:t>0.75</w:t>
            </w:r>
          </w:p>
        </w:tc>
        <w:tc>
          <w:tcPr>
            <w:tcW w:type="dxa" w:w="482"/>
          </w:tcPr>
          <w:p>
            <w:pPr>
              <w:keepNext/>
              <w:spacing w:after="0" w:line="240" w:lineRule="auto"/>
            </w:pPr>
            <w:r/>
            <w:r>
              <w:rPr>
                <w:rFonts w:ascii="Times New Roman" w:hAnsi="Times New Roman"/>
                <w:b w:val="0"/>
                <w:sz w:val="13"/>
              </w:rPr>
              <w:t>0.04</w:t>
            </w:r>
          </w:p>
        </w:tc>
        <w:tc>
          <w:tcPr>
            <w:tcW w:type="dxa" w:w="482"/>
          </w:tcPr>
          <w:p>
            <w:pPr>
              <w:keepNext/>
              <w:spacing w:after="0" w:line="240" w:lineRule="auto"/>
            </w:pPr>
            <w:r/>
            <w:r>
              <w:rPr>
                <w:rFonts w:ascii="Times New Roman" w:hAnsi="Times New Roman"/>
                <w:b w:val="0"/>
                <w:sz w:val="13"/>
              </w:rPr>
              <w:t>6.5</w:t>
            </w:r>
          </w:p>
        </w:tc>
        <w:tc>
          <w:tcPr>
            <w:tcW w:type="dxa" w:w="425"/>
          </w:tcPr>
          <w:p>
            <w:pPr>
              <w:keepNext/>
              <w:spacing w:after="0" w:line="240" w:lineRule="auto"/>
            </w:pPr>
            <w:r/>
            <w:r>
              <w:rPr>
                <w:rFonts w:ascii="Times New Roman" w:hAnsi="Times New Roman"/>
                <w:b w:val="0"/>
                <w:sz w:val="13"/>
              </w:rPr>
              <w:t>0.98</w:t>
            </w:r>
          </w:p>
        </w:tc>
        <w:tc>
          <w:tcPr>
            <w:tcW w:type="dxa" w:w="482"/>
          </w:tcPr>
          <w:p>
            <w:pPr>
              <w:keepNext/>
              <w:spacing w:after="0" w:line="240" w:lineRule="auto"/>
            </w:pPr>
            <w:r/>
            <w:r>
              <w:rPr>
                <w:rFonts w:ascii="Times New Roman" w:hAnsi="Times New Roman"/>
                <w:b w:val="0"/>
                <w:sz w:val="13"/>
              </w:rPr>
              <w:t>0.85</w:t>
            </w:r>
          </w:p>
        </w:tc>
        <w:tc>
          <w:tcPr>
            <w:tcW w:type="dxa" w:w="510"/>
          </w:tcPr>
          <w:p>
            <w:pPr>
              <w:keepNext/>
              <w:spacing w:after="0" w:line="240" w:lineRule="auto"/>
            </w:pPr>
            <w:r/>
            <w:r>
              <w:rPr>
                <w:rFonts w:ascii="Times New Roman" w:hAnsi="Times New Roman"/>
                <w:b w:val="0"/>
                <w:sz w:val="13"/>
              </w:rPr>
              <w:t>10.7</w:t>
            </w:r>
          </w:p>
        </w:tc>
      </w:tr>
      <w:tr>
        <w:trPr>
          <w:cantSplit w:val="true"/>
        </w:trPr>
        <w:tc>
          <w:tcPr>
            <w:tcW w:type="dxa" w:w="1559"/>
          </w:tcPr>
          <w:p>
            <w:pPr>
              <w:keepNext/>
              <w:spacing w:after="0" w:line="240" w:lineRule="auto"/>
            </w:pPr>
            <w:r/>
            <w:r>
              <w:rPr>
                <w:rFonts w:ascii="Times New Roman" w:hAnsi="Times New Roman"/>
                <w:b w:val="0"/>
                <w:sz w:val="13"/>
              </w:rPr>
              <w:t>GNN without graph</w:t>
            </w:r>
          </w:p>
        </w:tc>
        <w:tc>
          <w:tcPr>
            <w:tcW w:type="dxa" w:w="482"/>
          </w:tcPr>
          <w:p>
            <w:pPr>
              <w:keepNext/>
              <w:spacing w:after="0" w:line="240" w:lineRule="auto"/>
            </w:pPr>
            <w:r/>
            <w:r>
              <w:rPr>
                <w:rFonts w:ascii="Times New Roman" w:hAnsi="Times New Roman"/>
                <w:b w:val="0"/>
                <w:sz w:val="13"/>
              </w:rPr>
              <w:t>0.63</w:t>
            </w:r>
          </w:p>
        </w:tc>
        <w:tc>
          <w:tcPr>
            <w:tcW w:type="dxa" w:w="454"/>
          </w:tcPr>
          <w:p>
            <w:pPr>
              <w:keepNext/>
              <w:spacing w:after="0" w:line="240" w:lineRule="auto"/>
            </w:pPr>
            <w:r/>
            <w:r>
              <w:rPr>
                <w:rFonts w:ascii="Times New Roman" w:hAnsi="Times New Roman"/>
                <w:b w:val="0"/>
                <w:sz w:val="13"/>
              </w:rPr>
              <w:t>0.79</w:t>
            </w:r>
          </w:p>
        </w:tc>
        <w:tc>
          <w:tcPr>
            <w:tcW w:type="dxa" w:w="482"/>
          </w:tcPr>
          <w:p>
            <w:pPr>
              <w:keepNext/>
              <w:spacing w:after="0" w:line="240" w:lineRule="auto"/>
            </w:pPr>
            <w:r/>
            <w:r>
              <w:rPr>
                <w:rFonts w:ascii="Times New Roman" w:hAnsi="Times New Roman"/>
                <w:b w:val="0"/>
                <w:sz w:val="13"/>
              </w:rPr>
              <w:t>0.03</w:t>
            </w:r>
          </w:p>
        </w:tc>
        <w:tc>
          <w:tcPr>
            <w:tcW w:type="dxa" w:w="482"/>
          </w:tcPr>
          <w:p>
            <w:pPr>
              <w:keepNext/>
              <w:spacing w:after="0" w:line="240" w:lineRule="auto"/>
            </w:pPr>
            <w:r/>
            <w:r>
              <w:rPr>
                <w:rFonts w:ascii="Times New Roman" w:hAnsi="Times New Roman"/>
                <w:b w:val="0"/>
                <w:sz w:val="13"/>
              </w:rPr>
              <w:t>6.2</w:t>
            </w:r>
          </w:p>
        </w:tc>
        <w:tc>
          <w:tcPr>
            <w:tcW w:type="dxa" w:w="425"/>
          </w:tcPr>
          <w:p>
            <w:pPr>
              <w:keepNext/>
              <w:spacing w:after="0" w:line="240" w:lineRule="auto"/>
            </w:pPr>
            <w:r/>
            <w:r>
              <w:rPr>
                <w:rFonts w:ascii="Times New Roman" w:hAnsi="Times New Roman"/>
                <w:b w:val="0"/>
                <w:sz w:val="13"/>
              </w:rPr>
              <w:t>1.00</w:t>
            </w:r>
          </w:p>
        </w:tc>
        <w:tc>
          <w:tcPr>
            <w:tcW w:type="dxa" w:w="482"/>
          </w:tcPr>
          <w:p>
            <w:pPr>
              <w:keepNext/>
              <w:spacing w:after="0" w:line="240" w:lineRule="auto"/>
            </w:pPr>
            <w:r/>
            <w:r>
              <w:rPr>
                <w:rFonts w:ascii="Times New Roman" w:hAnsi="Times New Roman"/>
                <w:b w:val="0"/>
                <w:sz w:val="13"/>
              </w:rPr>
              <w:t>0.90</w:t>
            </w:r>
          </w:p>
        </w:tc>
        <w:tc>
          <w:tcPr>
            <w:tcW w:type="dxa" w:w="510"/>
          </w:tcPr>
          <w:p>
            <w:pPr>
              <w:keepNext/>
              <w:spacing w:after="0" w:line="240" w:lineRule="auto"/>
            </w:pPr>
            <w:r/>
            <w:r>
              <w:rPr>
                <w:rFonts w:ascii="Times New Roman" w:hAnsi="Times New Roman"/>
                <w:b w:val="0"/>
                <w:sz w:val="13"/>
              </w:rPr>
              <w:t>9.8</w:t>
            </w:r>
          </w:p>
        </w:tc>
      </w:tr>
      <w:tr>
        <w:trPr>
          <w:cantSplit w:val="true"/>
        </w:trPr>
        <w:tc>
          <w:tcPr>
            <w:tcW w:type="dxa" w:w="1559"/>
          </w:tcPr>
          <w:p>
            <w:pPr>
              <w:keepNext/>
              <w:spacing w:after="0" w:line="240" w:lineRule="auto"/>
            </w:pPr>
            <w:r/>
            <w:r>
              <w:rPr>
                <w:rFonts w:ascii="Times New Roman" w:hAnsi="Times New Roman"/>
                <w:b/>
                <w:sz w:val="13"/>
              </w:rPr>
              <w:t>VoltyGuard (Layer 1 + 2 + 3)</w:t>
            </w:r>
          </w:p>
        </w:tc>
        <w:tc>
          <w:tcPr>
            <w:tcW w:type="dxa" w:w="482"/>
          </w:tcPr>
          <w:p>
            <w:pPr>
              <w:keepNext/>
              <w:spacing w:after="0" w:line="240" w:lineRule="auto"/>
            </w:pPr>
            <w:r/>
            <w:r>
              <w:rPr>
                <w:rFonts w:ascii="Times New Roman" w:hAnsi="Times New Roman"/>
                <w:b w:val="0"/>
                <w:sz w:val="13"/>
              </w:rPr>
              <w:t>0.70</w:t>
            </w:r>
          </w:p>
        </w:tc>
        <w:tc>
          <w:tcPr>
            <w:tcW w:type="dxa" w:w="454"/>
          </w:tcPr>
          <w:p>
            <w:pPr>
              <w:keepNext/>
              <w:spacing w:after="0" w:line="240" w:lineRule="auto"/>
            </w:pPr>
            <w:r/>
            <w:r>
              <w:rPr>
                <w:rFonts w:ascii="Times New Roman" w:hAnsi="Times New Roman"/>
                <w:b w:val="0"/>
                <w:sz w:val="13"/>
              </w:rPr>
              <w:t>0.88</w:t>
            </w:r>
          </w:p>
        </w:tc>
        <w:tc>
          <w:tcPr>
            <w:tcW w:type="dxa" w:w="482"/>
          </w:tcPr>
          <w:p>
            <w:pPr>
              <w:keepNext/>
              <w:spacing w:after="0" w:line="240" w:lineRule="auto"/>
            </w:pPr>
            <w:r/>
            <w:r>
              <w:rPr>
                <w:rFonts w:ascii="Times New Roman" w:hAnsi="Times New Roman"/>
                <w:b w:val="0"/>
                <w:sz w:val="13"/>
              </w:rPr>
              <w:t>0.02</w:t>
            </w:r>
          </w:p>
        </w:tc>
        <w:tc>
          <w:tcPr>
            <w:tcW w:type="dxa" w:w="482"/>
          </w:tcPr>
          <w:p>
            <w:pPr>
              <w:keepNext/>
              <w:spacing w:after="0" w:line="240" w:lineRule="auto"/>
            </w:pPr>
            <w:r/>
            <w:r>
              <w:rPr>
                <w:rFonts w:ascii="Times New Roman" w:hAnsi="Times New Roman"/>
                <w:b w:val="0"/>
                <w:sz w:val="13"/>
              </w:rPr>
              <w:t>6.6</w:t>
            </w:r>
          </w:p>
        </w:tc>
        <w:tc>
          <w:tcPr>
            <w:tcW w:type="dxa" w:w="425"/>
          </w:tcPr>
          <w:p>
            <w:pPr>
              <w:keepNext/>
              <w:spacing w:after="0" w:line="240" w:lineRule="auto"/>
            </w:pPr>
            <w:r/>
            <w:r>
              <w:rPr>
                <w:rFonts w:ascii="Times New Roman" w:hAnsi="Times New Roman"/>
                <w:b w:val="0"/>
                <w:sz w:val="13"/>
              </w:rPr>
              <w:t>1.00</w:t>
            </w:r>
          </w:p>
        </w:tc>
        <w:tc>
          <w:tcPr>
            <w:tcW w:type="dxa" w:w="482"/>
          </w:tcPr>
          <w:p>
            <w:pPr>
              <w:keepNext/>
              <w:spacing w:after="0" w:line="240" w:lineRule="auto"/>
            </w:pPr>
            <w:r/>
            <w:r>
              <w:rPr>
                <w:rFonts w:ascii="Times New Roman" w:hAnsi="Times New Roman"/>
                <w:b w:val="0"/>
                <w:sz w:val="13"/>
              </w:rPr>
              <w:t>0.93</w:t>
            </w:r>
          </w:p>
        </w:tc>
        <w:tc>
          <w:tcPr>
            <w:tcW w:type="dxa" w:w="510"/>
          </w:tcPr>
          <w:p>
            <w:pPr>
              <w:keepNext/>
              <w:spacing w:after="0" w:line="240" w:lineRule="auto"/>
            </w:pPr>
            <w:r/>
            <w:r>
              <w:rPr>
                <w:rFonts w:ascii="Times New Roman" w:hAnsi="Times New Roman"/>
                <w:b w:val="0"/>
                <w:sz w:val="13"/>
              </w:rPr>
              <w:t>9.4</w:t>
            </w:r>
          </w:p>
        </w:tc>
      </w:tr>
      <w:tr>
        <w:trPr>
          <w:cantSplit w:val="true"/>
        </w:trPr>
        <w:tc>
          <w:tcPr>
            <w:tcW w:type="dxa" w:w="1559"/>
          </w:tcPr>
          <w:p>
            <w:pPr>
              <w:keepNext/>
              <w:spacing w:after="0" w:line="240" w:lineRule="auto"/>
            </w:pPr>
            <w:r/>
            <w:r>
              <w:rPr>
                <w:rFonts w:ascii="Times New Roman" w:hAnsi="Times New Roman"/>
                <w:b/>
                <w:sz w:val="13"/>
              </w:rPr>
              <w:t>VoltyGuard, agreement-gated</w:t>
            </w:r>
          </w:p>
        </w:tc>
        <w:tc>
          <w:tcPr>
            <w:tcW w:type="dxa" w:w="482"/>
          </w:tcPr>
          <w:p>
            <w:pPr>
              <w:keepNext/>
              <w:spacing w:after="0" w:line="240" w:lineRule="auto"/>
            </w:pPr>
            <w:r/>
            <w:r>
              <w:rPr>
                <w:rFonts w:ascii="Times New Roman" w:hAnsi="Times New Roman"/>
                <w:b w:val="0"/>
                <w:sz w:val="13"/>
              </w:rPr>
              <w:t>0.70</w:t>
            </w:r>
          </w:p>
        </w:tc>
        <w:tc>
          <w:tcPr>
            <w:tcW w:type="dxa" w:w="454"/>
          </w:tcPr>
          <w:p>
            <w:pPr>
              <w:keepNext/>
              <w:spacing w:after="0" w:line="240" w:lineRule="auto"/>
            </w:pPr>
            <w:r/>
            <w:r>
              <w:rPr>
                <w:rFonts w:ascii="Times New Roman" w:hAnsi="Times New Roman"/>
                <w:b w:val="0"/>
                <w:sz w:val="13"/>
              </w:rPr>
              <w:t>0.89</w:t>
            </w:r>
          </w:p>
        </w:tc>
        <w:tc>
          <w:tcPr>
            <w:tcW w:type="dxa" w:w="482"/>
          </w:tcPr>
          <w:p>
            <w:pPr>
              <w:keepNext/>
              <w:spacing w:after="0" w:line="240" w:lineRule="auto"/>
            </w:pPr>
            <w:r/>
            <w:r>
              <w:rPr>
                <w:rFonts w:ascii="Times New Roman" w:hAnsi="Times New Roman"/>
                <w:b w:val="0"/>
                <w:sz w:val="13"/>
              </w:rPr>
              <w:t>0.02</w:t>
            </w:r>
          </w:p>
        </w:tc>
        <w:tc>
          <w:tcPr>
            <w:tcW w:type="dxa" w:w="482"/>
          </w:tcPr>
          <w:p>
            <w:pPr>
              <w:keepNext/>
              <w:spacing w:after="0" w:line="240" w:lineRule="auto"/>
            </w:pPr>
            <w:r/>
            <w:r>
              <w:rPr>
                <w:rFonts w:ascii="Times New Roman" w:hAnsi="Times New Roman"/>
                <w:b w:val="0"/>
                <w:sz w:val="13"/>
              </w:rPr>
              <w:t>5.5</w:t>
            </w:r>
          </w:p>
        </w:tc>
        <w:tc>
          <w:tcPr>
            <w:tcW w:type="dxa" w:w="425"/>
          </w:tcPr>
          <w:p>
            <w:pPr>
              <w:keepNext/>
              <w:spacing w:after="0" w:line="240" w:lineRule="auto"/>
            </w:pPr>
            <w:r/>
            <w:r>
              <w:rPr>
                <w:rFonts w:ascii="Times New Roman" w:hAnsi="Times New Roman"/>
                <w:b w:val="0"/>
                <w:sz w:val="13"/>
              </w:rPr>
              <w:t>1.00</w:t>
            </w:r>
          </w:p>
        </w:tc>
        <w:tc>
          <w:tcPr>
            <w:tcW w:type="dxa" w:w="482"/>
          </w:tcPr>
          <w:p>
            <w:pPr>
              <w:keepNext/>
              <w:spacing w:after="0" w:line="240" w:lineRule="auto"/>
            </w:pPr>
            <w:r/>
            <w:r>
              <w:rPr>
                <w:rFonts w:ascii="Times New Roman" w:hAnsi="Times New Roman"/>
                <w:b w:val="0"/>
                <w:sz w:val="13"/>
              </w:rPr>
              <w:t>0.93</w:t>
            </w:r>
          </w:p>
        </w:tc>
        <w:tc>
          <w:tcPr>
            <w:tcW w:type="dxa" w:w="510"/>
          </w:tcPr>
          <w:p>
            <w:pPr>
              <w:keepNext/>
              <w:spacing w:after="0" w:line="240" w:lineRule="auto"/>
            </w:pPr>
            <w:r/>
            <w:r>
              <w:rPr>
                <w:rFonts w:ascii="Times New Roman" w:hAnsi="Times New Roman"/>
                <w:b w:val="0"/>
                <w:sz w:val="13"/>
              </w:rPr>
              <w:t>7.5</w:t>
            </w:r>
          </w:p>
        </w:tc>
      </w:tr>
    </w:tbl>
    <w:p>
      <w:pPr>
        <w:spacing w:after="80" w:before="0" w:line="240" w:lineRule="auto"/>
        <w:jc w:val="left"/>
      </w:pPr>
      <w:r>
        <w:rPr>
          <w:rFonts w:ascii="Times New Roman" w:hAnsi="Times New Roman"/>
          <w:b w:val="0"/>
          <w:i w:val="0"/>
          <w:sz w:val="14"/>
        </w:rPr>
        <w:t>FA/100: false alert clusters per 100 asset-days. Rec.@B, Lead@B: recall and median lead (days) at the matched false-alarm budget.</w:t>
      </w:r>
    </w:p>
    <w:p>
      <w:pPr>
        <w:spacing w:after="0" w:before="0" w:line="240" w:lineRule="auto"/>
        <w:ind w:firstLine="238"/>
        <w:jc w:val="both"/>
      </w:pPr>
      <w:r>
        <w:rPr>
          <w:rFonts w:ascii="Times New Roman" w:hAnsi="Times New Roman"/>
          <w:b w:val="0"/>
          <w:i w:val="0"/>
          <w:sz w:val="20"/>
        </w:rPr>
        <w:t>Table III gives the main result. The standards alarm alone detects 85% of the 27 test failures with a median lead of 4.0 days, but only 19% of its alert clusters precede a failure (0.54 false clusters per 100 asset-days, about 63 per feeder-year); the caution level raises recall to 96% at 1.31 false clusters per 100 asset-days. At its F1 operating point VoltyGuard is the most selective model: 88% precision and 0.02 false clusters per 100 asset-days, with 70% recall (seed-to-seed s.d. 16%) and a median lead of 6.6 days. The fairer comparison is at equal nuisance. When every learned model is given the standards alarm's own false-alarm budget, VoltyGuard detects 93% of failures with a median lead of 9.4 days, against 89% and 9.1 days for the per-asset ensemble and 85% and 4.0 days for the alarm itself; every VoltyGuard warning at either operating point arrives before the 48-hour notice period. Agreement gating removes the few ungrounded alerts (false clusters 0.02 per 100 asset-days) and shortens the median lead to 5.5 days, because a critical alert now waits for the first standards caution. Lead times differ by fault class (Fig. 3): transformers, whose thermal history is observable through the hot-spot model and whose gases accumulate over weeks, are warned a median 7.5 days ahead at the F1 point, while cable joints, half of which have no PD monitor, give 7.9 days. The static alarm warns transformers earlier still (median 25.0 days), because the hot-spot limit of IEC 60076-7 is exceeded weeks before gassing becomes decisive, but it gives joints only 2.6 days; the learned model's seven-day target horizon concentrates its warnings in the week before failure, and a longer horizon would move them earlier at a cost in precision.</w:t>
      </w:r>
    </w:p>
    <w:p>
      <w:pPr>
        <w:sectPr>
          <w:type w:val="continuous"/>
          <w:pgSz w:w="12240" w:h="15840"/>
          <w:pgMar w:top="958" w:right="958" w:bottom="958" w:left="958" w:header="720" w:footer="720" w:gutter="0"/>
          <w:docGrid w:linePitch="360"/>
          <w:cols w:num="2" w:space="238" w:equalWidth="1"/>
        </w:sectPr>
      </w:pPr>
    </w:p>
    <w:p>
      <w:pPr>
        <w:keepNext/>
        <w:spacing w:before="80"/>
        <w:jc w:val="center"/>
      </w:pPr>
      <w:r>
        <w:drawing>
          <wp:inline xmlns:a="http://schemas.openxmlformats.org/drawingml/2006/main" xmlns:pic="http://schemas.openxmlformats.org/drawingml/2006/picture">
            <wp:extent cx="6300000" cy="3780000"/>
            <wp:docPr id="2" name="Picture 2"/>
            <wp:cNvGraphicFramePr>
              <a:graphicFrameLocks noChangeAspect="1"/>
            </wp:cNvGraphicFramePr>
            <a:graphic>
              <a:graphicData uri="http://schemas.openxmlformats.org/drawingml/2006/picture">
                <pic:pic>
                  <pic:nvPicPr>
                    <pic:cNvPr id="0" name="fig2_precursors.png"/>
                    <pic:cNvPicPr/>
                  </pic:nvPicPr>
                  <pic:blipFill>
                    <a:blip r:embed="rId10"/>
                    <a:stretch>
                      <a:fillRect/>
                    </a:stretch>
                  </pic:blipFill>
                  <pic:spPr>
                    <a:xfrm>
                      <a:off x="0" y="0"/>
                      <a:ext cx="6300000" cy="3780000"/>
                    </a:xfrm>
                    <a:prstGeom prst="rect"/>
                  </pic:spPr>
                </pic:pic>
              </a:graphicData>
            </a:graphic>
          </wp:inline>
        </w:drawing>
      </w:r>
    </w:p>
    <w:p>
      <w:pPr>
        <w:spacing w:after="120" w:before="0" w:line="240" w:lineRule="auto"/>
        <w:jc w:val="both"/>
      </w:pPr>
      <w:r>
        <w:rPr>
          <w:rFonts w:ascii="Times New Roman" w:hAnsi="Times New Roman"/>
          <w:b w:val="0"/>
          <w:i w:val="0"/>
          <w:sz w:val="16"/>
        </w:rPr>
        <w:t>Fig. 2.  Two test episodes. Top: precursors of (a) a transformer thermal failure and (b) a cable-joint failure. Bottom: calibrated failure probability of VoltyGuard and of the per-asset model, and the Layer-1 standards code; the dashed line marks the SERA 48-hour notice period.</w:t>
      </w:r>
    </w:p>
    <w:p>
      <w:pPr>
        <w:sectPr>
          <w:type w:val="continuous"/>
          <w:pgSz w:w="12240" w:h="15840"/>
          <w:pgMar w:top="958" w:right="958" w:bottom="958" w:left="958" w:header="720" w:footer="720" w:gutter="0"/>
          <w:docGrid w:linePitch="360"/>
          <w:cols w:num="1" w:space="238" w:equalWidth="1"/>
        </w:sectPr>
      </w:pPr>
    </w:p>
    <w:p>
      <w:pPr>
        <w:keepNext/>
        <w:spacing w:before="80"/>
        <w:jc w:val="center"/>
      </w:pPr>
      <w:r>
        <w:drawing>
          <wp:inline xmlns:a="http://schemas.openxmlformats.org/drawingml/2006/main" xmlns:pic="http://schemas.openxmlformats.org/drawingml/2006/picture">
            <wp:extent cx="3096000" cy="2064000"/>
            <wp:docPr id="3" name="Picture 3"/>
            <wp:cNvGraphicFramePr>
              <a:graphicFrameLocks noChangeAspect="1"/>
            </wp:cNvGraphicFramePr>
            <a:graphic>
              <a:graphicData uri="http://schemas.openxmlformats.org/drawingml/2006/picture">
                <pic:pic>
                  <pic:nvPicPr>
                    <pic:cNvPr id="0" name="fig3_leadtime.png"/>
                    <pic:cNvPicPr/>
                  </pic:nvPicPr>
                  <pic:blipFill>
                    <a:blip r:embed="rId11"/>
                    <a:stretch>
                      <a:fillRect/>
                    </a:stretch>
                  </pic:blipFill>
                  <pic:spPr>
                    <a:xfrm>
                      <a:off x="0" y="0"/>
                      <a:ext cx="3096000" cy="2064000"/>
                    </a:xfrm>
                    <a:prstGeom prst="rect"/>
                  </pic:spPr>
                </pic:pic>
              </a:graphicData>
            </a:graphic>
          </wp:inline>
        </w:drawing>
      </w:r>
    </w:p>
    <w:p>
      <w:pPr>
        <w:spacing w:after="120" w:before="0" w:line="240" w:lineRule="auto"/>
        <w:jc w:val="both"/>
      </w:pPr>
      <w:r>
        <w:rPr>
          <w:rFonts w:ascii="Times New Roman" w:hAnsi="Times New Roman"/>
          <w:b w:val="0"/>
          <w:i w:val="0"/>
          <w:sz w:val="16"/>
        </w:rPr>
        <w:t>Fig. 3.  Warning lead time of detected failures on the test realisations (seed 0). Boxes show quartiles; the dashed line is the SERA two-day notice requirement.</w:t>
      </w:r>
    </w:p>
    <w:p>
      <w:pPr>
        <w:keepNext/>
        <w:spacing w:after="40" w:before="100" w:line="240" w:lineRule="auto"/>
        <w:jc w:val="left"/>
      </w:pPr>
      <w:r>
        <w:rPr>
          <w:rFonts w:ascii="Times New Roman" w:hAnsi="Times New Roman"/>
          <w:b w:val="0"/>
          <w:i/>
          <w:sz w:val="20"/>
        </w:rPr>
        <w:t>B. Fault-versus-Attack Discrimination</w:t>
      </w:r>
    </w:p>
    <w:p>
      <w:pPr>
        <w:spacing w:after="0" w:before="0" w:line="240" w:lineRule="auto"/>
        <w:ind w:firstLine="238"/>
        <w:jc w:val="both"/>
      </w:pPr>
      <w:r>
        <w:rPr>
          <w:rFonts w:ascii="Times New Roman" w:hAnsi="Times New Roman"/>
          <w:b w:val="0"/>
          <w:i w:val="0"/>
          <w:sz w:val="20"/>
        </w:rPr>
        <w:t>Fig. 4(a) shows the episode-level confusion of VoltyGuard's class head over the 59 test anomaly episodes. Incipient faults and FDI attacks are separated in 91% of the episodes (mean 87% over seeds); 0 of the 21 attacks were read as faults, and three-class accuracy including sensor faults is 86%. The mask attack, which replays a degrading asset's own earlier condition data, is the hardest case: 3 of 4 were flagged as attacks, the others being exposed only by the physical channels the attacker did not control (hot-spot temperature implied by load, neighbouring voltages). The per-asset ensemble, which cannot see the parent branch's power balance, separates faults from attacks in 87% of episodes.</w:t>
      </w:r>
    </w:p>
    <w:p>
      <w:pPr>
        <w:keepNext/>
        <w:spacing w:after="40" w:before="100" w:line="240" w:lineRule="auto"/>
        <w:jc w:val="left"/>
      </w:pPr>
      <w:r>
        <w:rPr>
          <w:rFonts w:ascii="Times New Roman" w:hAnsi="Times New Roman"/>
          <w:b w:val="0"/>
          <w:i/>
          <w:sz w:val="20"/>
        </w:rPr>
        <w:t>C. Calibration</w:t>
      </w:r>
    </w:p>
    <w:p>
      <w:pPr>
        <w:spacing w:after="0" w:before="0" w:line="240" w:lineRule="auto"/>
        <w:ind w:firstLine="238"/>
        <w:jc w:val="both"/>
      </w:pPr>
      <w:r>
        <w:rPr>
          <w:rFonts w:ascii="Times New Roman" w:hAnsi="Times New Roman"/>
          <w:b w:val="0"/>
          <w:i w:val="0"/>
          <w:sz w:val="20"/>
        </w:rPr>
        <w:t>After temperature scaling the ECE of VoltyGuard's seven-day failure probability is 0.020 ± 0.004 on 437,184 test node-hours (Fig. 4(b)), against 0.007 for the per-asset model. Calibration matters for the scheduler, which reads the probability as a decision input rather than as a score.</w:t>
      </w:r>
    </w:p>
    <w:p>
      <w:pPr>
        <w:keepNext/>
        <w:spacing w:before="80"/>
        <w:jc w:val="center"/>
      </w:pPr>
      <w:r>
        <w:drawing>
          <wp:inline xmlns:a="http://schemas.openxmlformats.org/drawingml/2006/main" xmlns:pic="http://schemas.openxmlformats.org/drawingml/2006/picture">
            <wp:extent cx="3096000" cy="4666435"/>
            <wp:docPr id="4" name="Picture 4"/>
            <wp:cNvGraphicFramePr>
              <a:graphicFrameLocks noChangeAspect="1"/>
            </wp:cNvGraphicFramePr>
            <a:graphic>
              <a:graphicData uri="http://schemas.openxmlformats.org/drawingml/2006/picture">
                <pic:pic>
                  <pic:nvPicPr>
                    <pic:cNvPr id="0" name="fig4_discrimination_calibration.png"/>
                    <pic:cNvPicPr/>
                  </pic:nvPicPr>
                  <pic:blipFill>
                    <a:blip r:embed="rId12"/>
                    <a:stretch>
                      <a:fillRect/>
                    </a:stretch>
                  </pic:blipFill>
                  <pic:spPr>
                    <a:xfrm>
                      <a:off x="0" y="0"/>
                      <a:ext cx="3096000" cy="4666435"/>
                    </a:xfrm>
                    <a:prstGeom prst="rect"/>
                  </pic:spPr>
                </pic:pic>
              </a:graphicData>
            </a:graphic>
          </wp:inline>
        </w:drawing>
      </w:r>
    </w:p>
    <w:p>
      <w:pPr>
        <w:spacing w:after="120" w:before="0" w:line="240" w:lineRule="auto"/>
        <w:jc w:val="both"/>
      </w:pPr>
      <w:r>
        <w:rPr>
          <w:rFonts w:ascii="Times New Roman" w:hAnsi="Times New Roman"/>
          <w:b w:val="0"/>
          <w:i w:val="0"/>
          <w:sz w:val="16"/>
        </w:rPr>
        <w:t>Fig. 4.  (a) Episode-level confusion of the anomaly class head on the test realisations (seed 0). (b) Reliability diagram of the calibrated seven-day failure probability.</w:t>
      </w:r>
    </w:p>
    <w:p>
      <w:pPr>
        <w:keepNext/>
        <w:spacing w:after="40" w:before="100" w:line="240" w:lineRule="auto"/>
        <w:jc w:val="left"/>
      </w:pPr>
      <w:r>
        <w:rPr>
          <w:rFonts w:ascii="Times New Roman" w:hAnsi="Times New Roman"/>
          <w:b w:val="0"/>
          <w:i/>
          <w:sz w:val="20"/>
        </w:rPr>
        <w:t>D. Ablation: What the Graph and the Standards Layers Add</w:t>
      </w:r>
    </w:p>
    <w:p>
      <w:pPr>
        <w:spacing w:after="0" w:before="0" w:line="240" w:lineRule="auto"/>
        <w:ind w:firstLine="238"/>
        <w:jc w:val="both"/>
      </w:pPr>
      <w:r>
        <w:rPr>
          <w:rFonts w:ascii="Times New Roman" w:hAnsi="Times New Roman"/>
          <w:b w:val="0"/>
          <w:i w:val="0"/>
          <w:sz w:val="20"/>
        </w:rPr>
        <w:t>Removing the graph (Fig. 5) lowers recall from 70% to 63% at the F1 point and from 93% to 90% at the matched budget, lowers precision from 88% to 79%, and makes the lead time more variable across seeds (s.d. 1.2 days against 0.8). Removing the standards and physics features while keeping the graph leaves recall unchanged (74%) but lowers precision to 75%, lowers fault-versus-attack accuracy to 80%, and loses the mask attacks entirely (0 of 4 flagged, against 3 of 4 with the full model): without the hot-spot temperature implied by load, a replayed condition record is indistinguishable from a healthy one. The two layers are complementary. The physics features carry the thermal history that no 24-hour window of raw data contains and the reference against which a spoofed sensor is exposed; the graph carries the neighbour consistency that no single-asset model can test.</w:t>
      </w:r>
    </w:p>
    <w:p>
      <w:pPr>
        <w:sectPr>
          <w:type w:val="continuous"/>
          <w:pgSz w:w="12240" w:h="15840"/>
          <w:pgMar w:top="958" w:right="958" w:bottom="958" w:left="958" w:header="720" w:footer="720" w:gutter="0"/>
          <w:docGrid w:linePitch="360"/>
          <w:cols w:num="2" w:space="238" w:equalWidth="1"/>
        </w:sectPr>
      </w:pPr>
    </w:p>
    <w:p>
      <w:pPr>
        <w:keepNext/>
        <w:spacing w:before="80"/>
        <w:jc w:val="center"/>
      </w:pPr>
      <w:r>
        <w:drawing>
          <wp:inline xmlns:a="http://schemas.openxmlformats.org/drawingml/2006/main" xmlns:pic="http://schemas.openxmlformats.org/drawingml/2006/picture">
            <wp:extent cx="6300000" cy="1890000"/>
            <wp:docPr id="5" name="Picture 5"/>
            <wp:cNvGraphicFramePr>
              <a:graphicFrameLocks noChangeAspect="1"/>
            </wp:cNvGraphicFramePr>
            <a:graphic>
              <a:graphicData uri="http://schemas.openxmlformats.org/drawingml/2006/picture">
                <pic:pic>
                  <pic:nvPicPr>
                    <pic:cNvPr id="0" name="fig5_ablation.png"/>
                    <pic:cNvPicPr/>
                  </pic:nvPicPr>
                  <pic:blipFill>
                    <a:blip r:embed="rId13"/>
                    <a:stretch>
                      <a:fillRect/>
                    </a:stretch>
                  </pic:blipFill>
                  <pic:spPr>
                    <a:xfrm>
                      <a:off x="0" y="0"/>
                      <a:ext cx="6300000" cy="1890000"/>
                    </a:xfrm>
                    <a:prstGeom prst="rect"/>
                  </pic:spPr>
                </pic:pic>
              </a:graphicData>
            </a:graphic>
          </wp:inline>
        </w:drawing>
      </w:r>
    </w:p>
    <w:p>
      <w:pPr>
        <w:spacing w:after="120" w:before="0" w:line="240" w:lineRule="auto"/>
        <w:jc w:val="both"/>
      </w:pPr>
      <w:r>
        <w:rPr>
          <w:rFonts w:ascii="Times New Roman" w:hAnsi="Times New Roman"/>
          <w:b w:val="0"/>
          <w:i w:val="0"/>
          <w:sz w:val="16"/>
        </w:rPr>
        <w:t>Fig. 5.  Ablation on the test realisations (mean ± s.d. over three seeds): episode recall, false clusters per 100 asset-days and median warning lead time.</w:t>
      </w:r>
    </w:p>
    <w:p>
      <w:pPr>
        <w:sectPr>
          <w:type w:val="continuous"/>
          <w:pgSz w:w="12240" w:h="15840"/>
          <w:pgMar w:top="958" w:right="958" w:bottom="958" w:left="958" w:header="720" w:footer="720" w:gutter="0"/>
          <w:docGrid w:linePitch="360"/>
          <w:cols w:num="1" w:space="238" w:equalWidth="1"/>
        </w:sectPr>
      </w:pPr>
    </w:p>
    <w:p>
      <w:pPr>
        <w:keepNext/>
        <w:spacing w:after="40" w:before="100" w:line="240" w:lineRule="auto"/>
        <w:jc w:val="left"/>
      </w:pPr>
      <w:r>
        <w:rPr>
          <w:rFonts w:ascii="Times New Roman" w:hAnsi="Times New Roman"/>
          <w:b w:val="0"/>
          <w:i/>
          <w:sz w:val="20"/>
        </w:rPr>
        <w:t>E. Regulation-Aware Actions and N-1 Feasibility</w:t>
      </w:r>
    </w:p>
    <w:p>
      <w:pPr>
        <w:keepNext/>
        <w:spacing w:after="0" w:before="120" w:line="240" w:lineRule="auto"/>
        <w:jc w:val="center"/>
      </w:pPr>
      <w:r>
        <w:rPr>
          <w:rFonts w:ascii="Times New Roman" w:hAnsi="Times New Roman"/>
          <w:b w:val="0"/>
          <w:i w:val="0"/>
          <w:sz w:val="16"/>
        </w:rPr>
        <w:t>TABLE IV</w:t>
      </w:r>
    </w:p>
    <w:p>
      <w:pPr>
        <w:keepNext/>
        <w:spacing w:after="40" w:before="0" w:line="240" w:lineRule="auto"/>
        <w:jc w:val="center"/>
      </w:pPr>
      <w:r>
        <w:rPr>
          <w:rFonts w:ascii="Times New Roman" w:hAnsi="Times New Roman"/>
          <w:b w:val="0"/>
          <w:i w:val="0"/>
          <w:sz w:val="15"/>
        </w:rPr>
        <w:t>SERA ACTION MAPPING OF THE 27 TEST FAILURES (SEED 0)</w:t>
      </w:r>
    </w:p>
    <w:tbl>
      <w:tblPr>
        <w:tblStyle w:val="TableGrid"/>
        <w:jc w:val="center"/>
        <w:tblLayout w:type="fixed"/>
        <w:tblLook w:firstColumn="1" w:firstRow="1" w:lastColumn="0" w:lastRow="0" w:noHBand="0" w:noVBand="1" w:val="04A0"/>
        <w:tblLayout w:type="fixed"/>
        <w:tblW w:w="4875" w:type="dxa"/>
      </w:tblPr>
      <w:tblGrid>
        <w:gridCol w:w="1474"/>
        <w:gridCol w:w="737"/>
        <w:gridCol w:w="680"/>
        <w:gridCol w:w="680"/>
        <w:gridCol w:w="566"/>
        <w:gridCol w:w="737"/>
      </w:tblGrid>
      <w:tr>
        <w:trPr>
          <w:tblHeader w:val="true"/>
          <w:cantSplit w:val="true"/>
        </w:trPr>
        <w:tc>
          <w:tcPr>
            <w:tcW w:type="dxa" w:w="1474"/>
            <w:shd w:val="clear" w:color="auto" w:fill="EDEDED"/>
          </w:tcPr>
          <w:p>
            <w:pPr>
              <w:keepNext/>
              <w:spacing w:after="0" w:line="240" w:lineRule="auto"/>
            </w:pPr>
            <w:r/>
            <w:r>
              <w:rPr>
                <w:rFonts w:ascii="Times New Roman" w:hAnsi="Times New Roman"/>
                <w:b/>
                <w:sz w:val="13"/>
              </w:rPr>
              <w:t>Model</w:t>
            </w:r>
          </w:p>
        </w:tc>
        <w:tc>
          <w:tcPr>
            <w:tcW w:type="dxa" w:w="737"/>
            <w:shd w:val="clear" w:color="auto" w:fill="EDEDED"/>
          </w:tcPr>
          <w:p>
            <w:pPr>
              <w:keepNext/>
              <w:spacing w:after="0" w:line="240" w:lineRule="auto"/>
            </w:pPr>
            <w:r/>
            <w:r>
              <w:rPr>
                <w:rFonts w:ascii="Times New Roman" w:hAnsi="Times New Roman"/>
                <w:b/>
                <w:sz w:val="13"/>
              </w:rPr>
              <w:t>Planned (≥48 h)</w:t>
            </w:r>
          </w:p>
        </w:tc>
        <w:tc>
          <w:tcPr>
            <w:tcW w:type="dxa" w:w="680"/>
            <w:shd w:val="clear" w:color="auto" w:fill="EDEDED"/>
          </w:tcPr>
          <w:p>
            <w:pPr>
              <w:keepNext/>
              <w:spacing w:after="0" w:line="240" w:lineRule="auto"/>
            </w:pPr>
            <w:r/>
            <w:r>
              <w:rPr>
                <w:rFonts w:ascii="Times New Roman" w:hAnsi="Times New Roman"/>
                <w:b/>
                <w:sz w:val="13"/>
              </w:rPr>
              <w:t>N-1 transfer</w:t>
            </w:r>
          </w:p>
        </w:tc>
        <w:tc>
          <w:tcPr>
            <w:tcW w:type="dxa" w:w="680"/>
            <w:shd w:val="clear" w:color="auto" w:fill="EDEDED"/>
          </w:tcPr>
          <w:p>
            <w:pPr>
              <w:keepNext/>
              <w:spacing w:after="0" w:line="240" w:lineRule="auto"/>
            </w:pPr>
            <w:r/>
            <w:r>
              <w:rPr>
                <w:rFonts w:ascii="Times New Roman" w:hAnsi="Times New Roman"/>
                <w:b/>
                <w:sz w:val="13"/>
              </w:rPr>
              <w:t>Emergency</w:t>
            </w:r>
          </w:p>
        </w:tc>
        <w:tc>
          <w:tcPr>
            <w:tcW w:type="dxa" w:w="567"/>
            <w:shd w:val="clear" w:color="auto" w:fill="EDEDED"/>
          </w:tcPr>
          <w:p>
            <w:pPr>
              <w:keepNext/>
              <w:spacing w:after="0" w:line="240" w:lineRule="auto"/>
            </w:pPr>
            <w:r/>
            <w:r>
              <w:rPr>
                <w:rFonts w:ascii="Times New Roman" w:hAnsi="Times New Roman"/>
                <w:b/>
                <w:sz w:val="13"/>
              </w:rPr>
              <w:t>Missed</w:t>
            </w:r>
          </w:p>
        </w:tc>
        <w:tc>
          <w:tcPr>
            <w:tcW w:type="dxa" w:w="737"/>
            <w:shd w:val="clear" w:color="auto" w:fill="EDEDED"/>
          </w:tcPr>
          <w:p>
            <w:pPr>
              <w:keepNext/>
              <w:spacing w:after="0" w:line="240" w:lineRule="auto"/>
            </w:pPr>
            <w:r/>
            <w:r>
              <w:rPr>
                <w:rFonts w:ascii="Times New Roman" w:hAnsi="Times New Roman"/>
                <w:b/>
                <w:sz w:val="13"/>
              </w:rPr>
              <w:t>N-1 feasible</w:t>
            </w:r>
          </w:p>
        </w:tc>
      </w:tr>
      <w:tr>
        <w:trPr>
          <w:cantSplit w:val="true"/>
        </w:trPr>
        <w:tc>
          <w:tcPr>
            <w:tcW w:type="dxa" w:w="1474"/>
          </w:tcPr>
          <w:p>
            <w:pPr>
              <w:keepNext/>
              <w:spacing w:after="0" w:line="240" w:lineRule="auto"/>
            </w:pPr>
            <w:r/>
            <w:r>
              <w:rPr>
                <w:rFonts w:ascii="Times New Roman" w:hAnsi="Times New Roman"/>
                <w:b w:val="0"/>
                <w:sz w:val="13"/>
              </w:rPr>
              <w:t>Static alarm</w:t>
            </w:r>
          </w:p>
        </w:tc>
        <w:tc>
          <w:tcPr>
            <w:tcW w:type="dxa" w:w="737"/>
          </w:tcPr>
          <w:p>
            <w:pPr>
              <w:keepNext/>
              <w:spacing w:after="0" w:line="240" w:lineRule="auto"/>
            </w:pPr>
            <w:r/>
            <w:r>
              <w:rPr>
                <w:rFonts w:ascii="Times New Roman" w:hAnsi="Times New Roman"/>
                <w:b w:val="0"/>
                <w:sz w:val="13"/>
              </w:rPr>
              <w:t>18</w:t>
            </w:r>
          </w:p>
        </w:tc>
        <w:tc>
          <w:tcPr>
            <w:tcW w:type="dxa" w:w="680"/>
          </w:tcPr>
          <w:p>
            <w:pPr>
              <w:keepNext/>
              <w:spacing w:after="0" w:line="240" w:lineRule="auto"/>
            </w:pPr>
            <w:r/>
            <w:r>
              <w:rPr>
                <w:rFonts w:ascii="Times New Roman" w:hAnsi="Times New Roman"/>
                <w:b w:val="0"/>
                <w:sz w:val="13"/>
              </w:rPr>
              <w:t>2</w:t>
            </w:r>
          </w:p>
        </w:tc>
        <w:tc>
          <w:tcPr>
            <w:tcW w:type="dxa" w:w="680"/>
          </w:tcPr>
          <w:p>
            <w:pPr>
              <w:keepNext/>
              <w:spacing w:after="0" w:line="240" w:lineRule="auto"/>
            </w:pPr>
            <w:r/>
            <w:r>
              <w:rPr>
                <w:rFonts w:ascii="Times New Roman" w:hAnsi="Times New Roman"/>
                <w:b w:val="0"/>
                <w:sz w:val="13"/>
              </w:rPr>
              <w:t>3</w:t>
            </w:r>
          </w:p>
        </w:tc>
        <w:tc>
          <w:tcPr>
            <w:tcW w:type="dxa" w:w="567"/>
          </w:tcPr>
          <w:p>
            <w:pPr>
              <w:keepNext/>
              <w:spacing w:after="0" w:line="240" w:lineRule="auto"/>
            </w:pPr>
            <w:r/>
            <w:r>
              <w:rPr>
                <w:rFonts w:ascii="Times New Roman" w:hAnsi="Times New Roman"/>
                <w:b w:val="0"/>
                <w:sz w:val="13"/>
              </w:rPr>
              <w:t>4</w:t>
            </w:r>
          </w:p>
        </w:tc>
        <w:tc>
          <w:tcPr>
            <w:tcW w:type="dxa" w:w="737"/>
          </w:tcPr>
          <w:p>
            <w:pPr>
              <w:keepNext/>
              <w:spacing w:after="0" w:line="240" w:lineRule="auto"/>
            </w:pPr>
            <w:r/>
            <w:r>
              <w:rPr>
                <w:rFonts w:ascii="Times New Roman" w:hAnsi="Times New Roman"/>
                <w:b w:val="0"/>
                <w:sz w:val="13"/>
              </w:rPr>
              <w:t>2/5</w:t>
            </w:r>
          </w:p>
        </w:tc>
      </w:tr>
      <w:tr>
        <w:trPr>
          <w:cantSplit w:val="true"/>
        </w:trPr>
        <w:tc>
          <w:tcPr>
            <w:tcW w:type="dxa" w:w="1474"/>
          </w:tcPr>
          <w:p>
            <w:pPr>
              <w:keepNext/>
              <w:spacing w:after="0" w:line="240" w:lineRule="auto"/>
            </w:pPr>
            <w:r/>
            <w:r>
              <w:rPr>
                <w:rFonts w:ascii="Times New Roman" w:hAnsi="Times New Roman"/>
                <w:b w:val="0"/>
                <w:sz w:val="13"/>
              </w:rPr>
              <w:t>Per-asset GBT</w:t>
            </w:r>
          </w:p>
        </w:tc>
        <w:tc>
          <w:tcPr>
            <w:tcW w:type="dxa" w:w="737"/>
          </w:tcPr>
          <w:p>
            <w:pPr>
              <w:keepNext/>
              <w:spacing w:after="0" w:line="240" w:lineRule="auto"/>
            </w:pPr>
            <w:r/>
            <w:r>
              <w:rPr>
                <w:rFonts w:ascii="Times New Roman" w:hAnsi="Times New Roman"/>
                <w:b w:val="0"/>
                <w:sz w:val="13"/>
              </w:rPr>
              <w:t>17</w:t>
            </w:r>
          </w:p>
        </w:tc>
        <w:tc>
          <w:tcPr>
            <w:tcW w:type="dxa" w:w="680"/>
          </w:tcPr>
          <w:p>
            <w:pPr>
              <w:keepNext/>
              <w:spacing w:after="0" w:line="240" w:lineRule="auto"/>
            </w:pPr>
            <w:r/>
            <w:r>
              <w:rPr>
                <w:rFonts w:ascii="Times New Roman" w:hAnsi="Times New Roman"/>
                <w:b w:val="0"/>
                <w:sz w:val="13"/>
              </w:rPr>
              <w:t>2</w:t>
            </w:r>
          </w:p>
        </w:tc>
        <w:tc>
          <w:tcPr>
            <w:tcW w:type="dxa" w:w="680"/>
          </w:tcPr>
          <w:p>
            <w:pPr>
              <w:keepNext/>
              <w:spacing w:after="0" w:line="240" w:lineRule="auto"/>
            </w:pPr>
            <w:r/>
            <w:r>
              <w:rPr>
                <w:rFonts w:ascii="Times New Roman" w:hAnsi="Times New Roman"/>
                <w:b w:val="0"/>
                <w:sz w:val="13"/>
              </w:rPr>
              <w:t>1</w:t>
            </w:r>
          </w:p>
        </w:tc>
        <w:tc>
          <w:tcPr>
            <w:tcW w:type="dxa" w:w="567"/>
          </w:tcPr>
          <w:p>
            <w:pPr>
              <w:keepNext/>
              <w:spacing w:after="0" w:line="240" w:lineRule="auto"/>
            </w:pPr>
            <w:r/>
            <w:r>
              <w:rPr>
                <w:rFonts w:ascii="Times New Roman" w:hAnsi="Times New Roman"/>
                <w:b w:val="0"/>
                <w:sz w:val="13"/>
              </w:rPr>
              <w:t>7</w:t>
            </w:r>
          </w:p>
        </w:tc>
        <w:tc>
          <w:tcPr>
            <w:tcW w:type="dxa" w:w="737"/>
          </w:tcPr>
          <w:p>
            <w:pPr>
              <w:keepNext/>
              <w:spacing w:after="0" w:line="240" w:lineRule="auto"/>
            </w:pPr>
            <w:r/>
            <w:r>
              <w:rPr>
                <w:rFonts w:ascii="Times New Roman" w:hAnsi="Times New Roman"/>
                <w:b w:val="0"/>
                <w:sz w:val="13"/>
              </w:rPr>
              <w:t>2/3</w:t>
            </w:r>
          </w:p>
        </w:tc>
      </w:tr>
      <w:tr>
        <w:trPr>
          <w:cantSplit w:val="true"/>
        </w:trPr>
        <w:tc>
          <w:tcPr>
            <w:tcW w:type="dxa" w:w="1474"/>
          </w:tcPr>
          <w:p>
            <w:pPr>
              <w:keepNext/>
              <w:spacing w:after="0" w:line="240" w:lineRule="auto"/>
            </w:pPr>
            <w:r/>
            <w:r>
              <w:rPr>
                <w:rFonts w:ascii="Times New Roman" w:hAnsi="Times New Roman"/>
                <w:b/>
                <w:sz w:val="13"/>
              </w:rPr>
              <w:t>VoltyGuard</w:t>
            </w:r>
          </w:p>
        </w:tc>
        <w:tc>
          <w:tcPr>
            <w:tcW w:type="dxa" w:w="737"/>
          </w:tcPr>
          <w:p>
            <w:pPr>
              <w:keepNext/>
              <w:spacing w:after="0" w:line="240" w:lineRule="auto"/>
            </w:pPr>
            <w:r/>
            <w:r>
              <w:rPr>
                <w:rFonts w:ascii="Times New Roman" w:hAnsi="Times New Roman"/>
                <w:b w:val="0"/>
                <w:sz w:val="13"/>
              </w:rPr>
              <w:t>22</w:t>
            </w:r>
          </w:p>
        </w:tc>
        <w:tc>
          <w:tcPr>
            <w:tcW w:type="dxa" w:w="680"/>
          </w:tcPr>
          <w:p>
            <w:pPr>
              <w:keepNext/>
              <w:spacing w:after="0" w:line="240" w:lineRule="auto"/>
            </w:pPr>
            <w:r/>
            <w:r>
              <w:rPr>
                <w:rFonts w:ascii="Times New Roman" w:hAnsi="Times New Roman"/>
                <w:b w:val="0"/>
                <w:sz w:val="13"/>
              </w:rPr>
              <w:t>0</w:t>
            </w:r>
          </w:p>
        </w:tc>
        <w:tc>
          <w:tcPr>
            <w:tcW w:type="dxa" w:w="680"/>
          </w:tcPr>
          <w:p>
            <w:pPr>
              <w:keepNext/>
              <w:spacing w:after="0" w:line="240" w:lineRule="auto"/>
            </w:pPr>
            <w:r/>
            <w:r>
              <w:rPr>
                <w:rFonts w:ascii="Times New Roman" w:hAnsi="Times New Roman"/>
                <w:b w:val="0"/>
                <w:sz w:val="13"/>
              </w:rPr>
              <w:t>0</w:t>
            </w:r>
          </w:p>
        </w:tc>
        <w:tc>
          <w:tcPr>
            <w:tcW w:type="dxa" w:w="567"/>
          </w:tcPr>
          <w:p>
            <w:pPr>
              <w:keepNext/>
              <w:spacing w:after="0" w:line="240" w:lineRule="auto"/>
            </w:pPr>
            <w:r/>
            <w:r>
              <w:rPr>
                <w:rFonts w:ascii="Times New Roman" w:hAnsi="Times New Roman"/>
                <w:b w:val="0"/>
                <w:sz w:val="13"/>
              </w:rPr>
              <w:t>5</w:t>
            </w:r>
          </w:p>
        </w:tc>
        <w:tc>
          <w:tcPr>
            <w:tcW w:type="dxa" w:w="737"/>
          </w:tcPr>
          <w:p>
            <w:pPr>
              <w:keepNext/>
              <w:spacing w:after="0" w:line="240" w:lineRule="auto"/>
            </w:pPr>
            <w:r/>
            <w:r>
              <w:rPr>
                <w:rFonts w:ascii="Times New Roman" w:hAnsi="Times New Roman"/>
                <w:b w:val="0"/>
                <w:sz w:val="13"/>
              </w:rPr>
              <w:t>0/0</w:t>
            </w:r>
          </w:p>
        </w:tc>
      </w:tr>
      <w:tr>
        <w:trPr>
          <w:cantSplit w:val="true"/>
        </w:trPr>
        <w:tc>
          <w:tcPr>
            <w:tcW w:type="dxa" w:w="1474"/>
          </w:tcPr>
          <w:p>
            <w:pPr>
              <w:spacing w:after="0" w:line="240" w:lineRule="auto"/>
            </w:pPr>
            <w:r/>
            <w:r>
              <w:rPr>
                <w:rFonts w:ascii="Times New Roman" w:hAnsi="Times New Roman"/>
                <w:b/>
                <w:sz w:val="13"/>
              </w:rPr>
              <w:t>VoltyGuard, gated</w:t>
            </w:r>
          </w:p>
        </w:tc>
        <w:tc>
          <w:tcPr>
            <w:tcW w:type="dxa" w:w="737"/>
          </w:tcPr>
          <w:p>
            <w:pPr>
              <w:spacing w:after="0" w:line="240" w:lineRule="auto"/>
            </w:pPr>
            <w:r/>
            <w:r>
              <w:rPr>
                <w:rFonts w:ascii="Times New Roman" w:hAnsi="Times New Roman"/>
                <w:b w:val="0"/>
                <w:sz w:val="13"/>
              </w:rPr>
              <w:t>22</w:t>
            </w:r>
          </w:p>
        </w:tc>
        <w:tc>
          <w:tcPr>
            <w:tcW w:type="dxa" w:w="680"/>
          </w:tcPr>
          <w:p>
            <w:pPr>
              <w:spacing w:after="0" w:line="240" w:lineRule="auto"/>
            </w:pPr>
            <w:r/>
            <w:r>
              <w:rPr>
                <w:rFonts w:ascii="Times New Roman" w:hAnsi="Times New Roman"/>
                <w:b w:val="0"/>
                <w:sz w:val="13"/>
              </w:rPr>
              <w:t>0</w:t>
            </w:r>
          </w:p>
        </w:tc>
        <w:tc>
          <w:tcPr>
            <w:tcW w:type="dxa" w:w="680"/>
          </w:tcPr>
          <w:p>
            <w:pPr>
              <w:spacing w:after="0" w:line="240" w:lineRule="auto"/>
            </w:pPr>
            <w:r/>
            <w:r>
              <w:rPr>
                <w:rFonts w:ascii="Times New Roman" w:hAnsi="Times New Roman"/>
                <w:b w:val="0"/>
                <w:sz w:val="13"/>
              </w:rPr>
              <w:t>0</w:t>
            </w:r>
          </w:p>
        </w:tc>
        <w:tc>
          <w:tcPr>
            <w:tcW w:type="dxa" w:w="567"/>
          </w:tcPr>
          <w:p>
            <w:pPr>
              <w:spacing w:after="0" w:line="240" w:lineRule="auto"/>
            </w:pPr>
            <w:r/>
            <w:r>
              <w:rPr>
                <w:rFonts w:ascii="Times New Roman" w:hAnsi="Times New Roman"/>
                <w:b w:val="0"/>
                <w:sz w:val="13"/>
              </w:rPr>
              <w:t>5</w:t>
            </w:r>
          </w:p>
        </w:tc>
        <w:tc>
          <w:tcPr>
            <w:tcW w:type="dxa" w:w="737"/>
          </w:tcPr>
          <w:p>
            <w:pPr>
              <w:spacing w:after="0" w:line="240" w:lineRule="auto"/>
            </w:pPr>
            <w:r/>
            <w:r>
              <w:rPr>
                <w:rFonts w:ascii="Times New Roman" w:hAnsi="Times New Roman"/>
                <w:b w:val="0"/>
                <w:sz w:val="13"/>
              </w:rPr>
              <w:t>0/0</w:t>
            </w:r>
          </w:p>
        </w:tc>
      </w:tr>
    </w:tbl>
    <w:p>
      <w:pPr>
        <w:spacing w:after="80" w:before="0" w:line="240" w:lineRule="auto"/>
        <w:jc w:val="both"/>
      </w:pPr>
    </w:p>
    <w:p>
      <w:pPr>
        <w:spacing w:after="0" w:before="0" w:line="240" w:lineRule="auto"/>
        <w:ind w:firstLine="238"/>
        <w:jc w:val="both"/>
      </w:pPr>
      <w:r>
        <w:rPr>
          <w:rFonts w:ascii="Times New Roman" w:hAnsi="Times New Roman"/>
          <w:b w:val="0"/>
          <w:i w:val="0"/>
          <w:sz w:val="20"/>
        </w:rPr>
        <w:t>Table IV applies the scheduler. With VoltyGuard gated, 22 of 27 failures can be handled as planned outages with the two-day customer notice, 0 as N-1 transfers without interruption and 0 require an emergency response; 5 are missed. The standards alarm alone leaves 7 failures to the emergency path. Of the 0 short-lead cases checked in the power-flow model, 0 satisfied the voltage and ampacity limits after tie-switch closure, a reminder that the value of a warning depends on the network's reserve as much as on its timing.</w:t>
      </w:r>
    </w:p>
    <w:p>
      <w:pPr>
        <w:keepNext/>
        <w:spacing w:after="80" w:before="160" w:line="240" w:lineRule="auto"/>
        <w:jc w:val="center"/>
      </w:pPr>
      <w:r>
        <w:rPr>
          <w:rFonts w:ascii="Times New Roman" w:hAnsi="Times New Roman"/>
          <w:b w:val="0"/>
          <w:i w:val="0"/>
          <w:smallCaps/>
          <w:sz w:val="20"/>
        </w:rPr>
        <w:t>VI. Discussion</w:t>
      </w:r>
    </w:p>
    <w:p>
      <w:pPr>
        <w:spacing w:after="0" w:before="0" w:line="240" w:lineRule="auto"/>
        <w:ind w:firstLine="238"/>
        <w:jc w:val="both"/>
      </w:pPr>
      <w:r>
        <w:rPr>
          <w:rFonts w:ascii="Times New Roman" w:hAnsi="Times New Roman"/>
          <w:b w:val="0"/>
          <w:i w:val="0"/>
          <w:sz w:val="20"/>
        </w:rPr>
        <w:t>Three findings carry over to deployment. First, the standards layer is not a formality. On normal node-hours it raises caution in only 3.6% of cases, and gating the learned alerts on it costs no recall while giving every critical alert a reference an engineer can check against C57.104 or IEC 60270. Second, the gains from the graph are largest exactly where the attack surface is: the parent branch's power-balance residual is invisible to a per-asset model, and it is what separates a stealthy electrical injection from a genuine overload. Third, lead time is not a free variable. Transformer ageing is slow and observable, so warnings of one to several weeks are realistic; joint failures preceded by self-clearing faults give days, and only where a PD monitor or a fault recorder covers the segment. The scheduler makes this difference operational rather than statistical.</w:t>
      </w:r>
    </w:p>
    <w:p>
      <w:pPr>
        <w:spacing w:after="0" w:before="0" w:line="240" w:lineRule="auto"/>
        <w:ind w:firstLine="238"/>
        <w:jc w:val="both"/>
      </w:pPr>
      <w:r>
        <w:rPr>
          <w:rFonts w:ascii="Times New Roman" w:hAnsi="Times New Roman"/>
          <w:b w:val="0"/>
          <w:i w:val="0"/>
          <w:sz w:val="20"/>
        </w:rPr>
        <w:t>The study has limits that we state plainly. All data are synthetic, generated from standard models and documented assumptions; the degradation laws, gas generation rates and attack models are plausible, not fitted to Saudi field records, and the absolute numbers will move when they are. The feeder is balanced and radial, without distributed generation, and the hourly resolution hides sub-cycle phenomena that synchrophasor or fault-recorder data would expose. Model selection used six test realisations and three seeds; the seed-to-seed standard deviations quoted in Section V are the honest size of that uncertainty. The next step is a shadow-mode pilot on a Saudi 13.8 kV network with read-only access to SCADA, condition-monitoring and relay data, which is the deployment path compatible with the National Cybersecurity Authority's operational-technology controls [28]: no control authority, data diode, engineer retains the decision, field outcomes fed back to retrain. Reliability effects would then be measured with the IEEE 1366 indices [29] rather than with simulated lead times, and cascading interactions [30] could be studied on a meshed model.</w:t>
      </w:r>
    </w:p>
    <w:p>
      <w:pPr>
        <w:keepNext/>
        <w:spacing w:after="80" w:before="160" w:line="240" w:lineRule="auto"/>
        <w:jc w:val="center"/>
      </w:pPr>
      <w:r>
        <w:rPr>
          <w:rFonts w:ascii="Times New Roman" w:hAnsi="Times New Roman"/>
          <w:b w:val="0"/>
          <w:i w:val="0"/>
          <w:smallCaps/>
          <w:sz w:val="20"/>
        </w:rPr>
        <w:t>VII. Conclusion</w:t>
      </w:r>
    </w:p>
    <w:p>
      <w:pPr>
        <w:spacing w:after="0" w:before="0" w:line="240" w:lineRule="auto"/>
        <w:ind w:firstLine="238"/>
        <w:jc w:val="both"/>
      </w:pPr>
      <w:r>
        <w:rPr>
          <w:rFonts w:ascii="Times New Roman" w:hAnsi="Times New Roman"/>
          <w:b w:val="0"/>
          <w:i w:val="0"/>
          <w:sz w:val="20"/>
        </w:rPr>
        <w:t>Predictive maintenance becomes useful to a regulated operator when it is trusted, secure and convertible into admissible action. The framework evaluated here addresses all three conditions for Saudi MV networks: it gates learned predictions on diagnostic standards, it discriminates incipient faults from false data injection by exploiting physical and topological consistency, and it maps lead time to the actions SERA permits. On 24 simulated Riyadh summers of the IEEE 33-bus feeder it detected 93% of failures with a median warning of 9.4 days at the false-alarm budget of the standards alarm, separated faults from attacks in 87% of episodes and turned most detected failures into planned outages. The generator, models and results are released for reuse, and the authors invite network operators to the shadow-mode pilot that must come next.</w:t>
      </w:r>
    </w:p>
    <w:p>
      <w:pPr>
        <w:keepNext/>
        <w:spacing w:after="80" w:before="160" w:line="240" w:lineRule="auto"/>
        <w:jc w:val="center"/>
      </w:pPr>
      <w:r>
        <w:rPr>
          <w:rFonts w:ascii="Times New Roman" w:hAnsi="Times New Roman"/>
          <w:b w:val="0"/>
          <w:i w:val="0"/>
          <w:smallCaps/>
          <w:sz w:val="20"/>
        </w:rPr>
        <w:t>Data and Code Availability</w:t>
      </w:r>
    </w:p>
    <w:p>
      <w:pPr>
        <w:spacing w:after="0" w:before="0" w:line="240" w:lineRule="auto"/>
        <w:jc w:val="both"/>
      </w:pPr>
      <w:r>
        <w:rPr>
          <w:rFonts w:ascii="Times New Roman" w:hAnsi="Times New Roman"/>
          <w:b w:val="0"/>
          <w:i w:val="0"/>
          <w:sz w:val="20"/>
        </w:rPr>
        <w:t>The simulation generator, trained models, evaluation scripts and all result files are available at https://github.com/dr-elbehairy/voltyguard-mv-resilience (MIT licence).</w:t>
      </w:r>
    </w:p>
    <w:p>
      <w:pPr>
        <w:keepNext/>
        <w:spacing w:after="80" w:before="160" w:line="240" w:lineRule="auto"/>
        <w:jc w:val="center"/>
      </w:pPr>
      <w:r>
        <w:rPr>
          <w:rFonts w:ascii="Times New Roman" w:hAnsi="Times New Roman"/>
          <w:b w:val="0"/>
          <w:i w:val="0"/>
          <w:smallCaps/>
          <w:sz w:val="20"/>
        </w:rPr>
        <w:t>References</w:t>
      </w:r>
    </w:p>
    <w:p>
      <w:pPr>
        <w:tabs>
          <w:tab w:pos="397" w:val="left"/>
        </w:tabs>
        <w:spacing w:after="20" w:line="240" w:lineRule="auto"/>
        <w:ind w:left="397" w:hanging="397"/>
        <w:jc w:val="both"/>
      </w:pPr>
      <w:r>
        <w:rPr>
          <w:rFonts w:ascii="Times New Roman" w:hAnsi="Times New Roman"/>
          <w:sz w:val="16"/>
        </w:rPr>
        <w:t>[1]</w:t>
        <w:tab/>
      </w:r>
      <w:r>
        <w:rPr>
          <w:rFonts w:ascii="Times New Roman" w:hAnsi="Times New Roman"/>
          <w:sz w:val="16"/>
        </w:rPr>
        <w:t>Daleel News, "Saudi Smart Grid Conference powers energy innovation," Dec. 19, 2025. [Online]. Available: https://news.daleel.gov.sa/energy/saudi-smart-grid-conference-powers-energy-innovation</w:t>
      </w:r>
    </w:p>
    <w:p>
      <w:pPr>
        <w:tabs>
          <w:tab w:pos="397" w:val="left"/>
        </w:tabs>
        <w:spacing w:after="20" w:line="240" w:lineRule="auto"/>
        <w:ind w:left="397" w:hanging="397"/>
        <w:jc w:val="both"/>
      </w:pPr>
      <w:r>
        <w:rPr>
          <w:rFonts w:ascii="Times New Roman" w:hAnsi="Times New Roman"/>
          <w:sz w:val="16"/>
        </w:rPr>
        <w:t>[2]</w:t>
        <w:tab/>
      </w:r>
      <w:r>
        <w:rPr>
          <w:rFonts w:ascii="Times New Roman" w:hAnsi="Times New Roman"/>
          <w:sz w:val="16"/>
        </w:rPr>
        <w:t>Attaqa, "Saudi Electricity Company 2024 results," Mar. 5, 2025. [Online]. Available: https://attaqa.net</w:t>
      </w:r>
    </w:p>
    <w:p>
      <w:pPr>
        <w:tabs>
          <w:tab w:pos="397" w:val="left"/>
        </w:tabs>
        <w:spacing w:after="20" w:line="240" w:lineRule="auto"/>
        <w:ind w:left="397" w:hanging="397"/>
        <w:jc w:val="both"/>
      </w:pPr>
      <w:r>
        <w:rPr>
          <w:rFonts w:ascii="Times New Roman" w:hAnsi="Times New Roman"/>
          <w:sz w:val="16"/>
        </w:rPr>
        <w:t>[3]</w:t>
        <w:tab/>
      </w:r>
      <w:r>
        <w:rPr>
          <w:rFonts w:ascii="Times New Roman" w:hAnsi="Times New Roman"/>
          <w:sz w:val="16"/>
        </w:rPr>
        <w:t>Saudi Electricity Regulatory Authority, "Electrical service level standards guide (guaranteed standards)," Umm Al-Qura Gazette, Jul. 2025. [Online]. Available: https://www.uqn.gov.sa/details?p=27249</w:t>
      </w:r>
    </w:p>
    <w:p>
      <w:pPr>
        <w:tabs>
          <w:tab w:pos="397" w:val="left"/>
        </w:tabs>
        <w:spacing w:after="20" w:line="240" w:lineRule="auto"/>
        <w:ind w:left="397" w:hanging="397"/>
        <w:jc w:val="both"/>
      </w:pPr>
      <w:r>
        <w:rPr>
          <w:rFonts w:ascii="Times New Roman" w:hAnsi="Times New Roman"/>
          <w:sz w:val="16"/>
        </w:rPr>
        <w:t>[4]</w:t>
        <w:tab/>
      </w:r>
      <w:r>
        <w:rPr>
          <w:rFonts w:ascii="Times New Roman" w:hAnsi="Times New Roman"/>
          <w:sz w:val="16"/>
        </w:rPr>
        <w:t>C. Rudin, "Stop explaining black box machine learning models for high stakes decisions and use interpretable models instead," Nat. Mach. Intell., vol. 1, no. 5, pp. 206–215, 2019, doi: 10.1038/s42256-019-0048-x.</w:t>
      </w:r>
    </w:p>
    <w:p>
      <w:pPr>
        <w:tabs>
          <w:tab w:pos="397" w:val="left"/>
        </w:tabs>
        <w:spacing w:after="20" w:line="240" w:lineRule="auto"/>
        <w:ind w:left="397" w:hanging="397"/>
        <w:jc w:val="both"/>
      </w:pPr>
      <w:r>
        <w:rPr>
          <w:rFonts w:ascii="Times New Roman" w:hAnsi="Times New Roman"/>
          <w:sz w:val="16"/>
        </w:rPr>
        <w:t>[5]</w:t>
        <w:tab/>
      </w:r>
      <w:r>
        <w:rPr>
          <w:rFonts w:ascii="Times New Roman" w:hAnsi="Times New Roman"/>
          <w:sz w:val="16"/>
        </w:rPr>
        <w:t>Y. Liu, P. Ning, and M. K. Reiter, "False data injection attacks against state estimation in electric power grids," in Proc. 16th ACM Conf. Comput. Commun. Secur. (CCS), Chicago, IL, USA, 2009, pp. 21–32, doi: 10.1145/1653662.1653666.</w:t>
      </w:r>
    </w:p>
    <w:p>
      <w:pPr>
        <w:tabs>
          <w:tab w:pos="397" w:val="left"/>
        </w:tabs>
        <w:spacing w:after="20" w:line="240" w:lineRule="auto"/>
        <w:ind w:left="397" w:hanging="397"/>
        <w:jc w:val="both"/>
      </w:pPr>
      <w:r>
        <w:rPr>
          <w:rFonts w:ascii="Times New Roman" w:hAnsi="Times New Roman"/>
          <w:sz w:val="16"/>
        </w:rPr>
        <w:t>[6]</w:t>
        <w:tab/>
      </w:r>
      <w:r>
        <w:rPr>
          <w:rFonts w:ascii="Times New Roman" w:hAnsi="Times New Roman"/>
          <w:sz w:val="16"/>
        </w:rPr>
        <w:t>IEEE Guide for the Interpretation of Gases Generated in Mineral Oil-Immersed Transformers, IEEE Std C57.104-2019, 2019, doi: 10.1109/IEEESTD.2019.8890040.</w:t>
      </w:r>
    </w:p>
    <w:p>
      <w:pPr>
        <w:tabs>
          <w:tab w:pos="397" w:val="left"/>
        </w:tabs>
        <w:spacing w:after="20" w:line="240" w:lineRule="auto"/>
        <w:ind w:left="397" w:hanging="397"/>
        <w:jc w:val="both"/>
      </w:pPr>
      <w:r>
        <w:rPr>
          <w:rFonts w:ascii="Times New Roman" w:hAnsi="Times New Roman"/>
          <w:sz w:val="16"/>
        </w:rPr>
        <w:t>[7]</w:t>
        <w:tab/>
      </w:r>
      <w:r>
        <w:rPr>
          <w:rFonts w:ascii="Times New Roman" w:hAnsi="Times New Roman"/>
          <w:sz w:val="16"/>
        </w:rPr>
        <w:t>Mineral oil-filled electrical equipment in service — Guidance on the interpretation of dissolved and free gases analysis, IEC 60599:2022.</w:t>
      </w:r>
    </w:p>
    <w:p>
      <w:pPr>
        <w:tabs>
          <w:tab w:pos="397" w:val="left"/>
        </w:tabs>
        <w:spacing w:after="20" w:line="240" w:lineRule="auto"/>
        <w:ind w:left="397" w:hanging="397"/>
        <w:jc w:val="both"/>
      </w:pPr>
      <w:r>
        <w:rPr>
          <w:rFonts w:ascii="Times New Roman" w:hAnsi="Times New Roman"/>
          <w:sz w:val="16"/>
        </w:rPr>
        <w:t>[8]</w:t>
        <w:tab/>
      </w:r>
      <w:r>
        <w:rPr>
          <w:rFonts w:ascii="Times New Roman" w:hAnsi="Times New Roman"/>
          <w:sz w:val="16"/>
        </w:rPr>
        <w:t>High-voltage test techniques — Partial discharge measurements, IEC 60270:2000+AMD1:2015.</w:t>
      </w:r>
    </w:p>
    <w:p>
      <w:pPr>
        <w:tabs>
          <w:tab w:pos="397" w:val="left"/>
        </w:tabs>
        <w:spacing w:after="20" w:line="240" w:lineRule="auto"/>
        <w:ind w:left="397" w:hanging="397"/>
        <w:jc w:val="both"/>
      </w:pPr>
      <w:r>
        <w:rPr>
          <w:rFonts w:ascii="Times New Roman" w:hAnsi="Times New Roman"/>
          <w:sz w:val="16"/>
        </w:rPr>
        <w:t>[9]</w:t>
        <w:tab/>
      </w:r>
      <w:r>
        <w:rPr>
          <w:rFonts w:ascii="Times New Roman" w:hAnsi="Times New Roman"/>
          <w:sz w:val="16"/>
        </w:rPr>
        <w:t>Power transformers — Part 7: Loading guide for mineral-oil-immersed power transformers, IEC 60076-7:2018.</w:t>
      </w:r>
    </w:p>
    <w:p>
      <w:pPr>
        <w:tabs>
          <w:tab w:pos="397" w:val="left"/>
        </w:tabs>
        <w:spacing w:after="20" w:line="240" w:lineRule="auto"/>
        <w:ind w:left="397" w:hanging="397"/>
        <w:jc w:val="both"/>
      </w:pPr>
      <w:r>
        <w:rPr>
          <w:rFonts w:ascii="Times New Roman" w:hAnsi="Times New Roman"/>
          <w:sz w:val="16"/>
        </w:rPr>
        <w:t>[10]</w:t>
        <w:tab/>
      </w:r>
      <w:r>
        <w:rPr>
          <w:rFonts w:ascii="Times New Roman" w:hAnsi="Times New Roman"/>
          <w:sz w:val="16"/>
        </w:rPr>
        <w:t>M. E. Baran and F. F. Wu, "Network reconfiguration in distribution systems for loss reduction and load balancing," IEEE Trans. Power Del., vol. 4, no. 2, pp. 1401–1407, 1989, doi: 10.1109/61.25627.</w:t>
      </w:r>
    </w:p>
    <w:p>
      <w:pPr>
        <w:tabs>
          <w:tab w:pos="397" w:val="left"/>
        </w:tabs>
        <w:spacing w:after="20" w:line="240" w:lineRule="auto"/>
        <w:ind w:left="397" w:hanging="397"/>
        <w:jc w:val="both"/>
      </w:pPr>
      <w:r>
        <w:rPr>
          <w:rFonts w:ascii="Times New Roman" w:hAnsi="Times New Roman"/>
          <w:sz w:val="16"/>
        </w:rPr>
        <w:t>[11]</w:t>
        <w:tab/>
      </w:r>
      <w:r>
        <w:rPr>
          <w:rFonts w:ascii="Times New Roman" w:hAnsi="Times New Roman"/>
          <w:sz w:val="16"/>
        </w:rPr>
        <w:t>M. Duval and A. dePablo, "Interpretation of gas-in-oil analysis using new IEC publication 60599 and IEC TC 10 databases," IEEE Electr. Insul. Mag., vol. 17, no. 2, pp. 31–41, 2001, doi: 10.1109/57.917529.</w:t>
      </w:r>
    </w:p>
    <w:p>
      <w:pPr>
        <w:tabs>
          <w:tab w:pos="397" w:val="left"/>
        </w:tabs>
        <w:spacing w:after="20" w:line="240" w:lineRule="auto"/>
        <w:ind w:left="397" w:hanging="397"/>
        <w:jc w:val="both"/>
      </w:pPr>
      <w:r>
        <w:rPr>
          <w:rFonts w:ascii="Times New Roman" w:hAnsi="Times New Roman"/>
          <w:sz w:val="16"/>
        </w:rPr>
        <w:t>[12]</w:t>
        <w:tab/>
      </w:r>
      <w:r>
        <w:rPr>
          <w:rFonts w:ascii="Times New Roman" w:hAnsi="Times New Roman"/>
          <w:sz w:val="16"/>
        </w:rPr>
        <w:t>D. Susa, M. Lehtonen, and H. Nordman, "Dynamic thermal modeling of distribution transformers," IEEE Trans. Power Del., vol. 20, no. 3, pp. 1919–1929, 2005, doi: 10.1109/TPWRD.2005.848675.</w:t>
      </w:r>
    </w:p>
    <w:p>
      <w:pPr>
        <w:tabs>
          <w:tab w:pos="397" w:val="left"/>
        </w:tabs>
        <w:spacing w:after="20" w:line="240" w:lineRule="auto"/>
        <w:ind w:left="397" w:hanging="397"/>
        <w:jc w:val="both"/>
      </w:pPr>
      <w:r>
        <w:rPr>
          <w:rFonts w:ascii="Times New Roman" w:hAnsi="Times New Roman"/>
          <w:sz w:val="16"/>
        </w:rPr>
        <w:t>[13]</w:t>
        <w:tab/>
      </w:r>
      <w:r>
        <w:rPr>
          <w:rFonts w:ascii="Times New Roman" w:hAnsi="Times New Roman"/>
          <w:sz w:val="16"/>
        </w:rPr>
        <w:t>B. D. Russell and C. L. Benner, "Intelligent systems for improved reliability and failure diagnosis in distribution systems," IEEE Trans. Smart Grid, vol. 1, no. 1, pp. 48–56, 2010, doi: 10.1109/TSG.2010.2044898.</w:t>
      </w:r>
    </w:p>
    <w:p>
      <w:pPr>
        <w:tabs>
          <w:tab w:pos="397" w:val="left"/>
        </w:tabs>
        <w:spacing w:after="20" w:line="240" w:lineRule="auto"/>
        <w:ind w:left="397" w:hanging="397"/>
        <w:jc w:val="both"/>
      </w:pPr>
      <w:r>
        <w:rPr>
          <w:rFonts w:ascii="Times New Roman" w:hAnsi="Times New Roman"/>
          <w:sz w:val="16"/>
        </w:rPr>
        <w:t>[14]</w:t>
        <w:tab/>
      </w:r>
      <w:r>
        <w:rPr>
          <w:rFonts w:ascii="Times New Roman" w:hAnsi="Times New Roman"/>
          <w:sz w:val="16"/>
        </w:rPr>
        <w:t>T. S. Sidhu and Z. Xu, "Detection of incipient faults in distribution underground cables," IEEE Trans. Power Del., vol. 25, no. 3, pp. 1363–1371, 2010, doi: 10.1109/TPWRD.2010.2041373.</w:t>
      </w:r>
    </w:p>
    <w:p>
      <w:pPr>
        <w:tabs>
          <w:tab w:pos="397" w:val="left"/>
        </w:tabs>
        <w:spacing w:after="20" w:line="240" w:lineRule="auto"/>
        <w:ind w:left="397" w:hanging="397"/>
        <w:jc w:val="both"/>
      </w:pPr>
      <w:r>
        <w:rPr>
          <w:rFonts w:ascii="Times New Roman" w:hAnsi="Times New Roman"/>
          <w:sz w:val="16"/>
        </w:rPr>
        <w:t>[15]</w:t>
        <w:tab/>
      </w:r>
      <w:r>
        <w:rPr>
          <w:rFonts w:ascii="Times New Roman" w:hAnsi="Times New Roman"/>
          <w:sz w:val="16"/>
        </w:rPr>
        <w:t>S. Kulkarni, S. Santoso, and T. A. Short, "Incipient fault location algorithm for underground cables," IEEE Trans. Smart Grid, vol. 5, no. 3, pp. 1165–1174, 2014, doi: 10.1109/TSG.2014.2303483.</w:t>
      </w:r>
    </w:p>
    <w:p>
      <w:pPr>
        <w:tabs>
          <w:tab w:pos="397" w:val="left"/>
        </w:tabs>
        <w:spacing w:after="20" w:line="240" w:lineRule="auto"/>
        <w:ind w:left="397" w:hanging="397"/>
        <w:jc w:val="both"/>
      </w:pPr>
      <w:r>
        <w:rPr>
          <w:rFonts w:ascii="Times New Roman" w:hAnsi="Times New Roman"/>
          <w:sz w:val="16"/>
        </w:rPr>
        <w:t>[16]</w:t>
        <w:tab/>
      </w:r>
      <w:r>
        <w:rPr>
          <w:rFonts w:ascii="Times New Roman" w:hAnsi="Times New Roman"/>
          <w:sz w:val="16"/>
        </w:rPr>
        <w:t>T. N. Kipf and M. Welling, "Semi-supervised classification with graph convolutional networks," in Proc. Int. Conf. Learn. Represent. (ICLR), Toulon, France, 2017.</w:t>
      </w:r>
    </w:p>
    <w:p>
      <w:pPr>
        <w:tabs>
          <w:tab w:pos="397" w:val="left"/>
        </w:tabs>
        <w:spacing w:after="20" w:line="240" w:lineRule="auto"/>
        <w:ind w:left="397" w:hanging="397"/>
        <w:jc w:val="both"/>
      </w:pPr>
      <w:r>
        <w:rPr>
          <w:rFonts w:ascii="Times New Roman" w:hAnsi="Times New Roman"/>
          <w:sz w:val="16"/>
        </w:rPr>
        <w:t>[17]</w:t>
        <w:tab/>
      </w:r>
      <w:r>
        <w:rPr>
          <w:rFonts w:ascii="Times New Roman" w:hAnsi="Times New Roman"/>
          <w:sz w:val="16"/>
        </w:rPr>
        <w:t>W. L. Hamilton, R. Ying, and J. Leskovec, "Inductive representation learning on large graphs," in Proc. Adv. Neural Inf. Process. Syst. (NeurIPS), vol. 30, Long Beach, CA, USA, 2017, pp. 1024–1034.</w:t>
      </w:r>
    </w:p>
    <w:p>
      <w:pPr>
        <w:tabs>
          <w:tab w:pos="397" w:val="left"/>
        </w:tabs>
        <w:spacing w:after="20" w:line="240" w:lineRule="auto"/>
        <w:ind w:left="397" w:hanging="397"/>
        <w:jc w:val="both"/>
      </w:pPr>
      <w:r>
        <w:rPr>
          <w:rFonts w:ascii="Times New Roman" w:hAnsi="Times New Roman"/>
          <w:sz w:val="16"/>
        </w:rPr>
        <w:t>[18]</w:t>
        <w:tab/>
      </w:r>
      <w:r>
        <w:rPr>
          <w:rFonts w:ascii="Times New Roman" w:hAnsi="Times New Roman"/>
          <w:sz w:val="16"/>
        </w:rPr>
        <w:t>W. Liao, B. Bak-Jensen, J. R. Pillai, Y. Wang, and Y. Wang, "A review of graph neural networks and their applications in power systems," J. Mod. Power Syst. Clean Energy, vol. 10, no. 2, pp. 345–360, 2022, doi: 10.35833/MPCE.2021.000058.</w:t>
      </w:r>
    </w:p>
    <w:p>
      <w:pPr>
        <w:tabs>
          <w:tab w:pos="397" w:val="left"/>
        </w:tabs>
        <w:spacing w:after="20" w:line="240" w:lineRule="auto"/>
        <w:ind w:left="397" w:hanging="397"/>
        <w:jc w:val="both"/>
      </w:pPr>
      <w:r>
        <w:rPr>
          <w:rFonts w:ascii="Times New Roman" w:hAnsi="Times New Roman"/>
          <w:sz w:val="16"/>
        </w:rPr>
        <w:t>[19]</w:t>
        <w:tab/>
      </w:r>
      <w:r>
        <w:rPr>
          <w:rFonts w:ascii="Times New Roman" w:hAnsi="Times New Roman"/>
          <w:sz w:val="16"/>
        </w:rPr>
        <w:t>K. Chen, J. Hu, Y. Zhang, Z. Yu, and J. He, "Fault location in power distribution systems via deep graph convolutional networks," IEEE J. Sel. Areas Commun., vol. 38, no. 1, pp. 119–131, 2020, doi: 10.1109/JSAC.2019.2951964.</w:t>
      </w:r>
    </w:p>
    <w:p>
      <w:pPr>
        <w:tabs>
          <w:tab w:pos="397" w:val="left"/>
        </w:tabs>
        <w:spacing w:after="20" w:line="240" w:lineRule="auto"/>
        <w:ind w:left="397" w:hanging="397"/>
        <w:jc w:val="both"/>
      </w:pPr>
      <w:r>
        <w:rPr>
          <w:rFonts w:ascii="Times New Roman" w:hAnsi="Times New Roman"/>
          <w:sz w:val="16"/>
        </w:rPr>
        <w:t>[20]</w:t>
        <w:tab/>
      </w:r>
      <w:r>
        <w:rPr>
          <w:rFonts w:ascii="Times New Roman" w:hAnsi="Times New Roman"/>
          <w:sz w:val="16"/>
        </w:rPr>
        <w:t>W. Li, D. Deka, M. Chertkov, and M. Wang, "Real-time faulted line localization and PMU placement in power systems through convolutional neural networks," IEEE Trans. Power Syst., vol. 34, no. 6, pp. 4640–4651, 2019, doi: 10.1109/TPWRS.2019.2917794.</w:t>
      </w:r>
    </w:p>
    <w:p>
      <w:pPr>
        <w:tabs>
          <w:tab w:pos="397" w:val="left"/>
        </w:tabs>
        <w:spacing w:after="20" w:line="240" w:lineRule="auto"/>
        <w:ind w:left="397" w:hanging="397"/>
        <w:jc w:val="both"/>
      </w:pPr>
      <w:r>
        <w:rPr>
          <w:rFonts w:ascii="Times New Roman" w:hAnsi="Times New Roman"/>
          <w:sz w:val="16"/>
        </w:rPr>
        <w:t>[21]</w:t>
        <w:tab/>
      </w:r>
      <w:r>
        <w:rPr>
          <w:rFonts w:ascii="Times New Roman" w:hAnsi="Times New Roman"/>
          <w:sz w:val="16"/>
        </w:rPr>
        <w:t>O. Kundacina, M. Cosovic, and D. Vukobratovic, "State estimation in electric power systems leveraging graph neural networks," in Proc. 17th Int. Conf. Probabilistic Methods Appl. Power Syst. (PMAPS), Manchester, U.K., 2022, pp. 1–6, doi: 10.1109/PMAPS53380.2022.9810559.</w:t>
      </w:r>
    </w:p>
    <w:p>
      <w:pPr>
        <w:tabs>
          <w:tab w:pos="397" w:val="left"/>
        </w:tabs>
        <w:spacing w:after="20" w:line="240" w:lineRule="auto"/>
        <w:ind w:left="397" w:hanging="397"/>
        <w:jc w:val="both"/>
      </w:pPr>
      <w:r>
        <w:rPr>
          <w:rFonts w:ascii="Times New Roman" w:hAnsi="Times New Roman"/>
          <w:sz w:val="16"/>
        </w:rPr>
        <w:t>[22]</w:t>
        <w:tab/>
      </w:r>
      <w:r>
        <w:rPr>
          <w:rFonts w:ascii="Times New Roman" w:hAnsi="Times New Roman"/>
          <w:sz w:val="16"/>
        </w:rPr>
        <w:t>O. Boyaci, A. Umunnakwe, A. Sahu, M. R. Narimani, M. Ismail, K. R. Davis, and E. Serpedin, "Graph neural networks based detection of stealth false data injection attacks in smart grids," IEEE Syst. J., vol. 16, no. 2, pp. 2946–2957, 2022, doi: 10.1109/JSYST.2021.3109082.</w:t>
      </w:r>
    </w:p>
    <w:p>
      <w:pPr>
        <w:tabs>
          <w:tab w:pos="397" w:val="left"/>
        </w:tabs>
        <w:spacing w:after="20" w:line="240" w:lineRule="auto"/>
        <w:ind w:left="397" w:hanging="397"/>
        <w:jc w:val="both"/>
      </w:pPr>
      <w:r>
        <w:rPr>
          <w:rFonts w:ascii="Times New Roman" w:hAnsi="Times New Roman"/>
          <w:sz w:val="16"/>
        </w:rPr>
        <w:t>[23]</w:t>
        <w:tab/>
      </w:r>
      <w:r>
        <w:rPr>
          <w:rFonts w:ascii="Times New Roman" w:hAnsi="Times New Roman"/>
          <w:sz w:val="16"/>
        </w:rPr>
        <w:t>M. Atrigna, A. Buonanno, R. Carli, G. Cavone, P. Scarabaggio, M. Valenti, G. Graditi, and M. Dotoli, "A machine learning approach to fault prediction of power distribution grids under heatwaves," IEEE Trans. Ind. Appl., vol. 59, no. 4, pp. 4835–4845, 2023, doi: 10.1109/TIA.2023.3262230.</w:t>
      </w:r>
    </w:p>
    <w:p>
      <w:pPr>
        <w:tabs>
          <w:tab w:pos="397" w:val="left"/>
        </w:tabs>
        <w:spacing w:after="20" w:line="240" w:lineRule="auto"/>
        <w:ind w:left="397" w:hanging="397"/>
        <w:jc w:val="both"/>
      </w:pPr>
      <w:r>
        <w:rPr>
          <w:rFonts w:ascii="Times New Roman" w:hAnsi="Times New Roman"/>
          <w:sz w:val="16"/>
        </w:rPr>
        <w:t>[24]</w:t>
        <w:tab/>
      </w:r>
      <w:r>
        <w:rPr>
          <w:rFonts w:ascii="Times New Roman" w:hAnsi="Times New Roman"/>
          <w:sz w:val="16"/>
        </w:rPr>
        <w:t>IEEE Standard for Synchrophasor Measurements for Power Systems, IEEE Std C37.118.1-2011, 2011, doi: 10.1109/IEEESTD.2011.6111219.</w:t>
      </w:r>
    </w:p>
    <w:p>
      <w:pPr>
        <w:tabs>
          <w:tab w:pos="397" w:val="left"/>
        </w:tabs>
        <w:spacing w:after="20" w:line="240" w:lineRule="auto"/>
        <w:ind w:left="397" w:hanging="397"/>
        <w:jc w:val="both"/>
      </w:pPr>
      <w:r>
        <w:rPr>
          <w:rFonts w:ascii="Times New Roman" w:hAnsi="Times New Roman"/>
          <w:sz w:val="16"/>
        </w:rPr>
        <w:t>[25]</w:t>
        <w:tab/>
      </w:r>
      <w:r>
        <w:rPr>
          <w:rFonts w:ascii="Times New Roman" w:hAnsi="Times New Roman"/>
          <w:sz w:val="16"/>
        </w:rPr>
        <w:t>C. Guo, G. Pleiss, Y. Sun, and K. Q. Weinberger, "On calibration of modern neural networks," in Proc. 34th Int. Conf. Mach. Learn. (ICML), Sydney, Australia, 2017, pp. 1321–1330.</w:t>
      </w:r>
    </w:p>
    <w:p>
      <w:pPr>
        <w:tabs>
          <w:tab w:pos="397" w:val="left"/>
        </w:tabs>
        <w:spacing w:after="20" w:line="240" w:lineRule="auto"/>
        <w:ind w:left="397" w:hanging="397"/>
        <w:jc w:val="both"/>
      </w:pPr>
      <w:r>
        <w:rPr>
          <w:rFonts w:ascii="Times New Roman" w:hAnsi="Times New Roman"/>
          <w:sz w:val="16"/>
        </w:rPr>
        <w:t>[26]</w:t>
        <w:tab/>
      </w:r>
      <w:r>
        <w:rPr>
          <w:rFonts w:ascii="Times New Roman" w:hAnsi="Times New Roman"/>
          <w:sz w:val="16"/>
        </w:rPr>
        <w:t>L. Thurner, A. Scheidler, F. Schäfer, J.-H. Menke, J. Dollichon, F. Meier, S. Meinecke, and M. Braun, "pandapower — An open-source Python tool for convenient modeling, analysis, and optimization of electric power systems," IEEE Trans. Power Syst., vol. 33, no. 6, pp. 6510–6521, 2018, doi: 10.1109/TPWRS.2018.2829021.</w:t>
      </w:r>
    </w:p>
    <w:p>
      <w:pPr>
        <w:tabs>
          <w:tab w:pos="397" w:val="left"/>
        </w:tabs>
        <w:spacing w:after="20" w:line="240" w:lineRule="auto"/>
        <w:ind w:left="397" w:hanging="397"/>
        <w:jc w:val="both"/>
      </w:pPr>
      <w:r>
        <w:rPr>
          <w:rFonts w:ascii="Times New Roman" w:hAnsi="Times New Roman"/>
          <w:sz w:val="16"/>
        </w:rPr>
        <w:t>[27]</w:t>
        <w:tab/>
      </w:r>
      <w:r>
        <w:rPr>
          <w:rFonts w:ascii="Times New Roman" w:hAnsi="Times New Roman"/>
          <w:sz w:val="16"/>
        </w:rPr>
        <w:t>T. Chen and C. Guestrin, "XGBoost: A scalable tree boosting system," in Proc. 22nd ACM SIGKDD Int. Conf. Knowl. Discov. Data Min., San Francisco, CA, USA, 2016, pp. 785–794, doi: 10.1145/2939672.2939785.</w:t>
      </w:r>
    </w:p>
    <w:p>
      <w:pPr>
        <w:tabs>
          <w:tab w:pos="397" w:val="left"/>
        </w:tabs>
        <w:spacing w:after="20" w:line="240" w:lineRule="auto"/>
        <w:ind w:left="397" w:hanging="397"/>
        <w:jc w:val="both"/>
      </w:pPr>
      <w:r>
        <w:rPr>
          <w:rFonts w:ascii="Times New Roman" w:hAnsi="Times New Roman"/>
          <w:sz w:val="16"/>
        </w:rPr>
        <w:t>[28]</w:t>
        <w:tab/>
      </w:r>
      <w:r>
        <w:rPr>
          <w:rFonts w:ascii="Times New Roman" w:hAnsi="Times New Roman"/>
          <w:sz w:val="16"/>
        </w:rPr>
        <w:t>National Cybersecurity Authority, Operational Technology Cybersecurity Controls (OTCC-1:2022), Riyadh, Saudi Arabia, 2022.</w:t>
      </w:r>
    </w:p>
    <w:p>
      <w:pPr>
        <w:tabs>
          <w:tab w:pos="397" w:val="left"/>
        </w:tabs>
        <w:spacing w:after="20" w:line="240" w:lineRule="auto"/>
        <w:ind w:left="397" w:hanging="397"/>
        <w:jc w:val="both"/>
      </w:pPr>
      <w:r>
        <w:rPr>
          <w:rFonts w:ascii="Times New Roman" w:hAnsi="Times New Roman"/>
          <w:sz w:val="16"/>
        </w:rPr>
        <w:t>[29]</w:t>
        <w:tab/>
      </w:r>
      <w:r>
        <w:rPr>
          <w:rFonts w:ascii="Times New Roman" w:hAnsi="Times New Roman"/>
          <w:sz w:val="16"/>
        </w:rPr>
        <w:t>IEEE Guide for Electric Power Distribution Reliability Indices, IEEE Std 1366-2022, 2022, doi: 10.1109/IEEESTD.2022.9955492.</w:t>
      </w:r>
    </w:p>
    <w:p>
      <w:pPr>
        <w:tabs>
          <w:tab w:pos="397" w:val="left"/>
        </w:tabs>
        <w:spacing w:after="20" w:line="240" w:lineRule="auto"/>
        <w:ind w:left="397" w:hanging="397"/>
        <w:jc w:val="both"/>
      </w:pPr>
      <w:r>
        <w:rPr>
          <w:rFonts w:ascii="Times New Roman" w:hAnsi="Times New Roman"/>
          <w:sz w:val="16"/>
        </w:rPr>
        <w:t>[30]</w:t>
        <w:tab/>
      </w:r>
      <w:r>
        <w:rPr>
          <w:rFonts w:ascii="Times New Roman" w:hAnsi="Times New Roman"/>
          <w:sz w:val="16"/>
        </w:rPr>
        <w:t>I. Dobson, B. A. Carreras, V. E. Lynch, and D. E. Newman, "Complex systems analysis of series of blackouts: Cascading failure, critical points, and self-organization," Chaos, vol. 17, no. 2, p. 026103, 2007, doi: 10.1063/1.2737822.</w:t>
      </w:r>
    </w:p>
    <w:p>
      <w:pPr>
        <w:keepNext/>
        <w:spacing w:after="80" w:before="160" w:line="240" w:lineRule="auto"/>
        <w:jc w:val="center"/>
      </w:pPr>
      <w:r>
        <w:rPr>
          <w:rFonts w:ascii="Times New Roman" w:hAnsi="Times New Roman"/>
          <w:b w:val="0"/>
          <w:i w:val="0"/>
          <w:smallCaps/>
          <w:sz w:val="20"/>
        </w:rPr>
        <w:t>Biographies</w:t>
      </w:r>
    </w:p>
    <w:p>
      <w:pPr>
        <w:spacing w:after="80" w:line="240" w:lineRule="auto"/>
        <w:jc w:val="both"/>
      </w:pPr>
      <w:r>
        <w:rPr>
          <w:rFonts w:ascii="Times New Roman" w:hAnsi="Times New Roman"/>
          <w:sz w:val="18"/>
          <w:highlight w:val="yellow"/>
        </w:rPr>
        <w:t xml:space="preserve">[photo 2.54 × 3.18 cm] </w:t>
      </w:r>
      <w:r>
        <w:rPr>
          <w:rFonts w:ascii="Times New Roman" w:hAnsi="Times New Roman"/>
          <w:b/>
          <w:sz w:val="18"/>
        </w:rPr>
        <w:t xml:space="preserve">Moustafa Elbehairy </w:t>
      </w:r>
      <w:r>
        <w:rPr>
          <w:rFonts w:ascii="Times New Roman" w:hAnsi="Times New Roman"/>
          <w:sz w:val="18"/>
        </w:rPr>
        <w:t>is Co-Chief Executive Officer of Nukhbaat Hulul Alamal (Nukhba Business Solutions), Riyadh, Saudi Arabia, and a founding partner of SystechHub, Germany. He has more than eighteen years of experience in artificial intelligence, data science and risk analytics for government and critical-infrastructure clients in Saudi Arabia and Egypt, and lectures in statistics and insurance at Suez Canal University, Egypt. His research interests include graph learning for infrastructure, AI governance and risk modelling.</w:t>
      </w:r>
    </w:p>
    <w:p>
      <w:pPr>
        <w:spacing w:after="80" w:line="240" w:lineRule="auto"/>
        <w:jc w:val="both"/>
      </w:pPr>
      <w:r>
        <w:rPr>
          <w:rFonts w:ascii="Times New Roman" w:hAnsi="Times New Roman"/>
          <w:sz w:val="18"/>
          <w:highlight w:val="yellow"/>
        </w:rPr>
        <w:t xml:space="preserve">[photo 2.54 × 3.18 cm] </w:t>
      </w:r>
      <w:r>
        <w:rPr>
          <w:rFonts w:ascii="Times New Roman" w:hAnsi="Times New Roman"/>
          <w:b/>
          <w:sz w:val="18"/>
        </w:rPr>
        <w:t xml:space="preserve">Ahmed Abu Abuseen </w:t>
      </w:r>
      <w:r>
        <w:rPr>
          <w:rFonts w:ascii="Times New Roman" w:hAnsi="Times New Roman"/>
          <w:sz w:val="18"/>
          <w:highlight w:val="yellow"/>
        </w:rPr>
        <w:t>is a consultant in data governance and personal-data protection at Nukhbaat Hulul Alamal, Riyadh, Saudi Arabia, advising public entities on compliance with the Saudi Personal Data Protection Law and the National Cybersecurity Authority's controls.</w:t>
      </w:r>
    </w:p>
    <w:p>
      <w:pPr>
        <w:spacing w:after="80" w:line="240" w:lineRule="auto"/>
        <w:jc w:val="both"/>
      </w:pPr>
      <w:r>
        <w:rPr>
          <w:rFonts w:ascii="Times New Roman" w:hAnsi="Times New Roman"/>
          <w:sz w:val="18"/>
          <w:highlight w:val="yellow"/>
        </w:rPr>
        <w:t xml:space="preserve">[photo 2.54 × 3.18 cm] </w:t>
      </w:r>
      <w:r>
        <w:rPr>
          <w:rFonts w:ascii="Times New Roman" w:hAnsi="Times New Roman"/>
          <w:b/>
          <w:sz w:val="18"/>
        </w:rPr>
        <w:t xml:space="preserve">Nasser Al-Maawi </w:t>
      </w:r>
      <w:r>
        <w:rPr>
          <w:rFonts w:ascii="Times New Roman" w:hAnsi="Times New Roman"/>
          <w:sz w:val="18"/>
          <w:highlight w:val="yellow"/>
        </w:rPr>
        <w:t>is an electrical engineer with United Specialists Co., Saudi Arabia, working on distribution-network projects and field instrumentation.</w:t>
      </w:r>
    </w:p>
    <w:p>
      <w:pPr>
        <w:spacing w:after="80" w:line="240" w:lineRule="auto"/>
        <w:jc w:val="both"/>
      </w:pPr>
      <w:r>
        <w:rPr>
          <w:rFonts w:ascii="Times New Roman" w:hAnsi="Times New Roman"/>
          <w:sz w:val="18"/>
          <w:highlight w:val="yellow"/>
        </w:rPr>
        <w:t xml:space="preserve">[photo 2.54 × 3.18 cm] </w:t>
      </w:r>
      <w:r>
        <w:rPr>
          <w:rFonts w:ascii="Times New Roman" w:hAnsi="Times New Roman"/>
          <w:b/>
          <w:sz w:val="18"/>
        </w:rPr>
        <w:t xml:space="preserve">Amir Raouf </w:t>
      </w:r>
      <w:r>
        <w:rPr>
          <w:rFonts w:ascii="Times New Roman" w:hAnsi="Times New Roman"/>
          <w:sz w:val="18"/>
          <w:highlight w:val="yellow"/>
        </w:rPr>
        <w:t>is a consultant in operations management and research with Karaz Platform, Saudi Arabia, with interests in maintenance scheduling and optimisation.</w:t>
      </w:r>
    </w:p>
    <w:p>
      <w:pPr>
        <w:spacing w:after="80" w:line="240" w:lineRule="auto"/>
        <w:jc w:val="both"/>
      </w:pPr>
      <w:r>
        <w:rPr>
          <w:rFonts w:ascii="Times New Roman" w:hAnsi="Times New Roman"/>
          <w:sz w:val="18"/>
          <w:highlight w:val="yellow"/>
        </w:rPr>
        <w:t xml:space="preserve">[photo 2.54 × 3.18 cm] </w:t>
      </w:r>
      <w:r>
        <w:rPr>
          <w:rFonts w:ascii="Times New Roman" w:hAnsi="Times New Roman"/>
          <w:b/>
          <w:sz w:val="18"/>
        </w:rPr>
        <w:t xml:space="preserve">Ahmed Abdulrahman Al-Jafin </w:t>
      </w:r>
      <w:r>
        <w:rPr>
          <w:rFonts w:ascii="Times New Roman" w:hAnsi="Times New Roman"/>
          <w:sz w:val="18"/>
          <w:highlight w:val="yellow"/>
        </w:rPr>
        <w:t>is an electrical engineer and the founder of Energy Tower Company, Saudi Arabia. He previously held management positions at the Ministry of Energy and the Saudi Electricity Company, with a focus on medium-voltage distribution networks.</w:t>
      </w:r>
    </w:p>
    <w:sectPr w:rsidR="00FC693F" w:rsidRPr="0006063C" w:rsidSect="00034616">
      <w:type w:val="continuous"/>
      <w:pgSz w:w="12240" w:h="15840"/>
      <w:pgMar w:top="958" w:right="958" w:bottom="958" w:left="958" w:header="720" w:footer="720" w:gutter="0"/>
      <w:docGrid w:linePitch="360"/>
      <w:cols w:num="2" w:space="238"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