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0A" w:rsidRDefault="007A770A" w:rsidP="007A770A">
      <w:pPr>
        <w:spacing w:line="480" w:lineRule="auto"/>
        <w:outlineLvl w:val="0"/>
        <w:rPr>
          <w:rFonts w:ascii="Times New Roman" w:hAnsi="Times New Roman"/>
          <w:lang w:val="en-GB"/>
        </w:rPr>
      </w:pPr>
      <w:r w:rsidRPr="00CF6B0A">
        <w:rPr>
          <w:rFonts w:ascii="Times New Roman" w:hAnsi="Times New Roman"/>
          <w:lang w:val="en-GB"/>
        </w:rPr>
        <w:t xml:space="preserve">Supplementary material for Solar et al. How pervasive is biotic homogenization in human-modified tropical forests? </w:t>
      </w:r>
    </w:p>
    <w:p w:rsidR="007A770A" w:rsidRPr="00CF6B0A" w:rsidRDefault="007A770A" w:rsidP="007A770A">
      <w:pPr>
        <w:spacing w:line="480" w:lineRule="auto"/>
        <w:outlineLvl w:val="0"/>
        <w:rPr>
          <w:rFonts w:ascii="Times New Roman" w:hAnsi="Times New Roman"/>
          <w:lang w:val="en-GB"/>
        </w:rPr>
      </w:pPr>
    </w:p>
    <w:p w:rsidR="007A770A" w:rsidRPr="00CF6B0A" w:rsidRDefault="007A770A" w:rsidP="007A770A">
      <w:pPr>
        <w:spacing w:line="480" w:lineRule="auto"/>
        <w:outlineLvl w:val="0"/>
        <w:rPr>
          <w:rFonts w:ascii="Times New Roman" w:hAnsi="Times New Roman"/>
          <w:i/>
          <w:lang w:val="en-GB"/>
        </w:rPr>
      </w:pPr>
      <w:r w:rsidRPr="00CF6B0A">
        <w:rPr>
          <w:rFonts w:ascii="Times New Roman" w:hAnsi="Times New Roman"/>
          <w:i/>
          <w:lang w:val="en-GB"/>
        </w:rPr>
        <w:t>Biodiversity sampling</w:t>
      </w:r>
    </w:p>
    <w:p w:rsidR="007A770A" w:rsidRPr="001B4E61" w:rsidRDefault="007A770A" w:rsidP="007A770A">
      <w:pPr>
        <w:spacing w:line="480" w:lineRule="auto"/>
        <w:rPr>
          <w:rFonts w:ascii="Times New Roman" w:hAnsi="Times New Roman"/>
          <w:lang w:val="en-GB"/>
        </w:rPr>
      </w:pPr>
      <w:r w:rsidRPr="001B4E61">
        <w:rPr>
          <w:rFonts w:ascii="Times New Roman" w:hAnsi="Times New Roman"/>
          <w:lang w:val="en-GB"/>
        </w:rPr>
        <w:t xml:space="preserve">We sampled five taxa: dung beetles, orchid bees, ants, birds and plants. </w:t>
      </w:r>
    </w:p>
    <w:p w:rsidR="007A770A" w:rsidRPr="005725A1" w:rsidRDefault="007A770A" w:rsidP="007A770A">
      <w:pPr>
        <w:spacing w:line="480" w:lineRule="auto"/>
        <w:rPr>
          <w:rFonts w:ascii="Times New Roman" w:hAnsi="Times New Roman"/>
          <w:i/>
          <w:lang w:val="en-GB"/>
        </w:rPr>
      </w:pPr>
      <w:r w:rsidRPr="005725A1">
        <w:rPr>
          <w:rFonts w:ascii="Times New Roman" w:hAnsi="Times New Roman"/>
          <w:i/>
          <w:lang w:val="en-GB"/>
        </w:rPr>
        <w:t>Large and small stems</w:t>
      </w:r>
    </w:p>
    <w:p w:rsidR="007A770A" w:rsidRPr="00DA452B" w:rsidRDefault="007A770A" w:rsidP="007A770A">
      <w:pPr>
        <w:spacing w:line="480" w:lineRule="auto"/>
        <w:rPr>
          <w:rFonts w:ascii="Times New Roman" w:hAnsi="Times New Roman"/>
          <w:lang w:val="en-GB"/>
        </w:rPr>
      </w:pPr>
      <w:r w:rsidRPr="00EC5BB4">
        <w:rPr>
          <w:rFonts w:ascii="Times New Roman" w:hAnsi="Times New Roman"/>
          <w:lang w:val="en-GB"/>
        </w:rPr>
        <w:t>All trees and palms (alive or dead) ≥</w:t>
      </w:r>
      <w:r w:rsidRPr="00DA452B">
        <w:rPr>
          <w:rFonts w:ascii="Times New Roman" w:hAnsi="Times New Roman"/>
          <w:lang w:val="en-GB"/>
        </w:rPr>
        <w:t xml:space="preserve"> 10 cm of diameter at 1.3 m height were identified in 10 x 250 m plots. Smaller individuals (2 to 10 cm diameter) were sampled in five subplots of 5 x 20 m. Lianas (woody vines) were also sampled in the same manner with the exception that the diameter was measured at 1.3 m from its main root, if this was located inside the plot (for large individuals) or inside the subplots (for smaller individuals).</w:t>
      </w:r>
    </w:p>
    <w:p w:rsidR="007A770A" w:rsidRPr="00DA452B" w:rsidRDefault="007A770A" w:rsidP="007A770A">
      <w:pPr>
        <w:spacing w:line="480" w:lineRule="auto"/>
        <w:rPr>
          <w:rFonts w:ascii="Times New Roman" w:hAnsi="Times New Roman"/>
          <w:i/>
          <w:lang w:val="en-GB"/>
        </w:rPr>
      </w:pPr>
      <w:r w:rsidRPr="00DA452B">
        <w:rPr>
          <w:rFonts w:ascii="Times New Roman" w:hAnsi="Times New Roman"/>
          <w:i/>
          <w:lang w:val="en-GB"/>
        </w:rPr>
        <w:t>Birds</w:t>
      </w:r>
    </w:p>
    <w:p w:rsidR="007A770A" w:rsidRPr="00DA452B" w:rsidRDefault="007A770A" w:rsidP="007A770A">
      <w:pPr>
        <w:spacing w:line="480" w:lineRule="auto"/>
        <w:rPr>
          <w:rFonts w:ascii="Times New Roman" w:hAnsi="Times New Roman"/>
          <w:lang w:val="en-GB"/>
        </w:rPr>
      </w:pPr>
      <w:r w:rsidRPr="00DA452B">
        <w:rPr>
          <w:rFonts w:ascii="Times New Roman" w:hAnsi="Times New Roman"/>
          <w:lang w:val="en-GB"/>
        </w:rPr>
        <w:t xml:space="preserve">Birds were surveyed with 15-min point counts collected at three sampling points (0, 150 and 300 m); there were two repeat surveys. Sampling was conducted between 15 min before dawn up until 09:30 at the latest (but usually finishing by 08:30) and all point counts were sound-recorded to facilitate error-checking. For a full description of the avian sampling protocol and lists of voucher sound-recordings and images see Lees </w:t>
      </w:r>
      <w:r w:rsidRPr="00DA452B">
        <w:rPr>
          <w:rFonts w:ascii="Times New Roman" w:hAnsi="Times New Roman"/>
          <w:i/>
          <w:lang w:val="en-GB"/>
        </w:rPr>
        <w:t>et al.</w:t>
      </w:r>
      <w:r w:rsidRPr="00DA452B">
        <w:rPr>
          <w:rFonts w:ascii="Times New Roman" w:hAnsi="Times New Roman"/>
          <w:lang w:val="en-GB"/>
        </w:rPr>
        <w:t xml:space="preserve"> (2012, 2013). </w:t>
      </w:r>
    </w:p>
    <w:p w:rsidR="007A770A" w:rsidRPr="00DA452B" w:rsidRDefault="007A770A" w:rsidP="007A770A">
      <w:pPr>
        <w:spacing w:line="480" w:lineRule="auto"/>
        <w:rPr>
          <w:rFonts w:ascii="Times New Roman" w:hAnsi="Times New Roman"/>
          <w:i/>
          <w:lang w:val="en-GB"/>
        </w:rPr>
      </w:pPr>
      <w:r w:rsidRPr="00DA452B">
        <w:rPr>
          <w:rFonts w:ascii="Times New Roman" w:hAnsi="Times New Roman"/>
          <w:i/>
          <w:lang w:val="en-GB"/>
        </w:rPr>
        <w:t>Dung beetles:</w:t>
      </w:r>
    </w:p>
    <w:p w:rsidR="007A770A" w:rsidRPr="00DA452B" w:rsidRDefault="007A770A" w:rsidP="007A770A">
      <w:pPr>
        <w:spacing w:line="480" w:lineRule="auto"/>
        <w:rPr>
          <w:rFonts w:ascii="Times New Roman" w:hAnsi="Times New Roman"/>
          <w:lang w:val="en-GB"/>
        </w:rPr>
      </w:pPr>
      <w:r w:rsidRPr="00DA452B">
        <w:rPr>
          <w:rFonts w:ascii="Times New Roman" w:hAnsi="Times New Roman"/>
          <w:lang w:val="en-GB"/>
        </w:rPr>
        <w:t xml:space="preserve">We sampled dung beetles using pitfall traps (1 litre plastic containers, 14 cm radius, 9 cm height) baited with 50 g of dung (80% pig and 20% human, according to Marsh et al. 2013) and half filled with a killing solution (5% detergent and 2% salt). Three traps were dug at the corners of a 3-m side triangle and sampled at three point along the transect (0, 150 and 300 m) and left for 48 hours prior to collection and removal. </w:t>
      </w:r>
    </w:p>
    <w:p w:rsidR="007A770A" w:rsidRPr="00DA452B" w:rsidRDefault="007A770A" w:rsidP="007A770A">
      <w:pPr>
        <w:spacing w:line="480" w:lineRule="auto"/>
        <w:rPr>
          <w:rFonts w:ascii="Times New Roman" w:hAnsi="Times New Roman"/>
          <w:i/>
          <w:lang w:val="en-GB"/>
        </w:rPr>
      </w:pPr>
      <w:r w:rsidRPr="00DA452B">
        <w:rPr>
          <w:rFonts w:ascii="Times New Roman" w:hAnsi="Times New Roman"/>
          <w:i/>
          <w:lang w:val="en-GB"/>
        </w:rPr>
        <w:lastRenderedPageBreak/>
        <w:t>Ants</w:t>
      </w:r>
    </w:p>
    <w:p w:rsidR="007A770A" w:rsidRPr="00DA452B" w:rsidRDefault="007A770A" w:rsidP="007A770A">
      <w:pPr>
        <w:spacing w:line="480" w:lineRule="auto"/>
        <w:rPr>
          <w:rFonts w:ascii="Times New Roman" w:hAnsi="Times New Roman"/>
          <w:lang w:val="en-GB"/>
        </w:rPr>
      </w:pPr>
      <w:r w:rsidRPr="00DA452B">
        <w:rPr>
          <w:rFonts w:ascii="Times New Roman" w:hAnsi="Times New Roman"/>
          <w:lang w:val="en-GB"/>
        </w:rPr>
        <w:t xml:space="preserve">We sampled ants only in PGM using six epigaeic pitfall traps. Traps were all baited with sardine and honey (15 g of each), located along each transect, separated by 50 m. We left traps in the field for 48 hours prior to collection and removal. The traps consisted of 12 cm height and 8 cm diameter plastic pots, half filled with a mixture of water, salt (2%) and detergent (5%) to kill the ants. </w:t>
      </w:r>
    </w:p>
    <w:p w:rsidR="007A770A" w:rsidRPr="00DA452B" w:rsidRDefault="007A770A" w:rsidP="007A770A">
      <w:pPr>
        <w:spacing w:line="480" w:lineRule="auto"/>
        <w:rPr>
          <w:rFonts w:ascii="Times New Roman" w:hAnsi="Times New Roman"/>
          <w:i/>
          <w:lang w:val="en-GB"/>
        </w:rPr>
      </w:pPr>
      <w:r w:rsidRPr="00DA452B">
        <w:rPr>
          <w:rFonts w:ascii="Times New Roman" w:hAnsi="Times New Roman"/>
          <w:i/>
          <w:lang w:val="en-GB"/>
        </w:rPr>
        <w:t>Orchid bees</w:t>
      </w:r>
    </w:p>
    <w:p w:rsidR="007A770A" w:rsidRPr="00DA452B" w:rsidRDefault="007A770A" w:rsidP="007A770A">
      <w:pPr>
        <w:spacing w:line="480" w:lineRule="auto"/>
        <w:rPr>
          <w:rFonts w:ascii="Times New Roman" w:hAnsi="Times New Roman"/>
          <w:lang w:val="en-GB"/>
        </w:rPr>
      </w:pPr>
      <w:r w:rsidRPr="00DA452B">
        <w:rPr>
          <w:rFonts w:ascii="Times New Roman" w:hAnsi="Times New Roman"/>
          <w:lang w:val="en-GB"/>
        </w:rPr>
        <w:t>To sample orchid bees, which were only sampled in PGM, we used plastic bottles with scent baits (2L, 10cm diameter, 35cm height) as traps. Each bottle had three radial holes (2 cm diameter) at the height of 20 cm, where a flower-like structure was inserted (the tips of three other bottles). These flower-like structures were impregnated with coarse sand on the inner side to give support to the bees. Male orchid bees were attracted to four class of scent baits distributed along the transect (eugenol, methyl salicylate, vanilla or eucalyptol), separated by 50 m from each other. We tied the traps to a tree trunk, 1.5 m above the ground and remained in the field for 48h.</w:t>
      </w:r>
    </w:p>
    <w:p w:rsidR="007A770A" w:rsidRDefault="007A770A" w:rsidP="007A770A">
      <w:pPr>
        <w:rPr>
          <w:rFonts w:ascii="Times New Roman" w:hAnsi="Times New Roman"/>
        </w:rPr>
      </w:pPr>
      <w:r w:rsidRPr="00DA452B">
        <w:rPr>
          <w:rFonts w:ascii="Times New Roman" w:hAnsi="Times New Roman"/>
        </w:rPr>
        <w:t>References for the Supplementary Material.</w:t>
      </w:r>
    </w:p>
    <w:p w:rsidR="007A770A" w:rsidRPr="00DA452B" w:rsidRDefault="007A770A" w:rsidP="007A770A">
      <w:pPr>
        <w:rPr>
          <w:rFonts w:ascii="Times New Roman" w:hAnsi="Times New Roman"/>
        </w:rPr>
      </w:pPr>
    </w:p>
    <w:p w:rsidR="007A770A" w:rsidRPr="0045375B" w:rsidRDefault="007A770A" w:rsidP="007A770A">
      <w:pPr>
        <w:rPr>
          <w:rFonts w:ascii="Times New Roman" w:hAnsi="Times New Roman"/>
        </w:rPr>
      </w:pPr>
      <w:r w:rsidRPr="0045375B">
        <w:rPr>
          <w:rFonts w:ascii="Times New Roman" w:hAnsi="Times New Roman"/>
        </w:rPr>
        <w:t>1.</w:t>
      </w:r>
    </w:p>
    <w:p w:rsidR="007A770A" w:rsidRPr="00CF6B0A" w:rsidRDefault="007A770A" w:rsidP="007A770A">
      <w:pPr>
        <w:pStyle w:val="EndNoteBibliography"/>
        <w:ind w:firstLine="284"/>
        <w:rPr>
          <w:noProof/>
          <w:lang w:val="pt-BR"/>
        </w:rPr>
      </w:pPr>
      <w:r w:rsidRPr="0045375B">
        <w:rPr>
          <w:noProof/>
        </w:rPr>
        <w:t>Lees, A.C., de Moura, N.G., Andretti, C.B., Davis, B.J.W., Lopes, E.V., Pinto Henriques, L.M.</w:t>
      </w:r>
      <w:r w:rsidRPr="0045375B">
        <w:rPr>
          <w:i/>
          <w:noProof/>
        </w:rPr>
        <w:t xml:space="preserve"> et al.</w:t>
      </w:r>
      <w:r w:rsidRPr="0045375B">
        <w:rPr>
          <w:noProof/>
        </w:rPr>
        <w:t xml:space="preserve"> </w:t>
      </w:r>
      <w:r w:rsidRPr="00DA452B">
        <w:rPr>
          <w:noProof/>
        </w:rPr>
        <w:t xml:space="preserve">(2013). One hundred and thirty-five years of avifaunal surveys around Santarem, central Brazilian Amazon. </w:t>
      </w:r>
      <w:r w:rsidRPr="00DA452B">
        <w:rPr>
          <w:i/>
          <w:noProof/>
          <w:lang w:val="pt-BR"/>
        </w:rPr>
        <w:t>Revista Brasileira De Ornitologia</w:t>
      </w:r>
      <w:r w:rsidRPr="00CF6B0A">
        <w:rPr>
          <w:noProof/>
          <w:lang w:val="pt-BR"/>
        </w:rPr>
        <w:t>, 21, 16-57.</w:t>
      </w:r>
    </w:p>
    <w:p w:rsidR="007A770A" w:rsidRPr="00CF6B0A" w:rsidRDefault="007A770A" w:rsidP="007A770A">
      <w:pPr>
        <w:pStyle w:val="EndNoteBibliography"/>
        <w:rPr>
          <w:noProof/>
          <w:lang w:val="pt-BR"/>
        </w:rPr>
      </w:pPr>
      <w:r w:rsidRPr="00CF6B0A">
        <w:rPr>
          <w:noProof/>
          <w:lang w:val="pt-BR"/>
        </w:rPr>
        <w:t>2.</w:t>
      </w:r>
    </w:p>
    <w:p w:rsidR="007A770A" w:rsidRPr="001E39C1" w:rsidRDefault="007A770A" w:rsidP="007A770A">
      <w:pPr>
        <w:pStyle w:val="EndNoteBibliography"/>
        <w:ind w:firstLine="284"/>
        <w:rPr>
          <w:noProof/>
          <w:lang w:val="pt-BR"/>
        </w:rPr>
      </w:pPr>
      <w:r w:rsidRPr="00CF6B0A">
        <w:rPr>
          <w:noProof/>
          <w:lang w:val="pt-BR"/>
        </w:rPr>
        <w:t>Lees, A.C., de Moura, N.G., Santana, A., Aleixo, A., Barlow, J., Berenguer, E.</w:t>
      </w:r>
      <w:r w:rsidRPr="00CF6B0A">
        <w:rPr>
          <w:i/>
          <w:noProof/>
          <w:lang w:val="pt-BR"/>
        </w:rPr>
        <w:t xml:space="preserve"> et al.</w:t>
      </w:r>
      <w:r w:rsidRPr="00CF6B0A">
        <w:rPr>
          <w:noProof/>
          <w:lang w:val="pt-BR"/>
        </w:rPr>
        <w:t xml:space="preserve"> </w:t>
      </w:r>
      <w:r w:rsidRPr="00CF6B0A">
        <w:rPr>
          <w:noProof/>
        </w:rPr>
        <w:t xml:space="preserve">(2012). Paragominas: a quantitative baseline inventory of an eastern Amazonian avifauna. </w:t>
      </w:r>
      <w:r w:rsidRPr="00CF6B0A">
        <w:rPr>
          <w:i/>
          <w:noProof/>
          <w:lang w:val="pt-BR"/>
        </w:rPr>
        <w:t>Revista Brasileira De Ornitologia</w:t>
      </w:r>
      <w:r w:rsidRPr="001E39C1">
        <w:rPr>
          <w:noProof/>
          <w:lang w:val="pt-BR"/>
        </w:rPr>
        <w:t>, 20, 93-118.</w:t>
      </w:r>
    </w:p>
    <w:p w:rsidR="007A770A" w:rsidRPr="001B4E61" w:rsidRDefault="007A770A" w:rsidP="007A770A">
      <w:pPr>
        <w:spacing w:line="480" w:lineRule="auto"/>
        <w:rPr>
          <w:rFonts w:ascii="Times New Roman" w:hAnsi="Times New Roman"/>
          <w:lang w:val="pt-BR"/>
        </w:rPr>
      </w:pPr>
      <w:r w:rsidRPr="001B4E61">
        <w:rPr>
          <w:rFonts w:ascii="Times New Roman" w:hAnsi="Times New Roman"/>
          <w:lang w:val="pt-BR"/>
        </w:rPr>
        <w:t>3.</w:t>
      </w:r>
    </w:p>
    <w:p w:rsidR="007A770A" w:rsidRPr="00CF6B0A" w:rsidRDefault="007A770A" w:rsidP="007A770A">
      <w:pPr>
        <w:spacing w:line="480" w:lineRule="auto"/>
        <w:ind w:firstLine="284"/>
        <w:rPr>
          <w:rFonts w:ascii="Times New Roman" w:hAnsi="Times New Roman"/>
        </w:rPr>
      </w:pPr>
      <w:r w:rsidRPr="00585ED3">
        <w:rPr>
          <w:rFonts w:ascii="Times New Roman" w:hAnsi="Times New Roman"/>
          <w:lang w:val="en-GB"/>
        </w:rPr>
        <w:t xml:space="preserve">Marsh, C.J., Louzada, J., Beiroz, W. &amp; Ewers, R.M. (2013). </w:t>
      </w:r>
      <w:r w:rsidRPr="00DA452B">
        <w:rPr>
          <w:rFonts w:ascii="Times New Roman" w:hAnsi="Times New Roman"/>
        </w:rPr>
        <w:t xml:space="preserve">Optimising Bait for Pitfall Trapping of Amazonian Dung Beetles (Coleoptera: Scarabaeinae). </w:t>
      </w:r>
      <w:r w:rsidRPr="00CF6B0A">
        <w:rPr>
          <w:rFonts w:ascii="Times New Roman" w:hAnsi="Times New Roman"/>
          <w:i/>
        </w:rPr>
        <w:t>Plos One</w:t>
      </w:r>
      <w:r w:rsidRPr="00CF6B0A">
        <w:rPr>
          <w:rFonts w:ascii="Times New Roman" w:hAnsi="Times New Roman"/>
        </w:rPr>
        <w:t>, 8.</w:t>
      </w:r>
    </w:p>
    <w:p w:rsidR="007A770A" w:rsidRPr="00CF6B0A" w:rsidRDefault="007A770A" w:rsidP="007A770A">
      <w:pPr>
        <w:spacing w:line="480" w:lineRule="auto"/>
        <w:rPr>
          <w:rFonts w:ascii="Times New Roman" w:hAnsi="Times New Roman"/>
          <w:lang w:val="en-GB"/>
        </w:rPr>
      </w:pPr>
    </w:p>
    <w:p w:rsidR="007A770A" w:rsidRPr="00CF6B0A" w:rsidRDefault="007A770A" w:rsidP="007A770A">
      <w:pPr>
        <w:rPr>
          <w:rFonts w:ascii="Times New Roman" w:hAnsi="Times New Roman"/>
          <w:lang w:val="en-GB"/>
        </w:rPr>
      </w:pPr>
      <w:r w:rsidRPr="00CF6B0A">
        <w:rPr>
          <w:rFonts w:ascii="Times New Roman" w:hAnsi="Times New Roman"/>
          <w:lang w:val="en-GB"/>
        </w:rPr>
        <w:br w:type="page"/>
      </w:r>
    </w:p>
    <w:p w:rsidR="007A770A" w:rsidRPr="00DA452B" w:rsidRDefault="007A770A" w:rsidP="007A770A">
      <w:pPr>
        <w:spacing w:line="480" w:lineRule="auto"/>
        <w:rPr>
          <w:rFonts w:ascii="Times New Roman" w:hAnsi="Times New Roman"/>
          <w:lang w:val="en-GB"/>
        </w:rPr>
      </w:pPr>
      <w:r w:rsidRPr="00DA452B">
        <w:rPr>
          <w:rFonts w:ascii="Times New Roman" w:hAnsi="Times New Roman"/>
          <w:noProof/>
        </w:rPr>
        <w:drawing>
          <wp:inline distT="0" distB="0" distL="0" distR="0" wp14:anchorId="2D1D1B14" wp14:editId="50A49BD1">
            <wp:extent cx="3598740" cy="5867638"/>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a_Total.pdf"/>
                    <pic:cNvPicPr/>
                  </pic:nvPicPr>
                  <pic:blipFill>
                    <a:blip r:embed="rId5">
                      <a:extLst>
                        <a:ext uri="{28A0092B-C50C-407E-A947-70E740481C1C}">
                          <a14:useLocalDpi xmlns:a14="http://schemas.microsoft.com/office/drawing/2010/main" val="0"/>
                        </a:ext>
                      </a:extLst>
                    </a:blip>
                    <a:stretch>
                      <a:fillRect/>
                    </a:stretch>
                  </pic:blipFill>
                  <pic:spPr>
                    <a:xfrm>
                      <a:off x="0" y="0"/>
                      <a:ext cx="3598740" cy="5867638"/>
                    </a:xfrm>
                    <a:prstGeom prst="rect">
                      <a:avLst/>
                    </a:prstGeom>
                  </pic:spPr>
                </pic:pic>
              </a:graphicData>
            </a:graphic>
          </wp:inline>
        </w:drawing>
      </w:r>
    </w:p>
    <w:p w:rsidR="007A770A" w:rsidRPr="00CF6B0A" w:rsidRDefault="007A770A" w:rsidP="007A770A">
      <w:pPr>
        <w:tabs>
          <w:tab w:val="left" w:pos="1134"/>
        </w:tabs>
        <w:spacing w:line="480" w:lineRule="auto"/>
        <w:rPr>
          <w:rFonts w:ascii="Times New Roman" w:hAnsi="Times New Roman"/>
          <w:lang w:val="en-GB"/>
        </w:rPr>
      </w:pPr>
      <w:r w:rsidRPr="00CF6B0A">
        <w:rPr>
          <w:rFonts w:ascii="Times New Roman" w:hAnsi="Times New Roman"/>
          <w:lang w:val="en-GB"/>
        </w:rPr>
        <w:t>Figure S1</w:t>
      </w:r>
      <w:r w:rsidRPr="00CF6B0A">
        <w:rPr>
          <w:rFonts w:ascii="Times New Roman" w:hAnsi="Times New Roman"/>
          <w:lang w:val="en-GB"/>
        </w:rPr>
        <w:tab/>
      </w:r>
      <w:r>
        <w:rPr>
          <w:rFonts w:ascii="Times New Roman" w:hAnsi="Times New Roman"/>
          <w:lang w:val="en-GB"/>
        </w:rPr>
        <w:t>α and γ diversities</w:t>
      </w:r>
      <w:r w:rsidRPr="00CF6B0A">
        <w:rPr>
          <w:rFonts w:ascii="Times New Roman" w:hAnsi="Times New Roman"/>
          <w:lang w:val="en-GB"/>
        </w:rPr>
        <w:t xml:space="preserve"> </w:t>
      </w:r>
      <w:r>
        <w:rPr>
          <w:rFonts w:ascii="Times New Roman" w:hAnsi="Times New Roman"/>
          <w:lang w:val="en-GB"/>
        </w:rPr>
        <w:t>accounting for proxies of species abundance</w:t>
      </w:r>
      <w:r w:rsidRPr="00CF6B0A">
        <w:rPr>
          <w:rFonts w:ascii="Times New Roman" w:hAnsi="Times New Roman"/>
          <w:lang w:val="en-GB"/>
        </w:rPr>
        <w:t xml:space="preserve"> </w:t>
      </w:r>
      <w:r>
        <w:rPr>
          <w:rFonts w:ascii="Times New Roman" w:hAnsi="Times New Roman"/>
          <w:lang w:val="en-GB"/>
        </w:rPr>
        <w:t>(</w:t>
      </w:r>
      <w:r w:rsidRPr="00CF6B0A">
        <w:rPr>
          <w:rFonts w:ascii="Times New Roman" w:hAnsi="Times New Roman"/>
          <w:lang w:val="en-GB"/>
        </w:rPr>
        <w:t>Hill numbers of order 1</w:t>
      </w:r>
      <w:r>
        <w:rPr>
          <w:rFonts w:ascii="Times New Roman" w:hAnsi="Times New Roman"/>
          <w:lang w:val="en-GB"/>
        </w:rPr>
        <w:t>)</w:t>
      </w:r>
      <w:r w:rsidRPr="00CF6B0A">
        <w:rPr>
          <w:rFonts w:ascii="Times New Roman" w:hAnsi="Times New Roman"/>
          <w:lang w:val="en-GB"/>
        </w:rPr>
        <w:t>.</w:t>
      </w:r>
      <w:r>
        <w:rPr>
          <w:rFonts w:ascii="Times New Roman" w:hAnsi="Times New Roman"/>
          <w:lang w:val="en-GB"/>
        </w:rPr>
        <w:t xml:space="preserve"> In (a),</w:t>
      </w:r>
      <w:r w:rsidRPr="00CF6B0A">
        <w:rPr>
          <w:rFonts w:ascii="Times New Roman" w:hAnsi="Times New Roman"/>
          <w:lang w:val="en-GB"/>
        </w:rPr>
        <w:t xml:space="preserve"> </w:t>
      </w:r>
      <w:r>
        <w:rPr>
          <w:rFonts w:ascii="Times New Roman" w:hAnsi="Times New Roman"/>
          <w:lang w:val="en-GB"/>
        </w:rPr>
        <w:t xml:space="preserve">α-diversity is calculated based on the species found per site and in (b), </w:t>
      </w:r>
      <w:r w:rsidRPr="00CF6B0A">
        <w:rPr>
          <w:rFonts w:ascii="Times New Roman" w:hAnsi="Times New Roman"/>
          <w:lang w:val="en-GB"/>
        </w:rPr>
        <w:t>γ</w:t>
      </w:r>
      <w:r>
        <w:rPr>
          <w:rFonts w:ascii="Times New Roman" w:hAnsi="Times New Roman"/>
          <w:lang w:val="en-GB"/>
        </w:rPr>
        <w:t>-</w:t>
      </w:r>
      <w:r w:rsidRPr="00CF6B0A">
        <w:rPr>
          <w:rFonts w:ascii="Times New Roman" w:hAnsi="Times New Roman"/>
          <w:lang w:val="en-GB"/>
        </w:rPr>
        <w:t xml:space="preserve">diversity </w:t>
      </w:r>
      <w:r>
        <w:rPr>
          <w:rFonts w:ascii="Times New Roman" w:hAnsi="Times New Roman"/>
          <w:lang w:val="en-GB"/>
        </w:rPr>
        <w:t>is</w:t>
      </w:r>
      <w:r w:rsidRPr="00CF6B0A">
        <w:rPr>
          <w:rFonts w:ascii="Times New Roman" w:hAnsi="Times New Roman"/>
          <w:lang w:val="en-GB"/>
        </w:rPr>
        <w:t xml:space="preserve"> calculated </w:t>
      </w:r>
      <w:r>
        <w:rPr>
          <w:rFonts w:ascii="Times New Roman" w:hAnsi="Times New Roman"/>
          <w:lang w:val="en-GB"/>
        </w:rPr>
        <w:t>ba</w:t>
      </w:r>
      <w:r w:rsidRPr="00CF6B0A">
        <w:rPr>
          <w:rFonts w:ascii="Times New Roman" w:hAnsi="Times New Roman"/>
          <w:lang w:val="en-GB"/>
        </w:rPr>
        <w:t>s</w:t>
      </w:r>
      <w:r>
        <w:rPr>
          <w:rFonts w:ascii="Times New Roman" w:hAnsi="Times New Roman"/>
          <w:lang w:val="en-GB"/>
        </w:rPr>
        <w:t>ed on</w:t>
      </w:r>
      <w:r w:rsidRPr="00CF6B0A">
        <w:rPr>
          <w:rFonts w:ascii="Times New Roman" w:hAnsi="Times New Roman"/>
          <w:lang w:val="en-GB"/>
        </w:rPr>
        <w:t xml:space="preserve"> the total number of species observed</w:t>
      </w:r>
      <w:r>
        <w:rPr>
          <w:rFonts w:ascii="Times New Roman" w:hAnsi="Times New Roman"/>
          <w:lang w:val="en-GB"/>
        </w:rPr>
        <w:t xml:space="preserve"> per taxon in each region. Both metrics were</w:t>
      </w:r>
      <w:r w:rsidRPr="00CF6B0A">
        <w:rPr>
          <w:rFonts w:ascii="Times New Roman" w:hAnsi="Times New Roman"/>
          <w:lang w:val="en-GB"/>
        </w:rPr>
        <w:t xml:space="preserve"> standardized by the maximum value per taxon (range 0-1). Different colours illustrate forest (black and dark grey) and non-forest land-covers (light grey), we used P&lt;0.05 to determine significance and errors bars are standard errors. Codes for land-cover classes are as Table 1.</w:t>
      </w:r>
      <w:r w:rsidRPr="00CF6B0A">
        <w:rPr>
          <w:rFonts w:ascii="Times New Roman" w:hAnsi="Times New Roman"/>
          <w:lang w:val="en-GB"/>
        </w:rPr>
        <w:br w:type="page"/>
      </w:r>
    </w:p>
    <w:p w:rsidR="007A770A" w:rsidRPr="00DA452B" w:rsidRDefault="007A770A" w:rsidP="007A770A">
      <w:pPr>
        <w:spacing w:line="480" w:lineRule="auto"/>
        <w:rPr>
          <w:rFonts w:ascii="Times New Roman" w:hAnsi="Times New Roman"/>
          <w:lang w:val="en-GB"/>
        </w:rPr>
      </w:pPr>
      <w:r w:rsidRPr="00DA452B">
        <w:rPr>
          <w:rFonts w:ascii="Times New Roman" w:hAnsi="Times New Roman"/>
          <w:noProof/>
        </w:rPr>
        <w:drawing>
          <wp:inline distT="0" distB="0" distL="0" distR="0" wp14:anchorId="55FA7AB0" wp14:editId="0541A302">
            <wp:extent cx="3599374" cy="5076502"/>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BetaDiversity_general.pdf"/>
                    <pic:cNvPicPr/>
                  </pic:nvPicPr>
                  <pic:blipFill>
                    <a:blip r:embed="rId6">
                      <a:extLst>
                        <a:ext uri="{28A0092B-C50C-407E-A947-70E740481C1C}">
                          <a14:useLocalDpi xmlns:a14="http://schemas.microsoft.com/office/drawing/2010/main"/>
                        </a:ext>
                      </a:extLst>
                    </a:blip>
                    <a:stretch>
                      <a:fillRect/>
                    </a:stretch>
                  </pic:blipFill>
                  <pic:spPr>
                    <a:xfrm>
                      <a:off x="0" y="0"/>
                      <a:ext cx="3599374" cy="5076502"/>
                    </a:xfrm>
                    <a:prstGeom prst="rect">
                      <a:avLst/>
                    </a:prstGeom>
                  </pic:spPr>
                </pic:pic>
              </a:graphicData>
            </a:graphic>
          </wp:inline>
        </w:drawing>
      </w:r>
    </w:p>
    <w:p w:rsidR="007A770A" w:rsidRDefault="007A770A" w:rsidP="007A770A">
      <w:pPr>
        <w:spacing w:line="480" w:lineRule="auto"/>
        <w:rPr>
          <w:rFonts w:ascii="Times New Roman" w:hAnsi="Times New Roman"/>
          <w:lang w:val="en-GB"/>
        </w:rPr>
      </w:pPr>
      <w:r w:rsidRPr="00CF6B0A">
        <w:rPr>
          <w:rFonts w:ascii="Times New Roman" w:hAnsi="Times New Roman"/>
          <w:lang w:val="en-GB"/>
        </w:rPr>
        <w:t>Figure S2</w:t>
      </w:r>
      <w:r w:rsidRPr="00CF6B0A">
        <w:rPr>
          <w:rFonts w:ascii="Times New Roman" w:hAnsi="Times New Roman"/>
          <w:lang w:val="en-GB"/>
        </w:rPr>
        <w:tab/>
        <w:t>β</w:t>
      </w:r>
      <w:r>
        <w:rPr>
          <w:rFonts w:ascii="Times New Roman" w:hAnsi="Times New Roman"/>
          <w:lang w:val="en-GB"/>
        </w:rPr>
        <w:t>-</w:t>
      </w:r>
      <w:r w:rsidRPr="00CF6B0A">
        <w:rPr>
          <w:rFonts w:ascii="Times New Roman" w:hAnsi="Times New Roman"/>
          <w:lang w:val="en-GB"/>
        </w:rPr>
        <w:t xml:space="preserve">diversity among </w:t>
      </w:r>
      <w:r>
        <w:rPr>
          <w:rFonts w:ascii="Times New Roman" w:hAnsi="Times New Roman"/>
          <w:lang w:val="en-GB"/>
        </w:rPr>
        <w:t>sites</w:t>
      </w:r>
      <w:r w:rsidRPr="00CF6B0A">
        <w:rPr>
          <w:rFonts w:ascii="Times New Roman" w:hAnsi="Times New Roman"/>
          <w:lang w:val="en-GB"/>
        </w:rPr>
        <w:t xml:space="preserve"> and </w:t>
      </w:r>
      <w:r>
        <w:rPr>
          <w:rFonts w:ascii="Times New Roman" w:hAnsi="Times New Roman"/>
          <w:lang w:val="en-GB"/>
        </w:rPr>
        <w:t>landscape</w:t>
      </w:r>
      <w:r w:rsidRPr="00CF6B0A">
        <w:rPr>
          <w:rFonts w:ascii="Times New Roman" w:hAnsi="Times New Roman"/>
          <w:lang w:val="en-GB"/>
        </w:rPr>
        <w:t xml:space="preserve">s </w:t>
      </w:r>
      <w:r>
        <w:rPr>
          <w:rFonts w:ascii="Times New Roman" w:hAnsi="Times New Roman"/>
          <w:lang w:val="en-GB"/>
        </w:rPr>
        <w:t>accounting for proxies of species abundance (</w:t>
      </w:r>
      <w:r w:rsidRPr="00CF6B0A">
        <w:rPr>
          <w:rFonts w:ascii="Times New Roman" w:hAnsi="Times New Roman"/>
          <w:lang w:val="en-GB"/>
        </w:rPr>
        <w:t>Hill numbers of order 1</w:t>
      </w:r>
      <w:r>
        <w:rPr>
          <w:rFonts w:ascii="Times New Roman" w:hAnsi="Times New Roman"/>
          <w:lang w:val="en-GB"/>
        </w:rPr>
        <w:t>)</w:t>
      </w:r>
      <w:r w:rsidRPr="00CF6B0A">
        <w:rPr>
          <w:rFonts w:ascii="Times New Roman" w:hAnsi="Times New Roman"/>
          <w:lang w:val="en-GB"/>
        </w:rPr>
        <w:t xml:space="preserve">. </w:t>
      </w:r>
      <w:r w:rsidRPr="00DA452B">
        <w:rPr>
          <w:rFonts w:ascii="Times New Roman" w:hAnsi="Times New Roman"/>
          <w:lang w:val="en-GB"/>
        </w:rPr>
        <w:t>β</w:t>
      </w:r>
      <w:r>
        <w:rPr>
          <w:rFonts w:ascii="Times New Roman" w:hAnsi="Times New Roman"/>
          <w:lang w:val="en-GB"/>
        </w:rPr>
        <w:t>-</w:t>
      </w:r>
      <w:r w:rsidRPr="00DA452B">
        <w:rPr>
          <w:rFonts w:ascii="Times New Roman" w:hAnsi="Times New Roman"/>
          <w:lang w:val="en-GB"/>
        </w:rPr>
        <w:t xml:space="preserve">diversity was calculated as the multiplicative Whittaker’s β and sampling effort is standardized </w:t>
      </w:r>
      <w:r>
        <w:rPr>
          <w:rFonts w:ascii="Times New Roman" w:hAnsi="Times New Roman"/>
          <w:lang w:val="en-GB"/>
        </w:rPr>
        <w:t>by</w:t>
      </w:r>
      <w:r w:rsidRPr="00DA452B">
        <w:rPr>
          <w:rFonts w:ascii="Times New Roman" w:hAnsi="Times New Roman"/>
          <w:lang w:val="en-GB"/>
        </w:rPr>
        <w:t xml:space="preserve"> resampling all land-cover classes to the same sample size. Data is presented as average β</w:t>
      </w:r>
      <w:r>
        <w:rPr>
          <w:rFonts w:ascii="Times New Roman" w:hAnsi="Times New Roman"/>
          <w:lang w:val="en-GB"/>
        </w:rPr>
        <w:t>-</w:t>
      </w:r>
      <w:r w:rsidRPr="00DA452B">
        <w:rPr>
          <w:rFonts w:ascii="Times New Roman" w:hAnsi="Times New Roman"/>
          <w:lang w:val="en-GB"/>
        </w:rPr>
        <w:t>diversity per taxon and per land-cover class</w:t>
      </w:r>
      <w:r>
        <w:rPr>
          <w:rFonts w:ascii="Times New Roman" w:hAnsi="Times New Roman"/>
          <w:lang w:val="en-GB"/>
        </w:rPr>
        <w:t xml:space="preserve"> for both</w:t>
      </w:r>
      <w:r w:rsidRPr="00DA452B">
        <w:rPr>
          <w:rFonts w:ascii="Times New Roman" w:hAnsi="Times New Roman"/>
          <w:lang w:val="en-GB"/>
        </w:rPr>
        <w:t xml:space="preserve"> among </w:t>
      </w:r>
      <w:r>
        <w:rPr>
          <w:rFonts w:ascii="Times New Roman" w:hAnsi="Times New Roman"/>
          <w:lang w:val="en-GB"/>
        </w:rPr>
        <w:t>sites</w:t>
      </w:r>
      <w:r w:rsidRPr="00DA452B">
        <w:rPr>
          <w:rFonts w:ascii="Times New Roman" w:hAnsi="Times New Roman"/>
          <w:lang w:val="en-GB"/>
        </w:rPr>
        <w:t xml:space="preserve"> </w:t>
      </w:r>
      <w:r>
        <w:rPr>
          <w:rFonts w:ascii="Times New Roman" w:hAnsi="Times New Roman"/>
          <w:lang w:val="en-GB"/>
        </w:rPr>
        <w:t>within landscapes (a)</w:t>
      </w:r>
      <w:r w:rsidRPr="00DA452B">
        <w:rPr>
          <w:rFonts w:ascii="Times New Roman" w:hAnsi="Times New Roman"/>
          <w:lang w:val="en-GB"/>
        </w:rPr>
        <w:t xml:space="preserve"> and among </w:t>
      </w:r>
      <w:r>
        <w:rPr>
          <w:rFonts w:ascii="Times New Roman" w:hAnsi="Times New Roman"/>
          <w:lang w:val="en-GB"/>
        </w:rPr>
        <w:t>landscape</w:t>
      </w:r>
      <w:r w:rsidRPr="00DA452B">
        <w:rPr>
          <w:rFonts w:ascii="Times New Roman" w:hAnsi="Times New Roman"/>
          <w:lang w:val="en-GB"/>
        </w:rPr>
        <w:t xml:space="preserve">s </w:t>
      </w:r>
      <w:r>
        <w:rPr>
          <w:rFonts w:ascii="Times New Roman" w:hAnsi="Times New Roman"/>
          <w:lang w:val="en-GB"/>
        </w:rPr>
        <w:t xml:space="preserve">within </w:t>
      </w:r>
      <w:r w:rsidRPr="00DA452B">
        <w:rPr>
          <w:rFonts w:ascii="Times New Roman" w:hAnsi="Times New Roman"/>
          <w:lang w:val="en-GB"/>
        </w:rPr>
        <w:t>region</w:t>
      </w:r>
      <w:r>
        <w:rPr>
          <w:rFonts w:ascii="Times New Roman" w:hAnsi="Times New Roman"/>
          <w:lang w:val="en-GB"/>
        </w:rPr>
        <w:t>s (b)</w:t>
      </w:r>
      <w:r w:rsidRPr="00DA452B">
        <w:rPr>
          <w:rFonts w:ascii="Times New Roman" w:hAnsi="Times New Roman"/>
          <w:lang w:val="en-GB"/>
        </w:rPr>
        <w:t>. Different colours illustrate forest (black and dark grey) and non-forest land-covers (light grey), we used P&lt;0.05 to determine significance and errors bars are standard errors. Codes for land-cover classes are as Table 1.</w:t>
      </w:r>
    </w:p>
    <w:p w:rsidR="007A770A" w:rsidRDefault="007A770A" w:rsidP="007A770A">
      <w:pPr>
        <w:rPr>
          <w:rFonts w:ascii="Times New Roman" w:hAnsi="Times New Roman"/>
          <w:lang w:val="en-GB"/>
        </w:rPr>
      </w:pPr>
      <w:r>
        <w:rPr>
          <w:rFonts w:ascii="Times New Roman" w:hAnsi="Times New Roman"/>
          <w:lang w:val="en-GB"/>
        </w:rPr>
        <w:br w:type="page"/>
      </w:r>
    </w:p>
    <w:p w:rsidR="007A770A" w:rsidRDefault="007A770A" w:rsidP="007A770A">
      <w:pPr>
        <w:spacing w:line="480" w:lineRule="auto"/>
        <w:rPr>
          <w:rFonts w:ascii="Times New Roman" w:hAnsi="Times New Roman"/>
          <w:lang w:val="en-GB"/>
        </w:rPr>
      </w:pPr>
      <w:r>
        <w:rPr>
          <w:rFonts w:ascii="Times New Roman" w:hAnsi="Times New Roman"/>
          <w:noProof/>
        </w:rPr>
        <w:drawing>
          <wp:inline distT="0" distB="0" distL="0" distR="0" wp14:anchorId="42173AE0" wp14:editId="103A713B">
            <wp:extent cx="5270129" cy="1899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1_2_SNE_pertaxon2.pdf"/>
                    <pic:cNvPicPr/>
                  </pic:nvPicPr>
                  <pic:blipFill>
                    <a:blip r:embed="rId7" cstate="screen">
                      <a:extLst>
                        <a:ext uri="{28A0092B-C50C-407E-A947-70E740481C1C}">
                          <a14:useLocalDpi xmlns:a14="http://schemas.microsoft.com/office/drawing/2010/main"/>
                        </a:ext>
                      </a:extLst>
                    </a:blip>
                    <a:stretch>
                      <a:fillRect/>
                    </a:stretch>
                  </pic:blipFill>
                  <pic:spPr>
                    <a:xfrm>
                      <a:off x="0" y="0"/>
                      <a:ext cx="5270129" cy="1899920"/>
                    </a:xfrm>
                    <a:prstGeom prst="rect">
                      <a:avLst/>
                    </a:prstGeom>
                  </pic:spPr>
                </pic:pic>
              </a:graphicData>
            </a:graphic>
          </wp:inline>
        </w:drawing>
      </w:r>
    </w:p>
    <w:p w:rsidR="007A770A" w:rsidRDefault="007A770A" w:rsidP="007A770A">
      <w:pPr>
        <w:spacing w:line="480" w:lineRule="auto"/>
        <w:rPr>
          <w:rFonts w:ascii="Times New Roman" w:hAnsi="Times New Roman"/>
          <w:lang w:val="en-GB"/>
        </w:rPr>
      </w:pPr>
      <w:r>
        <w:rPr>
          <w:rFonts w:ascii="Times New Roman" w:hAnsi="Times New Roman"/>
          <w:lang w:val="en-GB"/>
        </w:rPr>
        <w:t>Figure S3</w:t>
      </w:r>
      <w:r>
        <w:rPr>
          <w:rFonts w:ascii="Times New Roman" w:hAnsi="Times New Roman"/>
          <w:lang w:val="en-GB"/>
        </w:rPr>
        <w:tab/>
      </w:r>
      <w:r w:rsidRPr="00D476B3">
        <w:rPr>
          <w:rFonts w:ascii="Times New Roman" w:hAnsi="Times New Roman"/>
          <w:lang w:val="en-GB"/>
        </w:rPr>
        <w:t xml:space="preserve">Percentage contribution of the nestedness component to the total β-diversity observed among </w:t>
      </w:r>
      <w:r>
        <w:rPr>
          <w:rFonts w:ascii="Times New Roman" w:hAnsi="Times New Roman"/>
          <w:lang w:val="en-GB"/>
        </w:rPr>
        <w:t>sites</w:t>
      </w:r>
      <w:r w:rsidRPr="00D476B3">
        <w:rPr>
          <w:rFonts w:ascii="Times New Roman" w:hAnsi="Times New Roman"/>
          <w:lang w:val="en-GB"/>
        </w:rPr>
        <w:t xml:space="preserve"> and among </w:t>
      </w:r>
      <w:r>
        <w:rPr>
          <w:rFonts w:ascii="Times New Roman" w:hAnsi="Times New Roman"/>
          <w:lang w:val="en-GB"/>
        </w:rPr>
        <w:t>landscape</w:t>
      </w:r>
      <w:r w:rsidRPr="00D476B3">
        <w:rPr>
          <w:rFonts w:ascii="Times New Roman" w:hAnsi="Times New Roman"/>
          <w:lang w:val="en-GB"/>
        </w:rPr>
        <w:t>s</w:t>
      </w:r>
      <w:r>
        <w:rPr>
          <w:rFonts w:ascii="Times New Roman" w:hAnsi="Times New Roman"/>
          <w:lang w:val="en-GB"/>
        </w:rPr>
        <w:t xml:space="preserve"> for each individual taxon</w:t>
      </w:r>
      <w:r w:rsidRPr="00D476B3">
        <w:rPr>
          <w:rFonts w:ascii="Times New Roman" w:hAnsi="Times New Roman"/>
          <w:lang w:val="en-GB"/>
        </w:rPr>
        <w:t>. β</w:t>
      </w:r>
      <w:r>
        <w:rPr>
          <w:rFonts w:ascii="Times New Roman" w:hAnsi="Times New Roman"/>
          <w:lang w:val="en-GB"/>
        </w:rPr>
        <w:t>-</w:t>
      </w:r>
      <w:r w:rsidRPr="00D476B3">
        <w:rPr>
          <w:rFonts w:ascii="Times New Roman" w:hAnsi="Times New Roman"/>
          <w:lang w:val="en-GB"/>
        </w:rPr>
        <w:t xml:space="preserve">diversity </w:t>
      </w:r>
      <w:r>
        <w:rPr>
          <w:rFonts w:ascii="Times New Roman" w:hAnsi="Times New Roman"/>
          <w:lang w:val="en-GB"/>
        </w:rPr>
        <w:t>components were</w:t>
      </w:r>
      <w:r w:rsidRPr="00D476B3">
        <w:rPr>
          <w:rFonts w:ascii="Times New Roman" w:hAnsi="Times New Roman"/>
          <w:lang w:val="en-GB"/>
        </w:rPr>
        <w:t xml:space="preserve"> computed following Baselga (2010) procedure (βNES= βSOR- βSIM) and standardized </w:t>
      </w:r>
      <w:r>
        <w:rPr>
          <w:rFonts w:ascii="Times New Roman" w:hAnsi="Times New Roman"/>
          <w:lang w:val="en-GB"/>
        </w:rPr>
        <w:t xml:space="preserve">by </w:t>
      </w:r>
      <w:r w:rsidRPr="00D476B3">
        <w:rPr>
          <w:rFonts w:ascii="Times New Roman" w:hAnsi="Times New Roman"/>
          <w:lang w:val="en-GB"/>
        </w:rPr>
        <w:t xml:space="preserve">resampling all land use classes to the same sample size. Data is presented as the average percentage contribution of the nestedness component per land-cover class for both the decomposition of β-diversity among </w:t>
      </w:r>
      <w:r>
        <w:rPr>
          <w:rFonts w:ascii="Times New Roman" w:hAnsi="Times New Roman"/>
          <w:lang w:val="en-GB"/>
        </w:rPr>
        <w:t>sites</w:t>
      </w:r>
      <w:r w:rsidRPr="00D476B3">
        <w:rPr>
          <w:rFonts w:ascii="Times New Roman" w:hAnsi="Times New Roman"/>
          <w:lang w:val="en-GB"/>
        </w:rPr>
        <w:t xml:space="preserve"> in a </w:t>
      </w:r>
      <w:r>
        <w:rPr>
          <w:rFonts w:ascii="Times New Roman" w:hAnsi="Times New Roman"/>
          <w:lang w:val="en-GB"/>
        </w:rPr>
        <w:t>landscape</w:t>
      </w:r>
      <w:r w:rsidRPr="00D476B3">
        <w:rPr>
          <w:rFonts w:ascii="Times New Roman" w:hAnsi="Times New Roman"/>
          <w:lang w:val="en-GB"/>
        </w:rPr>
        <w:t xml:space="preserve"> (β</w:t>
      </w:r>
      <w:r w:rsidRPr="0003641A">
        <w:rPr>
          <w:rFonts w:ascii="Times New Roman" w:hAnsi="Times New Roman"/>
          <w:vertAlign w:val="subscript"/>
          <w:lang w:val="en-GB"/>
        </w:rPr>
        <w:t>1</w:t>
      </w:r>
      <w:r>
        <w:rPr>
          <w:rFonts w:ascii="Times New Roman" w:hAnsi="Times New Roman"/>
          <w:lang w:val="en-GB"/>
        </w:rPr>
        <w:t xml:space="preserve"> –</w:t>
      </w:r>
      <w:r w:rsidRPr="00D476B3">
        <w:rPr>
          <w:rFonts w:ascii="Times New Roman" w:hAnsi="Times New Roman"/>
          <w:lang w:val="en-GB"/>
        </w:rPr>
        <w:t xml:space="preserve"> </w:t>
      </w:r>
      <w:r>
        <w:rPr>
          <w:rFonts w:ascii="Times New Roman" w:hAnsi="Times New Roman"/>
          <w:lang w:val="en-GB"/>
        </w:rPr>
        <w:t xml:space="preserve">row </w:t>
      </w:r>
      <w:r w:rsidRPr="00D476B3">
        <w:rPr>
          <w:rFonts w:ascii="Times New Roman" w:hAnsi="Times New Roman"/>
          <w:lang w:val="en-GB"/>
        </w:rPr>
        <w:t xml:space="preserve">a) and the decomposition of β-diversity among </w:t>
      </w:r>
      <w:r>
        <w:rPr>
          <w:rFonts w:ascii="Times New Roman" w:hAnsi="Times New Roman"/>
          <w:lang w:val="en-GB"/>
        </w:rPr>
        <w:t>landscape</w:t>
      </w:r>
      <w:r w:rsidRPr="00D476B3">
        <w:rPr>
          <w:rFonts w:ascii="Times New Roman" w:hAnsi="Times New Roman"/>
          <w:lang w:val="en-GB"/>
        </w:rPr>
        <w:t>s in a region (β</w:t>
      </w:r>
      <w:r>
        <w:rPr>
          <w:rFonts w:ascii="Times New Roman" w:hAnsi="Times New Roman"/>
          <w:vertAlign w:val="subscript"/>
          <w:lang w:val="en-GB"/>
        </w:rPr>
        <w:t xml:space="preserve">2 </w:t>
      </w:r>
      <w:r>
        <w:rPr>
          <w:rFonts w:ascii="Times New Roman" w:hAnsi="Times New Roman"/>
          <w:lang w:val="en-GB"/>
        </w:rPr>
        <w:t>–</w:t>
      </w:r>
      <w:r>
        <w:rPr>
          <w:rFonts w:ascii="Times New Roman" w:hAnsi="Times New Roman"/>
          <w:vertAlign w:val="subscript"/>
          <w:lang w:val="en-GB"/>
        </w:rPr>
        <w:t xml:space="preserve"> </w:t>
      </w:r>
      <w:r>
        <w:rPr>
          <w:rFonts w:ascii="Times New Roman" w:hAnsi="Times New Roman"/>
          <w:lang w:val="en-GB"/>
        </w:rPr>
        <w:t xml:space="preserve">row </w:t>
      </w:r>
      <w:r w:rsidRPr="00D476B3">
        <w:rPr>
          <w:rFonts w:ascii="Times New Roman" w:hAnsi="Times New Roman"/>
          <w:lang w:val="en-GB"/>
        </w:rPr>
        <w:t xml:space="preserve">b). Different colours express forest (black and dark grey) and non-forest land-covers (light grey), we used </w:t>
      </w:r>
      <w:r w:rsidRPr="00AF4649">
        <w:rPr>
          <w:rFonts w:ascii="Times New Roman" w:hAnsi="Times New Roman"/>
          <w:i/>
          <w:lang w:val="en-GB"/>
        </w:rPr>
        <w:t>P</w:t>
      </w:r>
      <w:r w:rsidRPr="00D476B3">
        <w:rPr>
          <w:rFonts w:ascii="Times New Roman" w:hAnsi="Times New Roman"/>
          <w:lang w:val="en-GB"/>
        </w:rPr>
        <w:t>&lt;0.05 to determine significance and errors bars are standard errors.</w:t>
      </w:r>
      <w:r w:rsidRPr="00C43729">
        <w:rPr>
          <w:rFonts w:ascii="Times New Roman" w:hAnsi="Times New Roman"/>
          <w:lang w:val="en-GB"/>
        </w:rPr>
        <w:t xml:space="preserve"> </w:t>
      </w:r>
    </w:p>
    <w:p w:rsidR="007A770A" w:rsidRDefault="007A770A" w:rsidP="007A770A">
      <w:pPr>
        <w:rPr>
          <w:rFonts w:ascii="Times New Roman" w:hAnsi="Times New Roman"/>
          <w:lang w:val="en-GB"/>
        </w:rPr>
      </w:pPr>
      <w:r>
        <w:rPr>
          <w:rFonts w:ascii="Times New Roman" w:hAnsi="Times New Roman"/>
          <w:lang w:val="en-GB"/>
        </w:rPr>
        <w:br w:type="page"/>
      </w:r>
    </w:p>
    <w:p w:rsidR="007A770A" w:rsidRDefault="007A770A" w:rsidP="007A770A">
      <w:pPr>
        <w:spacing w:line="480" w:lineRule="auto"/>
        <w:rPr>
          <w:rFonts w:ascii="Times New Roman" w:hAnsi="Times New Roman"/>
          <w:lang w:val="en-GB"/>
        </w:rPr>
      </w:pPr>
      <w:bookmarkStart w:id="0" w:name="_GoBack"/>
      <w:r>
        <w:rPr>
          <w:rFonts w:ascii="Times New Roman" w:hAnsi="Times New Roman"/>
          <w:noProof/>
        </w:rPr>
        <w:drawing>
          <wp:inline distT="0" distB="0" distL="0" distR="0" wp14:anchorId="2D168D59" wp14:editId="5539498D">
            <wp:extent cx="5270500" cy="41212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_Panel_Hill1_Jun2015.pdf"/>
                    <pic:cNvPicPr/>
                  </pic:nvPicPr>
                  <pic:blipFill>
                    <a:blip r:embed="rId8" cstate="screen">
                      <a:extLst>
                        <a:ext uri="{28A0092B-C50C-407E-A947-70E740481C1C}">
                          <a14:useLocalDpi xmlns:a14="http://schemas.microsoft.com/office/drawing/2010/main"/>
                        </a:ext>
                      </a:extLst>
                    </a:blip>
                    <a:stretch>
                      <a:fillRect/>
                    </a:stretch>
                  </pic:blipFill>
                  <pic:spPr>
                    <a:xfrm>
                      <a:off x="0" y="0"/>
                      <a:ext cx="5270500" cy="4121293"/>
                    </a:xfrm>
                    <a:prstGeom prst="rect">
                      <a:avLst/>
                    </a:prstGeom>
                  </pic:spPr>
                </pic:pic>
              </a:graphicData>
            </a:graphic>
          </wp:inline>
        </w:drawing>
      </w:r>
      <w:bookmarkEnd w:id="0"/>
    </w:p>
    <w:p w:rsidR="007A770A" w:rsidRPr="00DA452B" w:rsidRDefault="007A770A" w:rsidP="007A770A">
      <w:pPr>
        <w:spacing w:line="480" w:lineRule="auto"/>
        <w:rPr>
          <w:rFonts w:ascii="Times New Roman" w:hAnsi="Times New Roman"/>
          <w:lang w:val="en-GB"/>
        </w:rPr>
      </w:pPr>
      <w:r w:rsidRPr="00DA452B">
        <w:rPr>
          <w:rFonts w:ascii="Times New Roman" w:hAnsi="Times New Roman"/>
          <w:lang w:val="en-GB"/>
        </w:rPr>
        <w:t xml:space="preserve">Figure </w:t>
      </w:r>
      <w:r>
        <w:rPr>
          <w:rFonts w:ascii="Times New Roman" w:hAnsi="Times New Roman"/>
          <w:lang w:val="en-GB"/>
        </w:rPr>
        <w:t>S4</w:t>
      </w:r>
      <w:r w:rsidRPr="00DA452B">
        <w:rPr>
          <w:rFonts w:ascii="Times New Roman" w:hAnsi="Times New Roman"/>
          <w:lang w:val="en-GB"/>
        </w:rPr>
        <w:tab/>
        <w:t xml:space="preserve">Components of diversity for all taxa across all land-cover classes </w:t>
      </w:r>
      <w:r>
        <w:rPr>
          <w:rFonts w:ascii="Times New Roman" w:hAnsi="Times New Roman"/>
          <w:lang w:val="en-GB"/>
        </w:rPr>
        <w:t>accounting for proxies of species abundance (Hill numbers of order 1)</w:t>
      </w:r>
      <w:r w:rsidRPr="00DA452B">
        <w:rPr>
          <w:rFonts w:ascii="Times New Roman" w:hAnsi="Times New Roman"/>
          <w:lang w:val="en-GB"/>
        </w:rPr>
        <w:t xml:space="preserve">. </w:t>
      </w:r>
      <w:r>
        <w:rPr>
          <w:rFonts w:ascii="Times New Roman" w:hAnsi="Times New Roman"/>
          <w:lang w:val="en-GB"/>
        </w:rPr>
        <w:t>R</w:t>
      </w:r>
      <w:r w:rsidRPr="00DA452B">
        <w:rPr>
          <w:rFonts w:ascii="Times New Roman" w:hAnsi="Times New Roman"/>
          <w:lang w:val="en-GB"/>
        </w:rPr>
        <w:t>ow (a), shows α</w:t>
      </w:r>
      <w:r w:rsidRPr="00E55AE1">
        <w:rPr>
          <w:rFonts w:ascii="Times New Roman" w:hAnsi="Times New Roman"/>
          <w:vertAlign w:val="subscript"/>
          <w:lang w:val="en-GB"/>
        </w:rPr>
        <w:t>site</w:t>
      </w:r>
      <w:r w:rsidRPr="00DA452B">
        <w:rPr>
          <w:rFonts w:ascii="Times New Roman" w:hAnsi="Times New Roman"/>
          <w:lang w:val="en-GB"/>
        </w:rPr>
        <w:t xml:space="preserve"> diversity (i.e. average number of species per </w:t>
      </w:r>
      <w:r>
        <w:rPr>
          <w:rFonts w:ascii="Times New Roman" w:hAnsi="Times New Roman"/>
          <w:lang w:val="en-GB"/>
        </w:rPr>
        <w:t>site</w:t>
      </w:r>
      <w:r w:rsidRPr="00DA452B">
        <w:rPr>
          <w:rFonts w:ascii="Times New Roman" w:hAnsi="Times New Roman"/>
          <w:lang w:val="en-GB"/>
        </w:rPr>
        <w:t>)</w:t>
      </w:r>
      <w:r>
        <w:rPr>
          <w:rFonts w:ascii="Times New Roman" w:hAnsi="Times New Roman"/>
          <w:lang w:val="en-GB"/>
        </w:rPr>
        <w:t>, rows (b) and (d</w:t>
      </w:r>
      <w:r w:rsidRPr="00DA452B">
        <w:rPr>
          <w:rFonts w:ascii="Times New Roman" w:hAnsi="Times New Roman"/>
          <w:lang w:val="en-GB"/>
        </w:rPr>
        <w:t xml:space="preserve">) </w:t>
      </w:r>
      <w:r>
        <w:rPr>
          <w:rFonts w:ascii="Times New Roman" w:hAnsi="Times New Roman"/>
          <w:lang w:val="en-GB"/>
        </w:rPr>
        <w:t>show</w:t>
      </w:r>
      <w:r w:rsidRPr="00DA452B">
        <w:rPr>
          <w:rFonts w:ascii="Times New Roman" w:hAnsi="Times New Roman"/>
          <w:lang w:val="en-GB"/>
        </w:rPr>
        <w:t xml:space="preserve"> β-diversity among-</w:t>
      </w:r>
      <w:r>
        <w:rPr>
          <w:rFonts w:ascii="Times New Roman" w:hAnsi="Times New Roman"/>
          <w:lang w:val="en-GB"/>
        </w:rPr>
        <w:t>sites</w:t>
      </w:r>
      <w:r w:rsidRPr="00DA452B">
        <w:rPr>
          <w:rFonts w:ascii="Times New Roman" w:hAnsi="Times New Roman"/>
          <w:lang w:val="en-GB"/>
        </w:rPr>
        <w:t xml:space="preserve"> and among-</w:t>
      </w:r>
      <w:r>
        <w:rPr>
          <w:rFonts w:ascii="Times New Roman" w:hAnsi="Times New Roman"/>
          <w:lang w:val="en-GB"/>
        </w:rPr>
        <w:t>landscape</w:t>
      </w:r>
      <w:r w:rsidRPr="00DA452B">
        <w:rPr>
          <w:rFonts w:ascii="Times New Roman" w:hAnsi="Times New Roman"/>
          <w:lang w:val="en-GB"/>
        </w:rPr>
        <w:t>s</w:t>
      </w:r>
      <w:r>
        <w:rPr>
          <w:rFonts w:ascii="Times New Roman" w:hAnsi="Times New Roman"/>
          <w:lang w:val="en-GB"/>
        </w:rPr>
        <w:t xml:space="preserve">, row (c) </w:t>
      </w:r>
      <w:r w:rsidRPr="00DA452B">
        <w:rPr>
          <w:rFonts w:ascii="Times New Roman" w:hAnsi="Times New Roman"/>
          <w:lang w:val="en-GB"/>
        </w:rPr>
        <w:t>shows α</w:t>
      </w:r>
      <w:r>
        <w:rPr>
          <w:rFonts w:ascii="Times New Roman" w:hAnsi="Times New Roman"/>
          <w:vertAlign w:val="subscript"/>
          <w:lang w:val="en-GB"/>
        </w:rPr>
        <w:t>landscape</w:t>
      </w:r>
      <w:r w:rsidRPr="00DA452B">
        <w:rPr>
          <w:rFonts w:ascii="Times New Roman" w:hAnsi="Times New Roman"/>
          <w:lang w:val="en-GB"/>
        </w:rPr>
        <w:t xml:space="preserve"> diversity (i.e. average number of species per </w:t>
      </w:r>
      <w:r>
        <w:rPr>
          <w:rFonts w:ascii="Times New Roman" w:hAnsi="Times New Roman"/>
          <w:lang w:val="en-GB"/>
        </w:rPr>
        <w:t>landscape) and</w:t>
      </w:r>
      <w:r w:rsidRPr="00DA452B">
        <w:rPr>
          <w:rFonts w:ascii="Times New Roman" w:hAnsi="Times New Roman"/>
          <w:lang w:val="en-GB"/>
        </w:rPr>
        <w:t xml:space="preserve"> row </w:t>
      </w:r>
      <w:r>
        <w:rPr>
          <w:rFonts w:ascii="Times New Roman" w:hAnsi="Times New Roman"/>
          <w:lang w:val="en-GB"/>
        </w:rPr>
        <w:t xml:space="preserve">(3) shows </w:t>
      </w:r>
      <w:r w:rsidRPr="00DA452B">
        <w:rPr>
          <w:rFonts w:ascii="Times New Roman" w:hAnsi="Times New Roman"/>
          <w:lang w:val="en-GB"/>
        </w:rPr>
        <w:t>is γ-diversity (f</w:t>
      </w:r>
      <w:r>
        <w:rPr>
          <w:rFonts w:ascii="Times New Roman" w:hAnsi="Times New Roman"/>
          <w:lang w:val="en-GB"/>
        </w:rPr>
        <w:t>or each region)</w:t>
      </w:r>
      <w:r w:rsidRPr="00DA452B">
        <w:rPr>
          <w:rFonts w:ascii="Times New Roman" w:hAnsi="Times New Roman"/>
          <w:lang w:val="en-GB"/>
        </w:rPr>
        <w:t>. Different colours illustrate forest (black and dark grey) and non-forest land-covers (light grey), we used P&lt;0.05 to determine significan</w:t>
      </w:r>
      <w:r>
        <w:rPr>
          <w:rFonts w:ascii="Times New Roman" w:hAnsi="Times New Roman"/>
          <w:lang w:val="en-GB"/>
        </w:rPr>
        <w:t>ce</w:t>
      </w:r>
      <w:r w:rsidRPr="00DA452B">
        <w:rPr>
          <w:rFonts w:ascii="Times New Roman" w:hAnsi="Times New Roman"/>
          <w:lang w:val="en-GB"/>
        </w:rPr>
        <w:t xml:space="preserve"> levels and error bars represent standard errors (</w:t>
      </w:r>
      <w:r>
        <w:rPr>
          <w:rFonts w:ascii="Times New Roman" w:hAnsi="Times New Roman"/>
          <w:lang w:val="en-GB"/>
        </w:rPr>
        <w:t xml:space="preserve">bars are absent where </w:t>
      </w:r>
      <w:r w:rsidRPr="00DA452B">
        <w:rPr>
          <w:rFonts w:ascii="Times New Roman" w:hAnsi="Times New Roman"/>
          <w:lang w:val="en-GB"/>
        </w:rPr>
        <w:t>we could only calculate a single value). Codes for land-cover classes are as Table 1.</w:t>
      </w:r>
    </w:p>
    <w:p w:rsidR="00F844CF" w:rsidRPr="007A770A" w:rsidRDefault="00F844CF" w:rsidP="007A770A">
      <w:pPr>
        <w:spacing w:line="480" w:lineRule="auto"/>
        <w:rPr>
          <w:rFonts w:ascii="Times New Roman" w:hAnsi="Times New Roman"/>
          <w:lang w:val="en-GB"/>
        </w:rPr>
      </w:pPr>
    </w:p>
    <w:sectPr w:rsidR="00F844CF" w:rsidRPr="007A770A" w:rsidSect="007A770A">
      <w:footerReference w:type="even" r:id="rId9"/>
      <w:footerReference w:type="default" r:id="rId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6A" w:rsidRDefault="007A770A" w:rsidP="007C7D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046A" w:rsidRDefault="007A77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6A" w:rsidRPr="006600C0" w:rsidRDefault="007A770A" w:rsidP="007C7D97">
    <w:pPr>
      <w:pStyle w:val="Footer"/>
      <w:framePr w:wrap="around" w:vAnchor="text" w:hAnchor="margin" w:xAlign="center" w:y="1"/>
      <w:rPr>
        <w:rStyle w:val="PageNumber"/>
        <w:rFonts w:ascii="Times New Roman" w:hAnsi="Times New Roman"/>
      </w:rPr>
    </w:pPr>
    <w:r w:rsidRPr="006600C0">
      <w:rPr>
        <w:rStyle w:val="PageNumber"/>
        <w:rFonts w:ascii="Times New Roman" w:hAnsi="Times New Roman"/>
      </w:rPr>
      <w:fldChar w:fldCharType="begin"/>
    </w:r>
    <w:r w:rsidRPr="006600C0">
      <w:rPr>
        <w:rStyle w:val="PageNumber"/>
        <w:rFonts w:ascii="Times New Roman" w:hAnsi="Times New Roman"/>
      </w:rPr>
      <w:instrText xml:space="preserve">PAGE  </w:instrText>
    </w:r>
    <w:r w:rsidRPr="006600C0">
      <w:rPr>
        <w:rStyle w:val="PageNumber"/>
        <w:rFonts w:ascii="Times New Roman" w:hAnsi="Times New Roman"/>
      </w:rPr>
      <w:fldChar w:fldCharType="separate"/>
    </w:r>
    <w:r>
      <w:rPr>
        <w:rStyle w:val="PageNumber"/>
        <w:rFonts w:ascii="Times New Roman" w:hAnsi="Times New Roman"/>
        <w:noProof/>
      </w:rPr>
      <w:t>1</w:t>
    </w:r>
    <w:r w:rsidRPr="006600C0">
      <w:rPr>
        <w:rStyle w:val="PageNumber"/>
        <w:rFonts w:ascii="Times New Roman" w:hAnsi="Times New Roman"/>
      </w:rPr>
      <w:fldChar w:fldCharType="end"/>
    </w:r>
  </w:p>
  <w:p w:rsidR="0082046A" w:rsidRDefault="007A770A">
    <w:pPr>
      <w:pStyle w:val="Footer"/>
    </w:pPr>
    <w: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0A"/>
    <w:rsid w:val="007A770A"/>
    <w:rsid w:val="00F84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F8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0A"/>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770A"/>
    <w:pPr>
      <w:tabs>
        <w:tab w:val="center" w:pos="4320"/>
        <w:tab w:val="right" w:pos="8640"/>
      </w:tabs>
    </w:pPr>
  </w:style>
  <w:style w:type="character" w:customStyle="1" w:styleId="FooterChar">
    <w:name w:val="Footer Char"/>
    <w:basedOn w:val="DefaultParagraphFont"/>
    <w:link w:val="Footer"/>
    <w:uiPriority w:val="99"/>
    <w:rsid w:val="007A770A"/>
    <w:rPr>
      <w:rFonts w:ascii="Cambria" w:eastAsia="MS Mincho" w:hAnsi="Cambria" w:cs="Times New Roman"/>
    </w:rPr>
  </w:style>
  <w:style w:type="character" w:styleId="PageNumber">
    <w:name w:val="page number"/>
    <w:basedOn w:val="DefaultParagraphFont"/>
    <w:uiPriority w:val="99"/>
    <w:semiHidden/>
    <w:unhideWhenUsed/>
    <w:rsid w:val="007A770A"/>
  </w:style>
  <w:style w:type="paragraph" w:customStyle="1" w:styleId="EndNoteBibliography">
    <w:name w:val="EndNote Bibliography"/>
    <w:basedOn w:val="Normal"/>
    <w:rsid w:val="007A770A"/>
    <w:pPr>
      <w:spacing w:line="480" w:lineRule="auto"/>
    </w:pPr>
    <w:rPr>
      <w:rFonts w:ascii="Times New Roman" w:hAnsi="Times New Roman"/>
    </w:rPr>
  </w:style>
  <w:style w:type="character" w:styleId="LineNumber">
    <w:name w:val="line number"/>
    <w:basedOn w:val="DefaultParagraphFont"/>
    <w:uiPriority w:val="99"/>
    <w:semiHidden/>
    <w:unhideWhenUsed/>
    <w:rsid w:val="007A770A"/>
  </w:style>
  <w:style w:type="paragraph" w:styleId="BalloonText">
    <w:name w:val="Balloon Text"/>
    <w:basedOn w:val="Normal"/>
    <w:link w:val="BalloonTextChar"/>
    <w:uiPriority w:val="99"/>
    <w:semiHidden/>
    <w:unhideWhenUsed/>
    <w:rsid w:val="007A770A"/>
    <w:rPr>
      <w:rFonts w:ascii="Lucida Grande" w:hAnsi="Lucida Grande"/>
      <w:sz w:val="18"/>
      <w:szCs w:val="18"/>
    </w:rPr>
  </w:style>
  <w:style w:type="character" w:customStyle="1" w:styleId="BalloonTextChar">
    <w:name w:val="Balloon Text Char"/>
    <w:basedOn w:val="DefaultParagraphFont"/>
    <w:link w:val="BalloonText"/>
    <w:uiPriority w:val="99"/>
    <w:semiHidden/>
    <w:rsid w:val="007A770A"/>
    <w:rPr>
      <w:rFonts w:ascii="Lucida Grande" w:eastAsia="MS Mincho"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0A"/>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770A"/>
    <w:pPr>
      <w:tabs>
        <w:tab w:val="center" w:pos="4320"/>
        <w:tab w:val="right" w:pos="8640"/>
      </w:tabs>
    </w:pPr>
  </w:style>
  <w:style w:type="character" w:customStyle="1" w:styleId="FooterChar">
    <w:name w:val="Footer Char"/>
    <w:basedOn w:val="DefaultParagraphFont"/>
    <w:link w:val="Footer"/>
    <w:uiPriority w:val="99"/>
    <w:rsid w:val="007A770A"/>
    <w:rPr>
      <w:rFonts w:ascii="Cambria" w:eastAsia="MS Mincho" w:hAnsi="Cambria" w:cs="Times New Roman"/>
    </w:rPr>
  </w:style>
  <w:style w:type="character" w:styleId="PageNumber">
    <w:name w:val="page number"/>
    <w:basedOn w:val="DefaultParagraphFont"/>
    <w:uiPriority w:val="99"/>
    <w:semiHidden/>
    <w:unhideWhenUsed/>
    <w:rsid w:val="007A770A"/>
  </w:style>
  <w:style w:type="paragraph" w:customStyle="1" w:styleId="EndNoteBibliography">
    <w:name w:val="EndNote Bibliography"/>
    <w:basedOn w:val="Normal"/>
    <w:rsid w:val="007A770A"/>
    <w:pPr>
      <w:spacing w:line="480" w:lineRule="auto"/>
    </w:pPr>
    <w:rPr>
      <w:rFonts w:ascii="Times New Roman" w:hAnsi="Times New Roman"/>
    </w:rPr>
  </w:style>
  <w:style w:type="character" w:styleId="LineNumber">
    <w:name w:val="line number"/>
    <w:basedOn w:val="DefaultParagraphFont"/>
    <w:uiPriority w:val="99"/>
    <w:semiHidden/>
    <w:unhideWhenUsed/>
    <w:rsid w:val="007A770A"/>
  </w:style>
  <w:style w:type="paragraph" w:styleId="BalloonText">
    <w:name w:val="Balloon Text"/>
    <w:basedOn w:val="Normal"/>
    <w:link w:val="BalloonTextChar"/>
    <w:uiPriority w:val="99"/>
    <w:semiHidden/>
    <w:unhideWhenUsed/>
    <w:rsid w:val="007A770A"/>
    <w:rPr>
      <w:rFonts w:ascii="Lucida Grande" w:hAnsi="Lucida Grande"/>
      <w:sz w:val="18"/>
      <w:szCs w:val="18"/>
    </w:rPr>
  </w:style>
  <w:style w:type="character" w:customStyle="1" w:styleId="BalloonTextChar">
    <w:name w:val="Balloon Text Char"/>
    <w:basedOn w:val="DefaultParagraphFont"/>
    <w:link w:val="BalloonText"/>
    <w:uiPriority w:val="99"/>
    <w:semiHidden/>
    <w:rsid w:val="007A770A"/>
    <w:rPr>
      <w:rFonts w:ascii="Lucida Grande" w:eastAsia="MS Mincho"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910</Words>
  <Characters>5189</Characters>
  <Application>Microsoft Macintosh Word</Application>
  <DocSecurity>0</DocSecurity>
  <Lines>43</Lines>
  <Paragraphs>12</Paragraphs>
  <ScaleCrop>false</ScaleCrop>
  <Company>LabEcol - Laboratório de Ecologia de Comunidades</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1</cp:revision>
  <dcterms:created xsi:type="dcterms:W3CDTF">2015-07-26T14:34:00Z</dcterms:created>
  <dcterms:modified xsi:type="dcterms:W3CDTF">2015-07-26T14:42:00Z</dcterms:modified>
</cp:coreProperties>
</file>