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2 Final Exam / 2024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Which of the following (ff) has an analgesic effect?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Ketamine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Accurate successful intubation is confirmed by: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Capnography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False about (abt) Regional Anesthesia: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Patient comfort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Local anesthesia conduction modality type: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Conduction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ASA 1 category diseases? (Hypertension (HTN), Diabetes Mellitus (DM), pregnancy (preg))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None of them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True about acute pain management (mgt)?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... (Answer missing)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Glucose target range in Shock: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140–180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Glucosuria appears if: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Random Blood Sugar (RBS) &gt; 180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Maintenance Fluid (MF) calculation in 80kg female: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4:2:1 formula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Not an indication of non-symptomatic cholecystectomy: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Diabetes Mellitus (DM)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Iatrogenic proximal bile duct injury: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Observe, investigate, and act accordingly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Vitamin K dependent coagulation factors: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2, 7, 9, 10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Risk of Colorectal Carcinoma (CRC) in adenomatous polyps: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No, size, histology, dysplasia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Succamethonium contraindications: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... (Answer missing)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Liver cyst: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Common in females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Management (Mgt) of liver cysts: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(Answer missing/Question incomplete)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Papillary Thyroid Carcinoma (PTC) metastasizes (mets) 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Paratracheal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About medullary thyroid carcinoma (ca):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3 questions (Note: This refers to 3 related questions on this topic)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True about toxic nodular goitre?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(Answer missing/Question incomplete)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False about lobular breast carcinoma: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Common in male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Cause of desaturation in flail chest: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(Answer missing/Question incomplete)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True about testicular tumors: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Mostly curable even if metastasized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Which of the following (ff) is not raised after body injury: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Insulin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Best to detect minimal pleural air: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Ultrasound (U/S)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Not a risk factor for radiation enteritis: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Obesity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Osteosclerosis if mets from: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Prostatic carcinoma (ca)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Absolute sign of presence of Obstructive Jaundice (OJ):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Absence of urobilinogen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Common Colorectal Carcinoma (CRC) type: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Ulcerative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Collapsed IVC in: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... (Answer missing)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Raised IVC in: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... (Answer missing)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Sun ray appearance on X-ray: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Osteosarcoma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Rib 1 &amp; 2 fracture is less common because: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Protected by clavicle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Anti-Hypertension (HTN) drug discontinued for surgery: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ACE Inhibitors (ACEI)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NPO (Nil Per Os) time duration: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... (Answer missing)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Best fluid management (mgt) for acute pancreatitis: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Ringer's Lactate (RL)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Flank &amp; Back stab injury best assessed: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CT (Computed Tomography)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Main cause of primary hyperparathyroidism: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Adenoma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Which of Warfarin/UFH/Rivaroxaban/ASA can be given on day of surgery?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Rivaroxaban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Intracranial Hypertension (HTN) symptoms: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... (Answer missing)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Which gallstones likely cause gallstone pancreatitis?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(Answer missing/Question incomplete)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Complications of gallstone pancreatitis: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(Answer missing/Question incomplete)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Contraction in wound healing is due 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Myofibroblasts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Marker of bacterial presence in Septic shock patients: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Procalcitonin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Polycystic liver disease surgical management (mgt):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(Answer missing/Question incomplete)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Vitamins not stored in liver: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(Answer missing/Question incomplete)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Non-palpable Ductal breast mass on mammography, next investigation: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Core needle biopsy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High malignant potential breast lesion: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Atypical Ductal Hyperplasia (ADH)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Conservative management (mgt) for 6cm distal ureteric stone duration: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6 weeks vs 2 months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Which is more potent?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Fentanyl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Methods of Blood loss estimation: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... (Answer missing)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