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5F73"/>
          <w:sz w:val="48"/>
        </w:rPr>
        <w:t>SURGICAL DISEASES OF THE ADRENAL GLAND</w:t>
      </w:r>
    </w:p>
    <w:p>
      <w:pPr>
        <w:spacing w:before="0" w:after="560"/>
        <w:jc w:val="center"/>
      </w:pPr>
      <w:r>
        <w:rPr>
          <w:rFonts w:ascii="Arial" w:hAnsi="Arial"/>
          <w:i/>
          <w:color w:val="0A9396"/>
          <w:sz w:val="24"/>
        </w:rPr>
        <w:t>Advanced Curriculum Study Notes for Surgical Residents and Board Examinees</w:t>
      </w:r>
    </w:p>
    <w:p>
      <w:pPr>
        <w:keepNext/>
        <w:spacing w:before="400" w:after="160"/>
      </w:pPr>
      <w:r>
        <w:rPr>
          <w:rFonts w:ascii="Arial" w:hAnsi="Arial"/>
          <w:b/>
          <w:color w:val="005F73"/>
          <w:sz w:val="28"/>
        </w:rPr>
        <w:t>1. Surgical Anatomy, Embryology, and Zonal Physiology</w:t>
      </w:r>
    </w:p>
    <w:p>
      <w:pPr>
        <w:spacing w:before="0" w:after="120" w:line="276" w:lineRule="auto"/>
      </w:pPr>
      <w:r>
        <w:rPr>
          <w:rFonts w:ascii="Arial" w:hAnsi="Arial"/>
          <w:color w:val="2B2D42"/>
          <w:sz w:val="22"/>
        </w:rPr>
        <w:t>The adrenal glands are paired retroperitoneal endocrine organs sitting superomedial to each kidney at the level of T12–L1. Each weighs 4–6 g and consists of two distinct components of separate embryological lineage:</w:t>
      </w:r>
    </w:p>
    <w:p>
      <w:pPr>
        <w:spacing w:before="0" w:after="120" w:line="276" w:lineRule="auto"/>
        <w:ind w:left="360"/>
      </w:pPr>
      <w:r>
        <w:rPr>
          <w:rFonts w:ascii="Arial" w:hAnsi="Arial"/>
          <w:b/>
          <w:color w:val="2B2D42"/>
          <w:sz w:val="22"/>
        </w:rPr>
        <w:t xml:space="preserve">• Cortex: </w:t>
      </w:r>
      <w:r>
        <w:rPr>
          <w:rFonts w:ascii="Arial" w:hAnsi="Arial"/>
          <w:color w:val="2B2D42"/>
          <w:sz w:val="22"/>
        </w:rPr>
        <w:t>Derived from the mesoderm (coelomic epithelium). Comprises 80-90% of the gland's volume and is organized into three specific functional zones:</w:t>
      </w:r>
    </w:p>
    <w:p>
      <w:pPr>
        <w:spacing w:before="0" w:after="120" w:line="276" w:lineRule="auto"/>
        <w:ind w:left="720"/>
      </w:pPr>
      <w:r>
        <w:rPr>
          <w:rFonts w:ascii="Arial" w:hAnsi="Arial"/>
          <w:b/>
          <w:color w:val="2B2D42"/>
          <w:sz w:val="22"/>
        </w:rPr>
        <w:t xml:space="preserve">   - Zona Glomerulosa: </w:t>
      </w:r>
      <w:r>
        <w:rPr>
          <w:rFonts w:ascii="Arial" w:hAnsi="Arial"/>
          <w:color w:val="2B2D42"/>
          <w:sz w:val="22"/>
        </w:rPr>
        <w:t>Outer 15%; secretes mineralocorticoids (aldosterone). Driven by the Renin-Angiotensin-Aldosterone System (RAAS) and potassium; largely ACTH-independent.</w:t>
      </w:r>
    </w:p>
    <w:p>
      <w:pPr>
        <w:spacing w:before="0" w:after="120" w:line="276" w:lineRule="auto"/>
        <w:ind w:left="720"/>
      </w:pPr>
      <w:r>
        <w:rPr>
          <w:rFonts w:ascii="Arial" w:hAnsi="Arial"/>
          <w:b/>
          <w:color w:val="2B2D42"/>
          <w:sz w:val="22"/>
        </w:rPr>
        <w:t xml:space="preserve">   - Zona Fasciculata: </w:t>
      </w:r>
      <w:r>
        <w:rPr>
          <w:rFonts w:ascii="Arial" w:hAnsi="Arial"/>
          <w:color w:val="2B2D42"/>
          <w:sz w:val="22"/>
        </w:rPr>
        <w:t>Middle 75%; secretes glucocorticoids (cortisol). Strongly regulated by pituitary ACTH via negative feedback loops.</w:t>
      </w:r>
    </w:p>
    <w:p>
      <w:pPr>
        <w:spacing w:before="0" w:after="120" w:line="276" w:lineRule="auto"/>
        <w:ind w:left="720"/>
      </w:pPr>
      <w:r>
        <w:rPr>
          <w:rFonts w:ascii="Arial" w:hAnsi="Arial"/>
          <w:b/>
          <w:color w:val="2B2D42"/>
          <w:sz w:val="22"/>
        </w:rPr>
        <w:t xml:space="preserve">   - Zona Reticularis: </w:t>
      </w:r>
      <w:r>
        <w:rPr>
          <w:rFonts w:ascii="Arial" w:hAnsi="Arial"/>
          <w:color w:val="2B2D42"/>
          <w:sz w:val="22"/>
        </w:rPr>
        <w:t>Inner 10%; secretes adrenal androgens (DHEA, DHEA-S). Regulated by ACTH and other intra-adrenal factors.</w:t>
      </w:r>
    </w:p>
    <w:p>
      <w:pPr>
        <w:spacing w:before="0" w:after="120" w:line="276" w:lineRule="auto"/>
        <w:ind w:left="360"/>
      </w:pPr>
      <w:r>
        <w:rPr>
          <w:rFonts w:ascii="Arial" w:hAnsi="Arial"/>
          <w:b/>
          <w:color w:val="2B2D42"/>
          <w:sz w:val="22"/>
        </w:rPr>
        <w:t xml:space="preserve">• Medulla: </w:t>
      </w:r>
      <w:r>
        <w:rPr>
          <w:rFonts w:ascii="Arial" w:hAnsi="Arial"/>
          <w:color w:val="2B2D42"/>
          <w:sz w:val="22"/>
        </w:rPr>
        <w:t>Derived from ectodermal neural crest cells. Acts as a modified sympathetic ganglion populated by chromaffin cells. Secretes catecholamines (80% epinephrine, 20% norepinephrine). Synthesis of epinephrine from norepinephrine requires phenylethanolamine N-methyltransferase (PNMT), which is induced directly by high local concentrations of cortisol draining from the surrounding cortex.</w:t>
      </w:r>
    </w:p>
    <w:p>
      <w:pPr>
        <w:spacing w:before="0" w:after="120" w:line="276" w:lineRule="auto"/>
        <w:ind w:left="360"/>
      </w:pPr>
      <w:r>
        <w:rPr>
          <w:rFonts w:ascii="Arial" w:hAnsi="Arial"/>
          <w:b/>
          <w:color w:val="2B2D42"/>
          <w:sz w:val="22"/>
        </w:rPr>
        <w:t>TEXT DIAGRAM: ZONAL HISTO-PHYSIOLOGY OUTLINE</w:t>
        <w:br/>
      </w:r>
      <w:r>
        <w:rPr>
          <w:rFonts w:ascii="Arial" w:hAnsi="Arial"/>
          <w:color w:val="2B2D42"/>
          <w:sz w:val="22"/>
        </w:rPr>
        <w:t xml:space="preserve"> [CORTEX: MESODERM]             ---&gt;  G-Zone (Aldosterone) [Salt]</w:t>
        <w:br/>
        <w:t xml:space="preserve">                                 ---&gt;  F-Zone (Cortisol)    [Sugar]</w:t>
        <w:br/>
        <w:t xml:space="preserve">                                 ---&gt;  R-Zone (Androgens)   [Sex]</w:t>
        <w:br/>
        <w:t xml:space="preserve"> [MEDULLA: NEURAL CREST]         ---&gt;  Chromaffin Cells     [Catecholamines]</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150" w:type="dxa"/>
            </w:tcMar>
            <w:tcBorders>
              <w:top w:val="none"/>
              <w:left w:val="single" w:sz="24" w:space="0" w:color="005F73"/>
              <w:bottom w:val="none"/>
              <w:right w:val="none"/>
            </w:tcBorders>
          </w:tcPr>
          <w:p>
            <w:pPr>
              <w:spacing w:before="0" w:after="0"/>
            </w:pPr>
            <w:r>
              <w:rPr>
                <w:rFonts w:ascii="Arial" w:hAnsi="Arial"/>
                <w:i/>
                <w:color w:val="005F73"/>
                <w:sz w:val="21"/>
              </w:rPr>
              <w:t>🧠 Mnemonic (Adrenal Cortex Layers):</w:t>
              <w:br/>
              <w:t>GFR = Glomerulosa / Fasciculata / Reticularis</w:t>
              <w:br/>
              <w:t>Associated Hormones: "Salt, Sugar, Sex" (Aldosterone / Cortisol / Androgens)</w:t>
            </w:r>
          </w:p>
        </w:tc>
      </w:tr>
    </w:tbl>
    <w:p>
      <w:pPr>
        <w:spacing w:before="0" w:after="120"/>
      </w:pPr>
    </w:p>
    <w:p>
      <w:pPr>
        <w:keepNext/>
        <w:spacing w:before="280" w:after="120"/>
      </w:pPr>
      <w:r>
        <w:rPr>
          <w:rFonts w:ascii="Arial" w:hAnsi="Arial"/>
          <w:b/>
          <w:color w:val="0A9396"/>
          <w:sz w:val="24"/>
        </w:rPr>
        <w:t>Surgical Vascular Anatomy &amp; Asymmetric Venous Drainage</w:t>
      </w:r>
    </w:p>
    <w:p>
      <w:pPr>
        <w:spacing w:before="0" w:after="120" w:line="276" w:lineRule="auto"/>
      </w:pPr>
      <w:r>
        <w:rPr>
          <w:rFonts w:ascii="Arial" w:hAnsi="Arial"/>
          <w:color w:val="2B2D42"/>
          <w:sz w:val="22"/>
        </w:rPr>
        <w:t>The arterial network is extensive and branches from three main origins:</w:t>
      </w:r>
    </w:p>
    <w:p>
      <w:pPr>
        <w:spacing w:before="0" w:after="120" w:line="276" w:lineRule="auto"/>
        <w:ind w:left="360"/>
      </w:pPr>
      <w:r>
        <w:rPr>
          <w:rFonts w:ascii="Arial" w:hAnsi="Arial"/>
          <w:b/>
          <w:color w:val="2B2D42"/>
          <w:sz w:val="22"/>
        </w:rPr>
        <w:t xml:space="preserve">• Superior Adrenal Arteries: </w:t>
      </w:r>
      <w:r>
        <w:rPr>
          <w:rFonts w:ascii="Arial" w:hAnsi="Arial"/>
          <w:color w:val="2B2D42"/>
          <w:sz w:val="22"/>
        </w:rPr>
        <w:t>Multiple branches stemming from the inferior phrenic artery.</w:t>
      </w:r>
    </w:p>
    <w:p>
      <w:pPr>
        <w:spacing w:before="0" w:after="120" w:line="276" w:lineRule="auto"/>
        <w:ind w:left="360"/>
      </w:pPr>
      <w:r>
        <w:rPr>
          <w:rFonts w:ascii="Arial" w:hAnsi="Arial"/>
          <w:b/>
          <w:color w:val="2B2D42"/>
          <w:sz w:val="22"/>
        </w:rPr>
        <w:t xml:space="preserve">• Middle Adrenal Arteries: </w:t>
      </w:r>
      <w:r>
        <w:rPr>
          <w:rFonts w:ascii="Arial" w:hAnsi="Arial"/>
          <w:color w:val="2B2D42"/>
          <w:sz w:val="22"/>
        </w:rPr>
        <w:t>Originates directly from the lateral borders of the abdominal aorta.</w:t>
      </w:r>
    </w:p>
    <w:p>
      <w:pPr>
        <w:spacing w:before="0" w:after="120" w:line="276" w:lineRule="auto"/>
        <w:ind w:left="360"/>
      </w:pPr>
      <w:r>
        <w:rPr>
          <w:rFonts w:ascii="Arial" w:hAnsi="Arial"/>
          <w:b/>
          <w:color w:val="2B2D42"/>
          <w:sz w:val="22"/>
        </w:rPr>
        <w:t xml:space="preserve">• Inferior Adrenal Arteries: </w:t>
      </w:r>
      <w:r>
        <w:rPr>
          <w:rFonts w:ascii="Arial" w:hAnsi="Arial"/>
          <w:color w:val="2B2D42"/>
          <w:sz w:val="22"/>
        </w:rPr>
        <w:t>Arises directly from the renal artery.</w:t>
      </w:r>
    </w:p>
    <w:p>
      <w:pPr>
        <w:spacing w:before="0" w:after="120" w:line="276" w:lineRule="auto"/>
      </w:pPr>
      <w:r>
        <w:rPr>
          <w:rFonts w:ascii="Arial" w:hAnsi="Arial"/>
          <w:color w:val="2B2D42"/>
          <w:sz w:val="22"/>
        </w:rPr>
        <w:t>Conversely, venous drainage is restricted to a single, highly asymmetric terminal pathway on each side. Mismanagement of this anatomy is the primary source of catastrophic intraoperative bleeding:</w:t>
      </w:r>
    </w:p>
    <w:p>
      <w:pPr>
        <w:spacing w:before="0" w:after="120" w:line="276" w:lineRule="auto"/>
        <w:ind w:left="360"/>
      </w:pPr>
      <w:r>
        <w:rPr>
          <w:rFonts w:ascii="Arial" w:hAnsi="Arial"/>
          <w:b/>
          <w:color w:val="2B2D42"/>
          <w:sz w:val="22"/>
        </w:rPr>
        <w:t xml:space="preserve">• Right Adrenal Vein: </w:t>
      </w:r>
      <w:r>
        <w:rPr>
          <w:rFonts w:ascii="Arial" w:hAnsi="Arial"/>
          <w:color w:val="2B2D42"/>
          <w:sz w:val="22"/>
        </w:rPr>
        <w:t>Extremely short (often &lt; 5 mm) and wide; empties directly into the posterolateral wall of the Inferior Vena Cava (IVC). Traction or blind dissection here can cause major lateral tears in the IVC.</w:t>
      </w:r>
    </w:p>
    <w:p>
      <w:pPr>
        <w:spacing w:before="0" w:after="120" w:line="276" w:lineRule="auto"/>
        <w:ind w:left="360"/>
      </w:pPr>
      <w:r>
        <w:rPr>
          <w:rFonts w:ascii="Arial" w:hAnsi="Arial"/>
          <w:b/>
          <w:color w:val="2B2D42"/>
          <w:sz w:val="22"/>
        </w:rPr>
        <w:t xml:space="preserve">• Left Adrenal Vein: </w:t>
      </w:r>
      <w:r>
        <w:rPr>
          <w:rFonts w:ascii="Arial" w:hAnsi="Arial"/>
          <w:color w:val="2B2D42"/>
          <w:sz w:val="22"/>
        </w:rPr>
        <w:t>Longer, courses inferiorly to merge with the left inferior phrenic vein before draining directly into the superior aspect of the left renal vein.</w:t>
      </w:r>
    </w:p>
    <w:p>
      <w:pPr>
        <w:spacing w:before="0" w:after="120" w:line="276" w:lineRule="auto"/>
        <w:ind w:left="360"/>
      </w:pPr>
      <w:r>
        <w:rPr>
          <w:rFonts w:ascii="Arial" w:hAnsi="Arial"/>
          <w:b/>
          <w:color w:val="2B2D42"/>
          <w:sz w:val="22"/>
        </w:rPr>
        <w:t>TEXT DIAGRAM: ASYMMETRIC ADRENAL VENOUS DRAINAGE</w:t>
        <w:br/>
      </w:r>
      <w:r>
        <w:rPr>
          <w:rFonts w:ascii="Arial" w:hAnsi="Arial"/>
          <w:color w:val="2B2D42"/>
          <w:sz w:val="22"/>
        </w:rPr>
        <w:t xml:space="preserve"> RIGHT SIDE: [Adrenal Gland] -&gt; [Short Right Adrenal Vein (&lt;5mm)] -&gt; [IVC Wall (Posterolateral)]</w:t>
        <w:br/>
        <w:t xml:space="preserve"> LEFT SIDE:  [Adrenal Gland] -&gt; [Left Adrenal Vein] -&gt; [Left Inferior Phrenic v.] -&gt; [Left Renal Vein]</w:t>
      </w:r>
    </w:p>
    <w:p>
      <w:pPr>
        <w:keepNext/>
        <w:spacing w:before="400" w:after="160"/>
      </w:pPr>
      <w:r>
        <w:rPr>
          <w:rFonts w:ascii="Arial" w:hAnsi="Arial"/>
          <w:b/>
          <w:color w:val="005F73"/>
          <w:sz w:val="28"/>
        </w:rPr>
        <w:t>2. Pathophysiology of Adrenal Diseases</w:t>
      </w:r>
    </w:p>
    <w:p>
      <w:pPr>
        <w:spacing w:before="0" w:after="120" w:line="276" w:lineRule="auto"/>
      </w:pPr>
      <w:r>
        <w:rPr>
          <w:rFonts w:ascii="Arial" w:hAnsi="Arial"/>
          <w:b/>
          <w:color w:val="2B2D42"/>
          <w:sz w:val="22"/>
        </w:rPr>
        <w:t xml:space="preserve">Cushing's Syndrome (ACTH-Independent): </w:t>
      </w:r>
      <w:r>
        <w:rPr>
          <w:rFonts w:ascii="Arial" w:hAnsi="Arial"/>
          <w:color w:val="2B2D42"/>
          <w:sz w:val="22"/>
        </w:rPr>
        <w:t>Excess cortisol causes high rates of systemic protein catabolism, fat redistribution, gluconeogenesis, and immune suppression. When hypercortisolism stems from an autonomous adrenal source (ACTH-independent), it exerts absolute negative feedback on CRH and ACTH release. This results in severe architectural and functional atrophy of the contralateral normal adrenal gland. Cortisol can also spill over to cross-react with mineralocorticoid receptors, creating volume-dependent hypertension via 11β-HSD2 saturation.</w:t>
      </w:r>
    </w:p>
    <w:p>
      <w:pPr>
        <w:spacing w:before="0" w:after="120" w:line="276" w:lineRule="auto"/>
      </w:pPr>
      <w:r>
        <w:rPr>
          <w:rFonts w:ascii="Arial" w:hAnsi="Arial"/>
          <w:b/>
          <w:color w:val="2B2D42"/>
          <w:sz w:val="22"/>
        </w:rPr>
        <w:t xml:space="preserve">Conn's Syndrome (Primary Hyperaldosteronism): </w:t>
      </w:r>
      <w:r>
        <w:rPr>
          <w:rFonts w:ascii="Arial" w:hAnsi="Arial"/>
          <w:color w:val="2B2D42"/>
          <w:sz w:val="22"/>
        </w:rPr>
        <w:t>Autonomous secretion of aldosterone from a cortical tumor or hyperplastic zone drives high-affinity binding to epithelial sodium channels (ENaC) in the distal nephron. This forces excessive sodium reabsorption at the expense of potassium and hydrogen ions, precipitating systemic volume expansion, hypokalemia, metabolic alkalosis, and feedback suppression of plasma renin.</w:t>
      </w:r>
    </w:p>
    <w:p>
      <w:pPr>
        <w:spacing w:before="0" w:after="120" w:line="276" w:lineRule="auto"/>
      </w:pPr>
      <w:r>
        <w:rPr>
          <w:rFonts w:ascii="Arial" w:hAnsi="Arial"/>
          <w:b/>
          <w:color w:val="2B2D42"/>
          <w:sz w:val="22"/>
        </w:rPr>
        <w:t xml:space="preserve">Congenital Adrenal Hyperplasia (CAH): </w:t>
      </w:r>
      <w:r>
        <w:rPr>
          <w:rFonts w:ascii="Arial" w:hAnsi="Arial"/>
          <w:color w:val="2B2D42"/>
          <w:sz w:val="22"/>
        </w:rPr>
        <w:t>An inherited autosomal recessive deficiency in steroid synthesis enzymes (most commonly 21-hydroxylase, accounting for 90–95% of cases). The lack of native cortisol blocks the normal negative feedback on the anterior pituitary. Continuous ACTH hypersecretion follows, driving bilateral adrenal hyperplasia and shunting raw precursor molecules directly into the unblocked androgen pathway, causing profound virilization and genital ambiguity.</w:t>
      </w:r>
    </w:p>
    <w:p>
      <w:pPr>
        <w:spacing w:before="0" w:after="120" w:line="276" w:lineRule="auto"/>
      </w:pPr>
      <w:r>
        <w:rPr>
          <w:rFonts w:ascii="Arial" w:hAnsi="Arial"/>
          <w:b/>
          <w:color w:val="2B2D42"/>
          <w:sz w:val="22"/>
        </w:rPr>
        <w:t xml:space="preserve">Phaeochromocytoma: </w:t>
      </w:r>
      <w:r>
        <w:rPr>
          <w:rFonts w:ascii="Arial" w:hAnsi="Arial"/>
          <w:color w:val="2B2D42"/>
          <w:sz w:val="22"/>
        </w:rPr>
        <w:t>A catecholamine-secreting neuroendocrine tumor of chromaffin cells. Sustained or paroxysmal surges of epinephrine and norepinephrine activate peripheral receptors: α1-activation causes severe vasoconstriction and diastolic spikes; β1-activation causes tachycardia, palpitations, and arrhythmias; β2/α2 activation drives glycogenolysis and pancreatic islet inhibition, producing secondary hyperglycemia.</w:t>
      </w:r>
    </w:p>
    <w:p>
      <w:pPr>
        <w:keepNext/>
        <w:spacing w:before="400" w:after="160"/>
      </w:pPr>
      <w:r>
        <w:rPr>
          <w:rFonts w:ascii="Arial" w:hAnsi="Arial"/>
          <w:b/>
          <w:color w:val="005F73"/>
          <w:sz w:val="28"/>
        </w:rPr>
        <w:t>3. Etiology, Risk Factors, and Classifications</w:t>
      </w:r>
    </w:p>
    <w:p>
      <w:pPr>
        <w:keepNext/>
        <w:spacing w:before="280" w:after="120"/>
      </w:pPr>
      <w:r>
        <w:rPr>
          <w:rFonts w:ascii="Arial" w:hAnsi="Arial"/>
          <w:b/>
          <w:color w:val="0A9396"/>
          <w:sz w:val="24"/>
        </w:rPr>
        <w:t>Adrenal Incidentaloma Spectrum</w:t>
      </w:r>
    </w:p>
    <w:p>
      <w:pPr>
        <w:spacing w:before="0" w:after="120" w:line="276" w:lineRule="auto"/>
      </w:pPr>
      <w:r>
        <w:rPr>
          <w:rFonts w:ascii="Arial" w:hAnsi="Arial"/>
          <w:color w:val="2B2D42"/>
          <w:sz w:val="22"/>
        </w:rPr>
        <w:t>An unexpected adrenal mass ≥ 1 cm identified on abdominal cross-sectional imaging obtained for an unrelated indication. Found in 4–7% of routine abdominal CT scans. Approximately 80% are benign, non-functioning adenomas. The probability of primary malignancy scales sharply with physical size: lesions &lt; 2 cm carry &lt; 2% risk, whereas lesions &gt; 6 cm carry &gt; 25% baseline risk of adrenocortical carcinoma (ACC).</w:t>
      </w:r>
    </w:p>
    <w:p>
      <w:pPr>
        <w:keepNext/>
        <w:spacing w:before="280" w:after="120"/>
      </w:pPr>
      <w:r>
        <w:rPr>
          <w:rFonts w:ascii="Arial" w:hAnsi="Arial"/>
          <w:b/>
          <w:color w:val="0A9396"/>
          <w:sz w:val="24"/>
        </w:rPr>
        <w:t>Etiological Prevalence Distributions</w:t>
      </w:r>
    </w:p>
    <w:p>
      <w:pPr>
        <w:spacing w:before="0" w:after="120" w:line="276" w:lineRule="auto"/>
      </w:pPr>
      <w:r>
        <w:rPr>
          <w:rFonts w:ascii="Arial" w:hAnsi="Arial"/>
          <w:color w:val="2B2D42"/>
          <w:sz w:val="22"/>
        </w:rPr>
        <w:t>• Cushing's Syndrome: Exogenous administration of glucocorticoids is the most common cause overall. Among endogenous cases, pituitary adenomas (Cushing's Disease) account for 70%, autonomous adrenal adenomas/carcinomas for 15%, and ectopic ACTH secretion (SCLC, bronchial carcinoids) for 15%.</w:t>
      </w:r>
    </w:p>
    <w:p>
      <w:pPr>
        <w:spacing w:before="0" w:after="120" w:line="276" w:lineRule="auto"/>
      </w:pPr>
      <w:r>
        <w:rPr>
          <w:rFonts w:ascii="Arial" w:hAnsi="Arial"/>
          <w:color w:val="2B2D42"/>
          <w:sz w:val="22"/>
        </w:rPr>
        <w:t>• Primary Hyperaldosteronism: Found in 5–13% of all unselected hypertensive patients. Unilateral Aldosterone-Producing Adenomas (APA / Conn'soma) account for 65% of cases, while Bilateral Adrenal Hyperplasia (BAH) accounts for 30%.</w:t>
      </w:r>
    </w:p>
    <w:p>
      <w:pPr>
        <w:spacing w:before="0" w:after="120" w:line="276" w:lineRule="auto"/>
      </w:pPr>
      <w:r>
        <w:rPr>
          <w:rFonts w:ascii="Arial" w:hAnsi="Arial"/>
          <w:color w:val="2B2D42"/>
          <w:sz w:val="22"/>
        </w:rPr>
        <w:t>• Phaeochromocytoma: Follows the classic 'Rule of 10s': 10% bilateral, 10% extra-adrenal (paragangliomas), 10% malignant, 10% pediatric, and 10% familial/hereditary. Strong genetic associations include MEN 2A/2B (RET mutation), von Hippel-Lindau (VHL), Neurofibromatosis Type 1 (NF1), and Succinate Dehydrogenase subunit mutations (SDHB, SDHC, SDHD). SDHB mutations carry the highest risk for malignant transformation and widespread metastasis.</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150" w:type="dxa"/>
            </w:tcMar>
            <w:tcBorders>
              <w:top w:val="none"/>
              <w:left w:val="single" w:sz="24" w:space="0" w:color="005F73"/>
              <w:bottom w:val="none"/>
              <w:right w:val="none"/>
            </w:tcBorders>
          </w:tcPr>
          <w:p>
            <w:pPr>
              <w:spacing w:before="0" w:after="0"/>
            </w:pPr>
            <w:r>
              <w:rPr>
                <w:rFonts w:ascii="Arial" w:hAnsi="Arial"/>
                <w:i/>
                <w:color w:val="005F73"/>
                <w:sz w:val="21"/>
              </w:rPr>
              <w:t>🧠 Mnemonic (Phaeochromocytoma Hereditary Links):</w:t>
              <w:br/>
              <w:t>MEN VNS = MEN2 / VHL / NF1 / SDH mutations</w:t>
            </w:r>
          </w:p>
        </w:tc>
      </w:tr>
    </w:tbl>
    <w:p>
      <w:pPr>
        <w:spacing w:before="0" w:after="120"/>
      </w:pPr>
    </w:p>
    <w:p>
      <w:pPr>
        <w:keepNext/>
        <w:spacing w:before="280" w:after="120"/>
      </w:pPr>
      <w:r>
        <w:rPr>
          <w:rFonts w:ascii="Arial" w:hAnsi="Arial"/>
          <w:b/>
          <w:color w:val="0A9396"/>
          <w:sz w:val="24"/>
        </w:rPr>
        <w:t>Adrenocortical Carcinoma (ACC) &amp; Neuroblastoma</w:t>
      </w:r>
    </w:p>
    <w:p>
      <w:pPr>
        <w:spacing w:before="0" w:after="120" w:line="276" w:lineRule="auto"/>
      </w:pPr>
      <w:r>
        <w:rPr>
          <w:rFonts w:ascii="Arial" w:hAnsi="Arial"/>
          <w:color w:val="2B2D42"/>
          <w:sz w:val="22"/>
        </w:rPr>
        <w:t>• Adrenocortical Carcinoma: Rare and aggressive malignancy with an incidence of 1–2 per million annually. Exhibits a bimodal age distribution peaking in children &lt; 5 years and adults aged 40–50. Associated with Li-Fraumeni (TP53 germline mutations) and Beckwith-Wiedemann syndromes.</w:t>
      </w:r>
    </w:p>
    <w:p>
      <w:pPr>
        <w:spacing w:before="0" w:after="120" w:line="276" w:lineRule="auto"/>
      </w:pPr>
      <w:r>
        <w:rPr>
          <w:rFonts w:ascii="Arial" w:hAnsi="Arial"/>
          <w:color w:val="2B2D42"/>
          <w:sz w:val="22"/>
        </w:rPr>
        <w:t>• Neuroblastoma: The most common extracranial solid malignancy of childhood, peaking at 2 years of age. Arises from primitive neural crest cells within the sympathetic chain or adrenal medulla. Aggressiveness is strongly driven by MYCN oncogene amplification.</w:t>
      </w:r>
    </w:p>
    <w:p>
      <w:pPr>
        <w:keepNext/>
        <w:spacing w:before="400" w:after="160"/>
      </w:pPr>
      <w:r>
        <w:rPr>
          <w:rFonts w:ascii="Arial" w:hAnsi="Arial"/>
          <w:b/>
          <w:color w:val="005F73"/>
          <w:sz w:val="28"/>
        </w:rPr>
        <w:t>4. Clinical Presentation Matrix</w:t>
      </w:r>
    </w:p>
    <w:p>
      <w:pPr>
        <w:spacing w:before="0" w:after="120" w:line="276" w:lineRule="auto"/>
      </w:pPr>
      <w:r>
        <w:rPr>
          <w:rFonts w:ascii="Arial" w:hAnsi="Arial"/>
          <w:color w:val="2B2D42"/>
          <w:sz w:val="22"/>
        </w:rPr>
        <w:t>Recognizing systemic presentation profiles is key to distinguishing autonomous endocrine tumors from secondary variants.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5F73"/>
            <w:tcMar>
              <w:top w:w="120" w:type="dxa"/>
              <w:bottom w:w="120" w:type="dxa"/>
              <w:left w:w="120" w:type="dxa"/>
              <w:right w:w="120" w:type="dxa"/>
            </w:tcMar>
          </w:tcPr>
          <w:p>
            <w:r>
              <w:rPr>
                <w:rFonts w:ascii="Arial" w:hAnsi="Arial"/>
                <w:b/>
                <w:color w:val="FFFFFF"/>
                <w:sz w:val="20"/>
              </w:rPr>
              <w:t>Clinical Syndrome</w:t>
            </w:r>
          </w:p>
        </w:tc>
        <w:tc>
          <w:tcPr>
            <w:tcW w:type="dxa" w:w="3120"/>
            <w:shd w:fill="005F73"/>
            <w:tcMar>
              <w:top w:w="120" w:type="dxa"/>
              <w:bottom w:w="120" w:type="dxa"/>
              <w:left w:w="120" w:type="dxa"/>
              <w:right w:w="120" w:type="dxa"/>
            </w:tcMar>
          </w:tcPr>
          <w:p>
            <w:r>
              <w:rPr>
                <w:rFonts w:ascii="Arial" w:hAnsi="Arial"/>
                <w:b/>
                <w:color w:val="FFFFFF"/>
                <w:sz w:val="20"/>
              </w:rPr>
              <w:t>Core Physical Manifestations</w:t>
            </w:r>
          </w:p>
        </w:tc>
        <w:tc>
          <w:tcPr>
            <w:tcW w:type="dxa" w:w="3120"/>
            <w:shd w:fill="005F73"/>
            <w:tcMar>
              <w:top w:w="120" w:type="dxa"/>
              <w:bottom w:w="120" w:type="dxa"/>
              <w:left w:w="120" w:type="dxa"/>
              <w:right w:w="120" w:type="dxa"/>
            </w:tcMar>
          </w:tcPr>
          <w:p>
            <w:r>
              <w:rPr>
                <w:rFonts w:ascii="Arial" w:hAnsi="Arial"/>
                <w:b/>
                <w:color w:val="FFFFFF"/>
                <w:sz w:val="20"/>
              </w:rPr>
              <w:t>Key Labs &amp; Pathognomonic Signs</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Cushing’s Syndrome</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Centripetal adiposity, moon facies, buffalo hump, proximal myopathy, easy bruising, immune suppression, and secondary amenorrhea.</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 Wide purple striae (&gt;1 cm width)</w:t>
              <w:br/>
              <w:t>• Elevated 24-hr UFC</w:t>
              <w:br/>
              <w:t>• Loss of diurnal cortisol rhythm</w:t>
              <w:br/>
              <w:t>• Osteoporosis &amp; hyperglycemia</w:t>
            </w:r>
          </w:p>
        </w:tc>
      </w:tr>
      <w:tr>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Conn's Syndrome</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Severe or drug-resistant hypertension, episodic muscle weakness, cramps, polyuria, and polydipsia.</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 Spontaneous or provoked hypokalemia</w:t>
              <w:br/>
              <w:t>• Systemic metabolic alkalosis</w:t>
              <w:br/>
              <w:t>• Renin suppression</w:t>
              <w:br/>
              <w:t>• *Note: 40% are normokalemic</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Phaeochromocytoma</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Classic Paroxysmal Triad: Episodic Headache + Palpitations + Diaphoresis. Accompanied by pallor, chest pain, and severe anxiety.</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 Paroxysmal HTN (50%) or sustained HTN (50%)</w:t>
              <w:br/>
              <w:t>• Postural hypotension</w:t>
              <w:br/>
              <w:t>• Hyperglycemia</w:t>
              <w:br/>
              <w:t>• Catecholamine cardiomyopathy</w:t>
            </w:r>
          </w:p>
        </w:tc>
      </w:tr>
      <w:tr>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Adrenocortical Carcinoma</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60% are functioning, presenting with rapid-onset Cushing's combined with rapid virilization (hirsutism, clitomegaly). 40% present with fixed flank pain, cachexia, and a palpable mass.</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 Mixed multi-axis hormone excess</w:t>
              <w:br/>
              <w:t>• High unenhanced attenuation and poor washout on imaging</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Neuroblastoma</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Hard, fixed, irregular abdominal mass that characteristically crosses the midline. Frequently presents with systemic failure to thrive.</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 Orbital ecchymosis ("raccoon eyes" from bone metastases)</w:t>
              <w:br/>
              <w:t>• Opsoclonus-myoclonus ("dancing eyes, dancing feet")</w:t>
              <w:br/>
              <w:t>• Elevated urinary VMA and HVA</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150" w:type="dxa"/>
            </w:tcMar>
            <w:tcBorders>
              <w:top w:val="none"/>
              <w:left w:val="single" w:sz="24" w:space="0" w:color="005F73"/>
              <w:bottom w:val="none"/>
              <w:right w:val="none"/>
            </w:tcBorders>
          </w:tcPr>
          <w:p>
            <w:pPr>
              <w:spacing w:before="0" w:after="0"/>
            </w:pPr>
            <w:r>
              <w:rPr>
                <w:rFonts w:ascii="Arial" w:hAnsi="Arial"/>
                <w:i/>
                <w:color w:val="005F73"/>
                <w:sz w:val="21"/>
              </w:rPr>
              <w:t>⚠️ Hypertensive Crisis Precipitants in Unblocked Phaeochromocytoma:</w:t>
              <w:br/>
              <w:t>Can be triggered by direct palpation/surgery, trauma, systemic contrast media, beta-blockers (due to unopposed α-mediated vasoconstriction), metoclopramide, and tricyclic antidepressants.</w:t>
            </w:r>
          </w:p>
        </w:tc>
      </w:tr>
    </w:tbl>
    <w:p>
      <w:pPr>
        <w:spacing w:before="0" w:after="120"/>
      </w:pPr>
    </w:p>
    <w:p>
      <w:pPr>
        <w:keepNext/>
        <w:spacing w:before="400" w:after="160"/>
      </w:pPr>
      <w:r>
        <w:rPr>
          <w:rFonts w:ascii="Arial" w:hAnsi="Arial"/>
          <w:b/>
          <w:color w:val="005F73"/>
          <w:sz w:val="28"/>
        </w:rPr>
        <w:t>5. Types, Subtypes, and Classifications</w:t>
      </w:r>
    </w:p>
    <w:p>
      <w:pPr>
        <w:keepNext/>
        <w:spacing w:before="280" w:after="120"/>
      </w:pPr>
      <w:r>
        <w:rPr>
          <w:rFonts w:ascii="Arial" w:hAnsi="Arial"/>
          <w:b/>
          <w:color w:val="0A9396"/>
          <w:sz w:val="24"/>
        </w:rPr>
        <w:t>Adrenal Incidentaloma Imaging Characterization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5F73"/>
            <w:tcMar>
              <w:top w:w="120" w:type="dxa"/>
              <w:bottom w:w="120" w:type="dxa"/>
              <w:left w:w="120" w:type="dxa"/>
              <w:right w:w="120" w:type="dxa"/>
            </w:tcMar>
          </w:tcPr>
          <w:p>
            <w:r>
              <w:rPr>
                <w:rFonts w:ascii="Arial" w:hAnsi="Arial"/>
                <w:b/>
                <w:color w:val="FFFFFF"/>
                <w:sz w:val="20"/>
              </w:rPr>
              <w:t>Radiographic Feature</w:t>
            </w:r>
          </w:p>
        </w:tc>
        <w:tc>
          <w:tcPr>
            <w:tcW w:type="dxa" w:w="3120"/>
            <w:shd w:fill="005F73"/>
            <w:tcMar>
              <w:top w:w="120" w:type="dxa"/>
              <w:bottom w:w="120" w:type="dxa"/>
              <w:left w:w="120" w:type="dxa"/>
              <w:right w:w="120" w:type="dxa"/>
            </w:tcMar>
          </w:tcPr>
          <w:p>
            <w:r>
              <w:rPr>
                <w:rFonts w:ascii="Arial" w:hAnsi="Arial"/>
                <w:b/>
                <w:color w:val="FFFFFF"/>
                <w:sz w:val="20"/>
              </w:rPr>
              <w:t>Benign Cortical Adenoma</w:t>
            </w:r>
          </w:p>
        </w:tc>
        <w:tc>
          <w:tcPr>
            <w:tcW w:type="dxa" w:w="3120"/>
            <w:shd w:fill="005F73"/>
            <w:tcMar>
              <w:top w:w="120" w:type="dxa"/>
              <w:bottom w:w="120" w:type="dxa"/>
              <w:left w:w="120" w:type="dxa"/>
              <w:right w:w="120" w:type="dxa"/>
            </w:tcMar>
          </w:tcPr>
          <w:p>
            <w:r>
              <w:rPr>
                <w:rFonts w:ascii="Arial" w:hAnsi="Arial"/>
                <w:b/>
                <w:color w:val="FFFFFF"/>
                <w:sz w:val="20"/>
              </w:rPr>
              <w:t>Malignant ACC / Phaeochromocytoma</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CT Density (Unenhanced)</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&lt; 10 Hounsfield Units (HU) due to high intracellular lipid content</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&gt; 10–20 HU (lipid-poor, highly cellular, heterogeneous)</w:t>
            </w:r>
          </w:p>
        </w:tc>
      </w:tr>
      <w:tr>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15-Min Contrast Washout</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&gt; 50% Absolute Washout (clears contrast rapidly)</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&lt; 50% Absolute Washout (retains contrast longer)</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Lesion Diameter / Border</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&lt; 4 cm; smooth, homogeneous, well-demarcated boundaries</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&gt; 4–6 cm; irregular, calcified, central necrosis/hemorrhage</w:t>
            </w:r>
          </w:p>
        </w:tc>
      </w:tr>
    </w:tbl>
    <w:p>
      <w:pPr>
        <w:spacing w:after="240"/>
      </w:pPr>
    </w:p>
    <w:p>
      <w:pPr>
        <w:keepNext/>
        <w:spacing w:before="280" w:after="120"/>
      </w:pPr>
      <w:r>
        <w:rPr>
          <w:rFonts w:ascii="Arial" w:hAnsi="Arial"/>
          <w:b/>
          <w:color w:val="0A9396"/>
          <w:sz w:val="24"/>
        </w:rPr>
        <w:t>Cushing's Syndrome - Functional ACTH Classification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5F73"/>
            <w:tcMar>
              <w:top w:w="120" w:type="dxa"/>
              <w:bottom w:w="120" w:type="dxa"/>
              <w:left w:w="120" w:type="dxa"/>
              <w:right w:w="120" w:type="dxa"/>
            </w:tcMar>
          </w:tcPr>
          <w:p>
            <w:r>
              <w:rPr>
                <w:rFonts w:ascii="Arial" w:hAnsi="Arial"/>
                <w:b/>
                <w:color w:val="FFFFFF"/>
                <w:sz w:val="20"/>
              </w:rPr>
              <w:t>Classification Type</w:t>
            </w:r>
          </w:p>
        </w:tc>
        <w:tc>
          <w:tcPr>
            <w:tcW w:type="dxa" w:w="3120"/>
            <w:shd w:fill="005F73"/>
            <w:tcMar>
              <w:top w:w="120" w:type="dxa"/>
              <w:bottom w:w="120" w:type="dxa"/>
              <w:left w:w="120" w:type="dxa"/>
              <w:right w:w="120" w:type="dxa"/>
            </w:tcMar>
          </w:tcPr>
          <w:p>
            <w:r>
              <w:rPr>
                <w:rFonts w:ascii="Arial" w:hAnsi="Arial"/>
                <w:b/>
                <w:color w:val="FFFFFF"/>
                <w:sz w:val="20"/>
              </w:rPr>
              <w:t>Plasma ACTH Level</w:t>
            </w:r>
          </w:p>
        </w:tc>
        <w:tc>
          <w:tcPr>
            <w:tcW w:type="dxa" w:w="3120"/>
            <w:shd w:fill="005F73"/>
            <w:tcMar>
              <w:top w:w="120" w:type="dxa"/>
              <w:bottom w:w="120" w:type="dxa"/>
              <w:left w:w="120" w:type="dxa"/>
              <w:right w:w="120" w:type="dxa"/>
            </w:tcMar>
          </w:tcPr>
          <w:p>
            <w:r>
              <w:rPr>
                <w:rFonts w:ascii="Arial" w:hAnsi="Arial"/>
                <w:b/>
                <w:color w:val="FFFFFF"/>
                <w:sz w:val="20"/>
              </w:rPr>
              <w:t>Primary Etiologies</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ACTH-Dependent</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High or inappropriately normal</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Pituitary Adenoma (Cushing's Disease), Ectopic ACTH secreting tumors (e.g., SCLC, carcinoid)</w:t>
            </w:r>
          </w:p>
        </w:tc>
      </w:tr>
      <w:tr>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ACTH-Independent</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Suppressed / Near-Zero</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Autonomous Adrenal Adenoma, Adrenocortical Carcinoma (ACC), Primary Bilateral Macronodular Hyperplasia</w:t>
            </w:r>
          </w:p>
        </w:tc>
      </w:tr>
    </w:tbl>
    <w:p>
      <w:pPr>
        <w:spacing w:after="240"/>
      </w:pPr>
    </w:p>
    <w:p>
      <w:pPr>
        <w:keepNext/>
        <w:spacing w:before="280" w:after="120"/>
      </w:pPr>
      <w:r>
        <w:rPr>
          <w:rFonts w:ascii="Arial" w:hAnsi="Arial"/>
          <w:b/>
          <w:color w:val="0A9396"/>
          <w:sz w:val="24"/>
        </w:rPr>
        <w:t>Histological Malignancy Assessment: The Weiss Criteria</w:t>
      </w:r>
    </w:p>
    <w:p>
      <w:pPr>
        <w:spacing w:before="0" w:after="120" w:line="276" w:lineRule="auto"/>
      </w:pPr>
      <w:r>
        <w:rPr>
          <w:rFonts w:ascii="Arial" w:hAnsi="Arial"/>
          <w:color w:val="2B2D42"/>
          <w:sz w:val="22"/>
        </w:rPr>
        <w:t>A validated histological framework used to confirm or rule out malignancy in primary cortical tumors. The presence of three or more criteria establishes a diagnosis of Adrenocortical Carcinoma:</w:t>
      </w:r>
    </w:p>
    <w:p>
      <w:pPr>
        <w:spacing w:before="0" w:after="120" w:line="276" w:lineRule="auto"/>
        <w:ind w:left="360"/>
      </w:pPr>
      <w:r>
        <w:rPr>
          <w:rFonts w:ascii="Arial" w:hAnsi="Arial"/>
          <w:color w:val="2B2D42"/>
          <w:sz w:val="22"/>
        </w:rPr>
        <w:t>1. High nuclear grade (Fuhrman grade 3 or 4)</w:t>
        <w:br/>
        <w:t>2. Mitotic index &gt; 5 mitoses per 50 High-Power Fields (HPF)</w:t>
        <w:br/>
        <w:t>3. Atypical mitotic figures</w:t>
        <w:br/>
        <w:t>4. Clear cells making up ≤ 25% of the total tumor volume</w:t>
        <w:br/>
        <w:t>5. Diffuse structural architecture spanning &gt; 33% of the tumor</w:t>
        <w:br/>
        <w:t>6. Confluent areas of necrosis</w:t>
        <w:br/>
        <w:t>7. Microvascular or venous invasion</w:t>
        <w:br/>
        <w:t>8. Sinusoidal invasion</w:t>
        <w:br/>
        <w:t>9. Capsular invasion</w:t>
      </w:r>
    </w:p>
    <w:p>
      <w:pPr>
        <w:keepNext/>
        <w:spacing w:before="400" w:after="160"/>
      </w:pPr>
      <w:r>
        <w:rPr>
          <w:rFonts w:ascii="Arial" w:hAnsi="Arial"/>
          <w:b/>
          <w:color w:val="005F73"/>
          <w:sz w:val="28"/>
        </w:rPr>
        <w:t>6. Patient Approach and Diagnostic Investigation Cascades</w:t>
      </w:r>
    </w:p>
    <w:p>
      <w:pPr>
        <w:keepNext/>
        <w:spacing w:before="280" w:after="120"/>
      </w:pPr>
      <w:r>
        <w:rPr>
          <w:rFonts w:ascii="Arial" w:hAnsi="Arial"/>
          <w:b/>
          <w:color w:val="0A9396"/>
          <w:sz w:val="24"/>
        </w:rPr>
        <w:t>Step-by-Step Approach to an Adrenal Mass</w:t>
      </w:r>
    </w:p>
    <w:p>
      <w:pPr>
        <w:spacing w:before="0" w:after="120" w:line="276" w:lineRule="auto"/>
        <w:ind w:left="360"/>
      </w:pPr>
      <w:r>
        <w:rPr>
          <w:rFonts w:ascii="Arial" w:hAnsi="Arial"/>
          <w:color w:val="2B2D42"/>
          <w:sz w:val="22"/>
        </w:rPr>
        <w:t>1. Is the mass hormonally active? Perform systematic biochemical screening for all cases.</w:t>
        <w:br/>
        <w:t>2. Is the mass benign or malignant? Evaluate using unenhanced CT density and contrast washout protocols.</w:t>
        <w:br/>
        <w:t>3. Is surgical intervention indicated? Base the decision on size criteria (≥ 4 cm), structural features, or functional hypersecretion.</w:t>
      </w:r>
    </w:p>
    <w:p>
      <w:pPr>
        <w:keepNext/>
        <w:spacing w:before="280" w:after="120"/>
      </w:pPr>
      <w:r>
        <w:rPr>
          <w:rFonts w:ascii="Arial" w:hAnsi="Arial"/>
          <w:b/>
          <w:color w:val="0A9396"/>
          <w:sz w:val="24"/>
        </w:rPr>
        <w:t>Biochemical Diagnostic Cascade: Cushing's Syndrome</w:t>
      </w:r>
    </w:p>
    <w:p>
      <w:pPr>
        <w:spacing w:before="0" w:after="120" w:line="276" w:lineRule="auto"/>
      </w:pPr>
      <w:r>
        <w:rPr>
          <w:rFonts w:ascii="Arial" w:hAnsi="Arial"/>
          <w:b/>
          <w:color w:val="2B2D42"/>
          <w:sz w:val="22"/>
        </w:rPr>
        <w:t xml:space="preserve">• Step 1 - Screening: </w:t>
      </w:r>
      <w:r>
        <w:rPr>
          <w:rFonts w:ascii="Arial" w:hAnsi="Arial"/>
          <w:color w:val="2B2D42"/>
          <w:sz w:val="22"/>
        </w:rPr>
        <w:t>Obtain 24-hour Urinary Free Cortisol (2 collections), Late-Night Salivary Cortisol, or a 1-mg Overnight Dexamethasone Suppression Test. Normal suppression requires a morning cortisol level &lt; 50 nmol/L (&lt; 1.8 μg/dL).</w:t>
      </w:r>
    </w:p>
    <w:p>
      <w:pPr>
        <w:spacing w:before="0" w:after="120" w:line="276" w:lineRule="auto"/>
      </w:pPr>
      <w:r>
        <w:rPr>
          <w:rFonts w:ascii="Arial" w:hAnsi="Arial"/>
          <w:b/>
          <w:color w:val="2B2D42"/>
          <w:sz w:val="22"/>
        </w:rPr>
        <w:t xml:space="preserve">• Step 2 - Establish ACTH-Dependence: </w:t>
      </w:r>
      <w:r>
        <w:rPr>
          <w:rFonts w:ascii="Arial" w:hAnsi="Arial"/>
          <w:color w:val="2B2D42"/>
          <w:sz w:val="22"/>
        </w:rPr>
        <w:t>Measure baseline 09:00 plasma ACTH. Suppressed values (&lt; 2 pmol/L) point to a primary adrenal source; proceed to thin-slice adrenal CT. Elevated or normal values confirm an ACTH-dependent source; proceed to step 3.</w:t>
      </w:r>
    </w:p>
    <w:p>
      <w:pPr>
        <w:spacing w:before="0" w:after="120" w:line="276" w:lineRule="auto"/>
      </w:pPr>
      <w:r>
        <w:rPr>
          <w:rFonts w:ascii="Arial" w:hAnsi="Arial"/>
          <w:b/>
          <w:color w:val="2B2D42"/>
          <w:sz w:val="22"/>
        </w:rPr>
        <w:t xml:space="preserve">• Step 3 - Pituitary vs. Ectopic Localization: </w:t>
      </w:r>
      <w:r>
        <w:rPr>
          <w:rFonts w:ascii="Arial" w:hAnsi="Arial"/>
          <w:color w:val="2B2D42"/>
          <w:sz w:val="22"/>
        </w:rPr>
        <w:t>Bilateral Inferior Petrosal Sinus Sampling (BIPSS) is the diagnostic gold standard. A central-to-peripheral ACTH ratio &gt; 2 baseline or &gt; 3 post-CRH infusion confirms a pituitary source (Cushing's Disease). If the ratio is lower, it indicates an ectopic ACTH source.</w:t>
      </w:r>
    </w:p>
    <w:p>
      <w:pPr>
        <w:keepNext/>
        <w:spacing w:before="280" w:after="120"/>
      </w:pPr>
      <w:r>
        <w:rPr>
          <w:rFonts w:ascii="Arial" w:hAnsi="Arial"/>
          <w:b/>
          <w:color w:val="0A9396"/>
          <w:sz w:val="24"/>
        </w:rPr>
        <w:t>Biochemical Diagnostic Cascade: Primary Hyperaldosteronism</w:t>
      </w:r>
    </w:p>
    <w:p>
      <w:pPr>
        <w:spacing w:before="0" w:after="120" w:line="276" w:lineRule="auto"/>
      </w:pPr>
      <w:r>
        <w:rPr>
          <w:rFonts w:ascii="Arial" w:hAnsi="Arial"/>
          <w:b/>
          <w:color w:val="2B2D42"/>
          <w:sz w:val="22"/>
        </w:rPr>
        <w:t xml:space="preserve">• Step 1 - Screening: </w:t>
      </w:r>
      <w:r>
        <w:rPr>
          <w:rFonts w:ascii="Arial" w:hAnsi="Arial"/>
          <w:color w:val="2B2D42"/>
          <w:sz w:val="22"/>
        </w:rPr>
        <w:t>Measure the Aldosterone-to-Renin Ratio (ARR). An ARR &gt; 30 ng/dL per ng/mL/h paired with an absolute plasma aldosterone concentration (PAC) &gt; 15 ng/dL suggests primary hyperaldosteronism.</w:t>
      </w:r>
    </w:p>
    <w:p>
      <w:pPr>
        <w:spacing w:before="0" w:after="120" w:line="276" w:lineRule="auto"/>
      </w:pPr>
      <w:r>
        <w:rPr>
          <w:rFonts w:ascii="Arial" w:hAnsi="Arial"/>
          <w:b/>
          <w:color w:val="2B2D42"/>
          <w:sz w:val="22"/>
        </w:rPr>
        <w:t xml:space="preserve">• Step 2 - Confirmation: </w:t>
      </w:r>
      <w:r>
        <w:rPr>
          <w:rFonts w:ascii="Arial" w:hAnsi="Arial"/>
          <w:color w:val="2B2D42"/>
          <w:sz w:val="22"/>
        </w:rPr>
        <w:t>Perform an Intravenous Saline Infusion Test (infuse 2 L of 0.9% normal saline over 4 hours). Failure to suppress PAC below 10 ng/dL (277 pmol/L) confirms autonomous disease.</w:t>
      </w:r>
    </w:p>
    <w:p>
      <w:pPr>
        <w:spacing w:before="0" w:after="120" w:line="276" w:lineRule="auto"/>
      </w:pPr>
      <w:r>
        <w:rPr>
          <w:rFonts w:ascii="Arial" w:hAnsi="Arial"/>
          <w:b/>
          <w:color w:val="2B2D42"/>
          <w:sz w:val="22"/>
        </w:rPr>
        <w:t xml:space="preserve">• Step 3 - Subtype Lateralization: </w:t>
      </w:r>
      <w:r>
        <w:rPr>
          <w:rFonts w:ascii="Arial" w:hAnsi="Arial"/>
          <w:color w:val="2B2D42"/>
          <w:sz w:val="22"/>
        </w:rPr>
        <w:t>Adrenal Vein Sampling (AVS) is the gold standard for lateralization. It is mandatory for all surgical candidates ≥ 35–40 years old or those with non-diagnostic or bilateral CT imaging. A Selectivity Index (adrenal-to-peripheral cortisol) &gt; 2:1 baseline or &gt; 3:1 to 5:1 under ACTH stimulation ensures accurate catheter placement. A Lateralization Index &gt; 4:1 under ACTH stimulation confirms unilateral disease, indicating suitability for surgical resection.</w:t>
      </w:r>
    </w:p>
    <w:p>
      <w:pPr>
        <w:keepNext/>
        <w:spacing w:before="280" w:after="120"/>
      </w:pPr>
      <w:r>
        <w:rPr>
          <w:rFonts w:ascii="Arial" w:hAnsi="Arial"/>
          <w:b/>
          <w:color w:val="0A9396"/>
          <w:sz w:val="24"/>
        </w:rPr>
        <w:t>Biochemical Diagnostic Cascade: Phaeochromocytoma</w:t>
      </w:r>
    </w:p>
    <w:p>
      <w:pPr>
        <w:spacing w:before="0" w:after="120" w:line="276" w:lineRule="auto"/>
      </w:pPr>
      <w:r>
        <w:rPr>
          <w:rFonts w:ascii="Arial" w:hAnsi="Arial"/>
          <w:b/>
          <w:color w:val="2B2D42"/>
          <w:sz w:val="22"/>
        </w:rPr>
        <w:t xml:space="preserve">• Step 1 - Biochemical Assay: </w:t>
      </w:r>
      <w:r>
        <w:rPr>
          <w:rFonts w:ascii="Arial" w:hAnsi="Arial"/>
          <w:color w:val="2B2D42"/>
          <w:sz w:val="22"/>
        </w:rPr>
        <w:t>Measure plasma free fractionated metanephrines (highest diagnostic sensitivity: 97–99%). Validate with 24-hour urinary fractionated metanephrines.</w:t>
      </w:r>
    </w:p>
    <w:p>
      <w:pPr>
        <w:spacing w:before="0" w:after="120" w:line="276" w:lineRule="auto"/>
      </w:pPr>
      <w:r>
        <w:rPr>
          <w:rFonts w:ascii="Arial" w:hAnsi="Arial"/>
          <w:b/>
          <w:color w:val="2B2D42"/>
          <w:sz w:val="22"/>
        </w:rPr>
        <w:t xml:space="preserve">• Step 2 - Anatomical &amp; Functional Imaging: </w:t>
      </w:r>
      <w:r>
        <w:rPr>
          <w:rFonts w:ascii="Arial" w:hAnsi="Arial"/>
          <w:color w:val="2B2D42"/>
          <w:sz w:val="22"/>
        </w:rPr>
        <w:t>Obtain an adrenal protocol contrast-enhanced CT or MRI. If multifocal, extra-adrenal, or metastatic disease is suspected, perform an 123I-MIBG Scintigraphy scan.</w:t>
      </w:r>
    </w:p>
    <w:tbl>
      <w:tblPr>
        <w:tblW w:type="auto" w:w="0"/>
        <w:jc w:val="center"/>
        <w:tblLayout w:type="fixed"/>
        <w:tblLook w:firstColumn="1" w:firstRow="1" w:lastColumn="0" w:lastRow="0" w:noHBand="0" w:noVBand="1" w:val="04A0"/>
      </w:tblPr>
      <w:tblGrid>
        <w:gridCol w:w="9360"/>
      </w:tblGrid>
      <w:tr>
        <w:tc>
          <w:tcPr>
            <w:tcW w:type="dxa" w:w="9360"/>
            <w:shd w:fill="FFF0F2"/>
            <w:tcMar>
              <w:top w:w="140" w:type="dxa"/>
              <w:bottom w:w="140" w:type="dxa"/>
              <w:left w:w="200" w:type="dxa"/>
              <w:right w:w="150" w:type="dxa"/>
            </w:tcMar>
            <w:tcBorders>
              <w:top w:val="none"/>
              <w:left w:val="single" w:sz="24" w:space="0" w:color="D9383A"/>
              <w:bottom w:val="none"/>
              <w:right w:val="none"/>
            </w:tcBorders>
          </w:tcPr>
          <w:p>
            <w:pPr>
              <w:spacing w:before="0" w:after="0"/>
            </w:pPr>
            <w:r>
              <w:rPr>
                <w:rFonts w:ascii="Arial" w:hAnsi="Arial"/>
                <w:i/>
                <w:color w:val="D9383A"/>
                <w:sz w:val="21"/>
              </w:rPr>
              <w:t>⚠️ Diagnostic Prohibition on Fine Needle Aspiration (FNA):</w:t>
              <w:br/>
              <w:t>FNA is strictly contraindicated in suspected Adrenocortical Carcinoma due to the high risk of needle-track tumor seeding. It is also contraindicated in unblocked phaeochromocytomas, where it can precipitate a fatal hypertensive crisis.</w:t>
            </w:r>
          </w:p>
        </w:tc>
      </w:tr>
    </w:tbl>
    <w:p>
      <w:pPr>
        <w:spacing w:before="0" w:after="120"/>
      </w:pPr>
    </w:p>
    <w:p>
      <w:pPr>
        <w:keepNext/>
        <w:spacing w:before="400" w:after="160"/>
      </w:pPr>
      <w:r>
        <w:rPr>
          <w:rFonts w:ascii="Arial" w:hAnsi="Arial"/>
          <w:b/>
          <w:color w:val="005F73"/>
          <w:sz w:val="28"/>
        </w:rPr>
        <w:t>7. Management and Decision Frameworks</w:t>
      </w:r>
    </w:p>
    <w:p>
      <w:pPr>
        <w:keepNext/>
        <w:spacing w:before="280" w:after="120"/>
      </w:pPr>
      <w:r>
        <w:rPr>
          <w:rFonts w:ascii="Arial" w:hAnsi="Arial"/>
          <w:b/>
          <w:color w:val="0A9396"/>
          <w:sz w:val="24"/>
        </w:rPr>
        <w:t>Surgical Decision Matrix for Adrenal Incidentalomas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5F73"/>
            <w:tcMar>
              <w:top w:w="120" w:type="dxa"/>
              <w:bottom w:w="120" w:type="dxa"/>
              <w:left w:w="120" w:type="dxa"/>
              <w:right w:w="120" w:type="dxa"/>
            </w:tcMar>
          </w:tcPr>
          <w:p>
            <w:r>
              <w:rPr>
                <w:rFonts w:ascii="Arial" w:hAnsi="Arial"/>
                <w:b/>
                <w:color w:val="FFFFFF"/>
                <w:sz w:val="20"/>
              </w:rPr>
              <w:t>Functional Status</w:t>
            </w:r>
          </w:p>
        </w:tc>
        <w:tc>
          <w:tcPr>
            <w:tcW w:type="dxa" w:w="3120"/>
            <w:shd w:fill="005F73"/>
            <w:tcMar>
              <w:top w:w="120" w:type="dxa"/>
              <w:bottom w:w="120" w:type="dxa"/>
              <w:left w:w="120" w:type="dxa"/>
              <w:right w:w="120" w:type="dxa"/>
            </w:tcMar>
          </w:tcPr>
          <w:p>
            <w:r>
              <w:rPr>
                <w:rFonts w:ascii="Arial" w:hAnsi="Arial"/>
                <w:b/>
                <w:color w:val="FFFFFF"/>
                <w:sz w:val="20"/>
              </w:rPr>
              <w:t>Lesion Size &amp; Appearance</w:t>
            </w:r>
          </w:p>
        </w:tc>
        <w:tc>
          <w:tcPr>
            <w:tcW w:type="dxa" w:w="3120"/>
            <w:shd w:fill="005F73"/>
            <w:tcMar>
              <w:top w:w="120" w:type="dxa"/>
              <w:bottom w:w="120" w:type="dxa"/>
              <w:left w:w="120" w:type="dxa"/>
              <w:right w:w="120" w:type="dxa"/>
            </w:tcMar>
          </w:tcPr>
          <w:p>
            <w:r>
              <w:rPr>
                <w:rFonts w:ascii="Arial" w:hAnsi="Arial"/>
                <w:b/>
                <w:color w:val="FFFFFF"/>
                <w:sz w:val="20"/>
              </w:rPr>
              <w:t>Recommended Clinical Action</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Hormonally Functioning</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Any size, any structural appearance</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Proceed directly to surgical optimization and resection</w:t>
            </w:r>
          </w:p>
        </w:tc>
      </w:tr>
      <w:tr>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Non-Functioning</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Size ≥ 4 cm OR suspicious malignant features</w:t>
            </w:r>
          </w:p>
        </w:tc>
        <w:tc>
          <w:tcPr>
            <w:tcW w:type="dxa" w:w="3120"/>
            <w:shd w:fill="FFFFFF"/>
            <w:tcMar>
              <w:top w:w="100" w:type="dxa"/>
              <w:bottom w:w="100" w:type="dxa"/>
              <w:left w:w="120" w:type="dxa"/>
              <w:right w:w="120" w:type="dxa"/>
            </w:tcMar>
          </w:tcPr>
          <w:p>
            <w:pPr>
              <w:spacing w:before="0" w:after="40" w:line="276" w:lineRule="auto"/>
            </w:pPr>
            <w:r>
              <w:rPr>
                <w:rFonts w:ascii="Arial" w:hAnsi="Arial"/>
                <w:color w:val="2B2D42"/>
                <w:sz w:val="19"/>
              </w:rPr>
              <w:t>Proceed to oncological open surgical resection</w:t>
            </w:r>
          </w:p>
        </w:tc>
      </w:tr>
      <w:tr>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Non-Functioning</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Size &lt; 4 cm with completely benign imaging</w:t>
            </w:r>
          </w:p>
        </w:tc>
        <w:tc>
          <w:tcPr>
            <w:tcW w:type="dxa" w:w="3120"/>
            <w:shd w:fill="F8F9FA"/>
            <w:tcMar>
              <w:top w:w="100" w:type="dxa"/>
              <w:bottom w:w="100" w:type="dxa"/>
              <w:left w:w="120" w:type="dxa"/>
              <w:right w:w="120" w:type="dxa"/>
            </w:tcMar>
          </w:tcPr>
          <w:p>
            <w:pPr>
              <w:spacing w:before="0" w:after="40" w:line="276" w:lineRule="auto"/>
            </w:pPr>
            <w:r>
              <w:rPr>
                <w:rFonts w:ascii="Arial" w:hAnsi="Arial"/>
                <w:color w:val="2B2D42"/>
                <w:sz w:val="19"/>
              </w:rPr>
              <w:t>Surveillance: Repeat non-contrast CT at 6–12 mo; repeat annual biochemistry for 2–4 years. Discharge if stable.</w:t>
            </w:r>
          </w:p>
        </w:tc>
      </w:tr>
    </w:tbl>
    <w:p>
      <w:pPr>
        <w:spacing w:after="240"/>
      </w:pPr>
    </w:p>
    <w:p>
      <w:pPr>
        <w:keepNext/>
        <w:spacing w:before="280" w:after="120"/>
      </w:pPr>
      <w:r>
        <w:rPr>
          <w:rFonts w:ascii="Arial" w:hAnsi="Arial"/>
          <w:b/>
          <w:color w:val="0A9396"/>
          <w:sz w:val="24"/>
        </w:rPr>
        <w:t>Preoperative Optimization Protocol for Phaeochromocytoma</w:t>
      </w:r>
    </w:p>
    <w:p>
      <w:pPr>
        <w:spacing w:before="0" w:after="120" w:line="276" w:lineRule="auto"/>
      </w:pPr>
      <w:r>
        <w:rPr>
          <w:rFonts w:ascii="Arial" w:hAnsi="Arial"/>
          <w:color w:val="2B2D42"/>
          <w:sz w:val="22"/>
        </w:rPr>
        <w:t>Operating on an unblocked phaeochromocytoma carries an extremely high risk of intraoperative cardiovascular collapse. Optimization must be carried out for a minimum of 10–14 days preoperatively:</w:t>
      </w:r>
    </w:p>
    <w:p>
      <w:pPr>
        <w:spacing w:before="0" w:after="120" w:line="276" w:lineRule="auto"/>
        <w:ind w:left="360"/>
      </w:pPr>
      <w:r>
        <w:rPr>
          <w:rFonts w:ascii="Arial" w:hAnsi="Arial"/>
          <w:b/>
          <w:color w:val="2B2D42"/>
          <w:sz w:val="22"/>
        </w:rPr>
        <w:t xml:space="preserve">1. Alpha Blockade First (Mandatory): </w:t>
      </w:r>
      <w:r>
        <w:rPr>
          <w:rFonts w:ascii="Arial" w:hAnsi="Arial"/>
          <w:color w:val="2B2D42"/>
          <w:sz w:val="22"/>
        </w:rPr>
        <w:t>Administer the non-competitive, irreversible alpha-blocker Phenoxybenzamine (starting at 10 mg PO BID, titrated up to 20–40 mg PO BID) or selective alpha-1 blockers (Doxazosin) until mild orthostatic hypotension develops.</w:t>
      </w:r>
    </w:p>
    <w:p>
      <w:pPr>
        <w:spacing w:before="0" w:after="120" w:line="276" w:lineRule="auto"/>
        <w:ind w:left="360"/>
      </w:pPr>
      <w:r>
        <w:rPr>
          <w:rFonts w:ascii="Arial" w:hAnsi="Arial"/>
          <w:b/>
          <w:color w:val="2B2D42"/>
          <w:sz w:val="22"/>
        </w:rPr>
        <w:t xml:space="preserve">2. Beta Blockade Second: </w:t>
      </w:r>
      <w:r>
        <w:rPr>
          <w:rFonts w:ascii="Arial" w:hAnsi="Arial"/>
          <w:color w:val="2B2D42"/>
          <w:sz w:val="22"/>
        </w:rPr>
        <w:t>Introduce beta-blockers (Propranolol 10–40 mg TID) ONLY after complete alpha-blockade has been established. This controls tachycardia and reflex tachyarrhythmias. Starting beta-blockers first leaves alpha-1 mediated vasoconstriction unopposed, which can cause severe, paradoxical hypertensive crises.</w:t>
      </w:r>
    </w:p>
    <w:p>
      <w:pPr>
        <w:spacing w:before="0" w:after="120" w:line="276" w:lineRule="auto"/>
        <w:ind w:left="360"/>
      </w:pPr>
      <w:r>
        <w:rPr>
          <w:rFonts w:ascii="Arial" w:hAnsi="Arial"/>
          <w:b/>
          <w:color w:val="2B2D42"/>
          <w:sz w:val="22"/>
        </w:rPr>
        <w:t xml:space="preserve">3. Volume Reexpansion: </w:t>
      </w:r>
      <w:r>
        <w:rPr>
          <w:rFonts w:ascii="Arial" w:hAnsi="Arial"/>
          <w:color w:val="2B2D42"/>
          <w:sz w:val="22"/>
        </w:rPr>
        <w:t>Implement a high-salt diet and aggressive oral fluid intake (2–3 L/day of normal saline) to expand the intravascular volume, which is chronically contracted from alpha-mediated vasoconstriction.</w:t>
      </w:r>
    </w:p>
    <w:p>
      <w:pPr>
        <w:keepNext/>
        <w:spacing w:before="280" w:after="120"/>
      </w:pPr>
      <w:r>
        <w:rPr>
          <w:rFonts w:ascii="Arial" w:hAnsi="Arial"/>
          <w:b/>
          <w:color w:val="0A9396"/>
          <w:sz w:val="24"/>
        </w:rPr>
        <w:t>Intraoperative Dissection Principles and Crisis Intervention</w:t>
      </w:r>
    </w:p>
    <w:p>
      <w:pPr>
        <w:spacing w:before="0" w:after="120" w:line="276" w:lineRule="auto"/>
      </w:pPr>
      <w:r>
        <w:rPr>
          <w:rFonts w:ascii="Arial" w:hAnsi="Arial"/>
          <w:color w:val="2B2D42"/>
          <w:sz w:val="22"/>
        </w:rPr>
        <w:t>• Dissection Sequence: Laparoscopic transperitoneal or retroperitoneoscopic approaches are preferred for benign lesions. For phaeochromocytomas, adhere strictly to a 'Vein-First' ligation strategy. Divide the primary adrenal vein immediately upon exposure to minimize the systemic release of catecholamines during mobilization.</w:t>
      </w:r>
    </w:p>
    <w:p>
      <w:pPr>
        <w:spacing w:before="0" w:after="120" w:line="276" w:lineRule="auto"/>
      </w:pPr>
      <w:r>
        <w:rPr>
          <w:rFonts w:ascii="Arial" w:hAnsi="Arial"/>
          <w:color w:val="2B2D42"/>
          <w:sz w:val="22"/>
        </w:rPr>
        <w:t>• ACC Resection: For suspected Adrenocortical Carcinoma, a formal open transabdominal en-bloc resection is mandatory. Laparoscopic approaches are contraindicated due to the risk of capsular violation, which drastically increases local recurrence and port-site seeding.</w:t>
      </w:r>
    </w:p>
    <w:p>
      <w:pPr>
        <w:spacing w:before="0" w:after="120" w:line="276" w:lineRule="auto"/>
      </w:pPr>
      <w:r>
        <w:rPr>
          <w:rFonts w:ascii="Arial" w:hAnsi="Arial"/>
          <w:color w:val="2B2D42"/>
          <w:sz w:val="22"/>
        </w:rPr>
        <w:t>• Managing An Intraoperative Hypertensive Crisis: Administer immediate intravenous boluses of Phentolamine (1–5 mg IV) or start a continuous Sodium Nitroprusside infusion.</w:t>
      </w:r>
    </w:p>
    <w:p>
      <w:pPr>
        <w:spacing w:before="0" w:after="120" w:line="276" w:lineRule="auto"/>
      </w:pPr>
      <w:r>
        <w:rPr>
          <w:rFonts w:ascii="Arial" w:hAnsi="Arial"/>
          <w:color w:val="2B2D42"/>
          <w:sz w:val="22"/>
        </w:rPr>
        <w:t>• Managing Post-Ligation Hypotension: Ligation of the main draining vein causes an abrupt drop in circulating catecholamines. Treat immediately with aggressive crystalloid/colloid volume resuscitation and a continuous Norepinephrine infusion.</w:t>
      </w:r>
    </w:p>
    <w:p>
      <w:pPr>
        <w:keepNext/>
        <w:spacing w:before="400" w:after="160"/>
      </w:pPr>
      <w:r>
        <w:rPr>
          <w:rFonts w:ascii="Arial" w:hAnsi="Arial"/>
          <w:b/>
          <w:color w:val="005F73"/>
          <w:sz w:val="28"/>
        </w:rPr>
        <w:t>8. Postoperative Management and Surveillance Pathways</w:t>
      </w:r>
    </w:p>
    <w:p>
      <w:pPr>
        <w:spacing w:before="0" w:after="120" w:line="276" w:lineRule="auto"/>
      </w:pPr>
      <w:r>
        <w:rPr>
          <w:rFonts w:ascii="Arial" w:hAnsi="Arial"/>
          <w:color w:val="2B2D42"/>
          <w:sz w:val="22"/>
        </w:rPr>
        <w:t>• Unilateral Resection for Cushing’s Syndrome: Because the contralateral gland is atrophic, initiate an immediate perioperative stress-dose glucocorticoid infusion (Hydrocortisone 100 mg IV every 8 hours). Transition to oral maintenance therapy postoperatively (e.g., Hydrocortisone 20 mg AM, 10 mg PM), and taper over 6–24 months until native HPA axis function returns (confirmed by a morning cortisol level &gt; 500 nmol/L).</w:t>
      </w:r>
    </w:p>
    <w:p>
      <w:pPr>
        <w:spacing w:before="0" w:after="120" w:line="276" w:lineRule="auto"/>
      </w:pPr>
      <w:r>
        <w:rPr>
          <w:rFonts w:ascii="Arial" w:hAnsi="Arial"/>
          <w:color w:val="2B2D42"/>
          <w:sz w:val="22"/>
        </w:rPr>
        <w:t>• Bilateral Adrenalectomy: Requires lifelong, permanent daily glucocorticoid (Hydrocortisone 20–30 mg/day split-dose) and mineralocorticoid (Fludrocortisone 50–200 μg PO daily) replacement therapy. Complete education on 'sick-day rules' is mandatory.</w:t>
      </w:r>
    </w:p>
    <w:p>
      <w:pPr>
        <w:spacing w:before="0" w:after="120" w:line="276" w:lineRule="auto"/>
      </w:pPr>
      <w:r>
        <w:rPr>
          <w:rFonts w:ascii="Arial" w:hAnsi="Arial"/>
          <w:color w:val="2B2D42"/>
          <w:sz w:val="22"/>
        </w:rPr>
        <w:t>• Postoperative Care for Conn’s Syndrome: Discontinue all spironolactone and potassium supplementation on postoperative day 1. Monitor serum potassium at 1 week post-op to detect transient hyperkalemia from baseline mineralocorticoid suppression. Blood pressure changes may take 3–6 months to stabilize due to structural vascular remodeling.</w:t>
      </w:r>
    </w:p>
    <w:p>
      <w:pPr>
        <w:spacing w:before="0" w:after="120" w:line="276" w:lineRule="auto"/>
      </w:pPr>
      <w:r>
        <w:rPr>
          <w:rFonts w:ascii="Arial" w:hAnsi="Arial"/>
          <w:color w:val="2B2D42"/>
          <w:sz w:val="22"/>
        </w:rPr>
        <w:t>• Postoperative Care for Phaeochromocytoma: Closely monitor blood pressure, heart rate, and blood glucose postoperatively (rebound hypoglycemia can occur due to the sudden withdrawal of catecholamine-induced glycogenolysis). Measure free plasma metanephrines at 2–4 weeks post-op to document biochemical cure. Establish lifelong annual biochemical screening to monitor for recurrence (10% rule).</w:t>
      </w:r>
    </w:p>
    <w:p>
      <w:pPr>
        <w:spacing w:before="0" w:after="120" w:line="276" w:lineRule="auto"/>
      </w:pPr>
      <w:r>
        <w:rPr>
          <w:rFonts w:ascii="Arial" w:hAnsi="Arial"/>
          <w:color w:val="2B2D42"/>
          <w:sz w:val="22"/>
        </w:rPr>
        <w:t>• Adrenocortical Carcinoma Surveillance: Initiate adjuvant oral Mitotane (an adrenolytic agent) for all cases with high-risk features (Ki-67 &gt; 10%) or positive margins. Maintain plasma levels within a therapeutic window of 14–20 mg/L. Mitotane significantly accelerates cortisol clearance, requiring a concurrent high-dose hydrocortisone prescription. Obtain surveillance chest/abdomen/pelvis CT scans every 3 months for the first 2 years.</w:t>
      </w:r>
    </w:p>
    <w:p>
      <w:pPr>
        <w:keepNext/>
        <w:spacing w:before="400" w:after="160"/>
      </w:pPr>
      <w:r>
        <w:rPr>
          <w:rFonts w:ascii="Arial" w:hAnsi="Arial"/>
          <w:b/>
          <w:color w:val="005F73"/>
          <w:sz w:val="28"/>
        </w:rPr>
        <w:t>9. High-Yield Board Review Board &amp; MCQ Core Pearls</w:t>
      </w:r>
    </w:p>
    <w:p>
      <w:pPr>
        <w:spacing w:before="0" w:after="120" w:line="276" w:lineRule="auto"/>
      </w:pPr>
      <w:r>
        <w:rPr>
          <w:rFonts w:ascii="Arial" w:hAnsi="Arial"/>
          <w:color w:val="2B2D42"/>
          <w:sz w:val="22"/>
        </w:rPr>
        <w:t>• Alpha Before Beta: Never administer beta-blockers to a patient with a suspected phaeochromocytoma until complete alpha-adrenergic blockade is established.</w:t>
      </w:r>
    </w:p>
    <w:p>
      <w:pPr>
        <w:spacing w:before="0" w:after="120" w:line="276" w:lineRule="auto"/>
      </w:pPr>
      <w:r>
        <w:rPr>
          <w:rFonts w:ascii="Arial" w:hAnsi="Arial"/>
          <w:color w:val="2B2D42"/>
          <w:sz w:val="22"/>
        </w:rPr>
        <w:t>• Right Adrenal Vein: Connects directly to the posterolateral aspect of the IVC, making it highly vulnerable to avulsion and catastrophic hemorrhage during medial dissection.</w:t>
      </w:r>
    </w:p>
    <w:p>
      <w:pPr>
        <w:spacing w:before="0" w:after="120" w:line="276" w:lineRule="auto"/>
      </w:pPr>
      <w:r>
        <w:rPr>
          <w:rFonts w:ascii="Arial" w:hAnsi="Arial"/>
          <w:color w:val="2B2D42"/>
          <w:sz w:val="22"/>
        </w:rPr>
        <w:t>• AVS Requirement: Adrenal Vein Sampling is mandatory to confirm lateralization in primary aldosteronism for all surgical candidates ≥ 35–40 years old, even if CT imaging appears normal or demonstrates bilateral changes.</w:t>
      </w:r>
    </w:p>
    <w:p>
      <w:pPr>
        <w:spacing w:before="0" w:after="120" w:line="276" w:lineRule="auto"/>
      </w:pPr>
      <w:r>
        <w:rPr>
          <w:rFonts w:ascii="Arial" w:hAnsi="Arial"/>
          <w:color w:val="2B2D42"/>
          <w:sz w:val="22"/>
        </w:rPr>
        <w:t>• Weiss Score Malignancy Threshold: A Weiss score ≥ 3 histologically confirms adrenocortical carcinoma.</w:t>
      </w:r>
    </w:p>
    <w:p>
      <w:pPr>
        <w:spacing w:before="0" w:after="120" w:line="276" w:lineRule="auto"/>
      </w:pPr>
      <w:r>
        <w:rPr>
          <w:rFonts w:ascii="Arial" w:hAnsi="Arial"/>
          <w:color w:val="2B2D42"/>
          <w:sz w:val="22"/>
        </w:rPr>
        <w:t>• FNA Absolute Contraindications: Biopsy is strictly contraindicated in suspected ACC (risk of seeding) and unblocked phaeochromocytomas (risk of hypertensive crisis).</w:t>
      </w:r>
    </w:p>
    <w:p>
      <w:pPr>
        <w:spacing w:before="0" w:after="120" w:line="276" w:lineRule="auto"/>
      </w:pPr>
      <w:r>
        <w:rPr>
          <w:rFonts w:ascii="Arial" w:hAnsi="Arial"/>
          <w:color w:val="2B2D42"/>
          <w:sz w:val="22"/>
        </w:rPr>
        <w:t>• Cushing’s Gold Standard: Bilateral Inferior Petrosal Sinus Sampling (BIPSS) is the gold standard for differentiating a pituitary source from an ectopic ACTH source.</w:t>
      </w:r>
    </w:p>
    <w:p>
      <w:pPr>
        <w:spacing w:before="0" w:after="120" w:line="276" w:lineRule="auto"/>
      </w:pPr>
      <w:r>
        <w:rPr>
          <w:rFonts w:ascii="Arial" w:hAnsi="Arial"/>
          <w:color w:val="2B2D42"/>
          <w:sz w:val="22"/>
        </w:rPr>
        <w:t>• Neuroblastoma Mass Characteristics: Typically presents as a hard, fixed, irregular abdominal mass that characteristically crosses the midline, distinguishing it from Wilms' tumor.</w:t>
      </w:r>
    </w:p>
    <w:p>
      <w:pPr>
        <w:spacing w:before="0" w:after="120" w:line="276" w:lineRule="auto"/>
      </w:pPr>
      <w:r>
        <w:rPr>
          <w:rFonts w:ascii="Arial" w:hAnsi="Arial"/>
          <w:color w:val="2B2D42"/>
          <w:sz w:val="22"/>
        </w:rPr>
        <w:t>• Neuroblastoma Prognostic Indicator: Amplification of the MYCN oncogene is the single strongest indicator of a poor prognosis.</w:t>
      </w:r>
    </w:p>
    <w:p>
      <w:pPr>
        <w:spacing w:before="0" w:after="120" w:line="276" w:lineRule="auto"/>
      </w:pPr>
      <w:r>
        <w:rPr>
          <w:rFonts w:ascii="Arial" w:hAnsi="Arial"/>
          <w:color w:val="2B2D42"/>
          <w:sz w:val="22"/>
        </w:rPr>
        <w:t>• Rebound Hypoglycemia: A common postoperative complication following phaeochromocytoma resection, caused by the sudden loss of catecholamine-mediated insulin suppression.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