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F6C6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B4879B2" w:rsidR="0082223F" w:rsidRDefault="0082223F" w:rsidP="0082223F">
      <w:pPr>
        <w:pStyle w:val="Title"/>
      </w:pPr>
      <w:r>
        <w:t xml:space="preserve">Week </w:t>
      </w:r>
      <w:r w:rsidR="004A7B81">
        <w:t>1</w:t>
      </w:r>
      <w:r>
        <w:t xml:space="preserve">: </w:t>
      </w:r>
      <w:r w:rsidR="004A7B81">
        <w:t>Chapter 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0575DC69" w:rsidR="00CB25E9" w:rsidRDefault="00133C11" w:rsidP="0082223F">
      <w:pPr>
        <w:jc w:val="center"/>
      </w:pPr>
      <w:r>
        <w:t>February 13,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395EE418"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03DBAEEA" w:rsidR="00194DEA" w:rsidRDefault="00194DEA" w:rsidP="00194DEA">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rsidR="009E3C4D">
        <w:t>.</w:t>
      </w:r>
      <w:r>
        <w:t xml:space="preserve"> These persons need unobtrusive systems that continuously monitor and respond to their behaviors. Specific vendors utilize voice-enabled </w:t>
      </w:r>
      <w:r>
        <w:lastRenderedPageBreak/>
        <w:t xml:space="preserve">Personal Digital Assistants (PDA) (e.g., Amazon Alexa) to effectively set reminders and record activities (Tan et al., 2020). However, it becomes challenging to globalize these voice-specific technologies to assist non-native speakers and individuals with vocal disorders.  </w:t>
      </w:r>
    </w:p>
    <w:p w14:paraId="7B306828" w14:textId="1DD20906"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3E3F33D7" w14:textId="77777777" w:rsidR="00F405A5" w:rsidRDefault="00F405A5">
      <w:pPr>
        <w:rPr>
          <w:b/>
        </w:rPr>
      </w:pPr>
      <w:r>
        <w:br w:type="page"/>
      </w:r>
    </w:p>
    <w:p w14:paraId="138244E3" w14:textId="77777777" w:rsidR="00F405A5" w:rsidRDefault="00F405A5">
      <w:pPr>
        <w:rPr>
          <w:b/>
        </w:rPr>
      </w:pPr>
      <w:r>
        <w:lastRenderedPageBreak/>
        <w:br w:type="page"/>
      </w:r>
    </w:p>
    <w:p w14:paraId="25A4380A" w14:textId="77777777" w:rsidR="00F405A5" w:rsidRDefault="00F405A5" w:rsidP="00F405A5">
      <w:pPr>
        <w:pStyle w:val="Heading2"/>
      </w:pPr>
      <w:r>
        <w:lastRenderedPageBreak/>
        <w:t>Statement of the Problem</w:t>
      </w:r>
    </w:p>
    <w:p w14:paraId="186303FC" w14:textId="77777777" w:rsidR="00345E7B" w:rsidRDefault="00F405A5">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Content>
          <w:r>
            <w:fldChar w:fldCharType="begin"/>
          </w:r>
          <w:r>
            <w:instrText xml:space="preserve"> CITATION Kim21 \l 1033 </w:instrText>
          </w:r>
          <w:r>
            <w:fldChar w:fldCharType="separate"/>
          </w:r>
          <w:r>
            <w:rPr>
              <w:noProof/>
            </w:rPr>
            <w:t xml:space="preserve"> (Kim &amp; Kim, 2021)</w:t>
          </w:r>
          <w:r>
            <w:fldChar w:fldCharType="end"/>
          </w:r>
        </w:sdtContent>
      </w:sdt>
      <w:r>
        <w:t xml:space="preserve">. This labor shortage increases hiring and employee retention costs that </w:t>
      </w:r>
      <w:r w:rsidR="006B6D1F">
        <w:t xml:space="preserve">the patients and </w:t>
      </w:r>
      <w:proofErr w:type="spellStart"/>
      <w:r w:rsidR="006B6D1F">
        <w:t>wellfaire</w:t>
      </w:r>
      <w:proofErr w:type="spellEnd"/>
      <w:r w:rsidR="006B6D1F">
        <w:t xml:space="preserve"> programs must cover</w:t>
      </w:r>
      <w:r>
        <w:t>.</w:t>
      </w:r>
      <w:r w:rsidR="006B6D1F">
        <w:t xml:space="preserve"> The funding gap is a global problem that does not impact all communities equally. For instance, in South Africa, rural special needs communities have 57% fewer nursing visits than their urban neighbors</w:t>
      </w:r>
      <w:sdt>
        <w:sdtPr>
          <w:id w:val="564376801"/>
          <w:citation/>
        </w:sdtPr>
        <w:sdtContent>
          <w:r w:rsidR="006B6D1F">
            <w:fldChar w:fldCharType="begin"/>
          </w:r>
          <w:r w:rsidR="006B6D1F">
            <w:instrText xml:space="preserve"> CITATION Bes20 \l 1033 </w:instrText>
          </w:r>
          <w:r w:rsidR="006B6D1F">
            <w:fldChar w:fldCharType="separate"/>
          </w:r>
          <w:r w:rsidR="006B6D1F">
            <w:rPr>
              <w:noProof/>
            </w:rPr>
            <w:t xml:space="preserve"> (Besada, 2020)</w:t>
          </w:r>
          <w:r w:rsidR="006B6D1F">
            <w:fldChar w:fldCharType="end"/>
          </w:r>
        </w:sdtContent>
      </w:sdt>
      <w:r w:rsidR="006B6D1F">
        <w:t>. Newly industrialized economies like Taiwan, South Korea, Thailand, and Malaysia are experiencing challenges maintaining their long-term care programs due to growing costs</w:t>
      </w:r>
      <w:sdt>
        <w:sdtPr>
          <w:id w:val="1545784185"/>
          <w:citation/>
        </w:sdtPr>
        <w:sdtContent>
          <w:r w:rsidR="006B6D1F">
            <w:fldChar w:fldCharType="begin"/>
          </w:r>
          <w:r w:rsidR="006B6D1F">
            <w:instrText xml:space="preserve"> CITATION Phu21 \l 1033 </w:instrText>
          </w:r>
          <w:r w:rsidR="006B6D1F">
            <w:fldChar w:fldCharType="separate"/>
          </w:r>
          <w:r w:rsidR="006B6D1F">
            <w:rPr>
              <w:noProof/>
            </w:rPr>
            <w:t xml:space="preserve"> (Phua, 2021)</w:t>
          </w:r>
          <w:r w:rsidR="006B6D1F">
            <w:fldChar w:fldCharType="end"/>
          </w:r>
        </w:sdtContent>
      </w:sdt>
      <w:r w:rsidR="006B6D1F">
        <w:t>. Domestic programs like Veterans Health Administration (VHA) and Medicare are not immune to these economic limits</w:t>
      </w:r>
      <w:sdt>
        <w:sdtPr>
          <w:id w:val="1014414518"/>
          <w:citation/>
        </w:sdtPr>
        <w:sdtContent>
          <w:r w:rsidR="006B6D1F">
            <w:fldChar w:fldCharType="begin"/>
          </w:r>
          <w:r w:rsidR="006B6D1F">
            <w:instrText xml:space="preserve">CITATION Lei21 \l 1033 </w:instrText>
          </w:r>
          <w:r w:rsidR="006B6D1F">
            <w:fldChar w:fldCharType="separate"/>
          </w:r>
          <w:r w:rsidR="006B6D1F">
            <w:rPr>
              <w:noProof/>
            </w:rPr>
            <w:t xml:space="preserve"> (Lei, Intrator, Conwell, Fortinsky, &amp; Cai, 2021)</w:t>
          </w:r>
          <w:r w:rsidR="006B6D1F">
            <w:fldChar w:fldCharType="end"/>
          </w:r>
        </w:sdtContent>
      </w:sdt>
      <w:r w:rsidR="006B6D1F">
        <w:t xml:space="preserve">. </w:t>
      </w:r>
      <w:r w:rsidR="004A052A">
        <w:t>Businesses and governments need to control these costs and replace human labor with less expensive automation processes.</w:t>
      </w:r>
    </w:p>
    <w:p w14:paraId="5A5285B8" w14:textId="0AFC4CB6" w:rsidR="00345E7B" w:rsidRDefault="00345E7B">
      <w:r>
        <w:tab/>
        <w:t xml:space="preserve">Implementing and verifying those processes comes with a high barrier to entry, precisely due to personal privacy concerns, logistical complexity, ethical &amp; cultural considerations, and procurement &amp; configuration overhead. For example, a recent study shows that </w:t>
      </w:r>
      <w:r>
        <w:t>95%</w:t>
      </w:r>
      <w:r>
        <w:t xml:space="preserve"> of Pakistani versus 50% of New Zealand patients refuse to share a severe medical concern outside their primary care physician</w:t>
      </w:r>
      <w:sdt>
        <w:sdtPr>
          <w:id w:val="-1953471933"/>
          <w:citation/>
        </w:sdtPr>
        <w:sdtContent>
          <w:r>
            <w:fldChar w:fldCharType="begin"/>
          </w:r>
          <w:r>
            <w:instrText xml:space="preserve"> CITATION Shi21 \l 1033 </w:instrText>
          </w:r>
          <w:r>
            <w:fldChar w:fldCharType="separate"/>
          </w:r>
          <w:r>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Content>
          <w:r>
            <w:fldChar w:fldCharType="begin"/>
          </w:r>
          <w:r>
            <w:instrText xml:space="preserve"> CITATION Bla21 \l 1033 </w:instrText>
          </w:r>
          <w:r>
            <w:fldChar w:fldCharType="separate"/>
          </w:r>
          <w:r>
            <w:rPr>
              <w:noProof/>
            </w:rPr>
            <w:t xml:space="preserve"> (Blackhurn, 2021)</w:t>
          </w:r>
          <w:r>
            <w:fldChar w:fldCharType="end"/>
          </w:r>
        </w:sdtContent>
      </w:sdt>
      <w:r>
        <w:t>. Beyond human and process issues are technical complexities to configure prototype autonomous assistants because it requires multiple domain specializations like computer networking, embedded technologies, AI/ML, and distributed computing</w:t>
      </w:r>
      <w:sdt>
        <w:sdtPr>
          <w:id w:val="509717102"/>
          <w:citation/>
        </w:sdt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xml:space="preserve">. Each cross-cutting concern adds complexity and reduces the </w:t>
      </w:r>
      <w:r>
        <w:lastRenderedPageBreak/>
        <w:t>probability that small teams can successfully provision their test environment. Furthermore, those difficulties limit other researchers from reproducing the results. These factors slow down innovation and restrict the value researchers can contribute to the body of knowledge.</w:t>
      </w:r>
    </w:p>
    <w:p w14:paraId="6D05562E" w14:textId="79F44C2E" w:rsidR="00645784" w:rsidRDefault="00645784" w:rsidP="00645784">
      <w:pPr>
        <w:pStyle w:val="Heading2"/>
      </w:pPr>
      <w:r>
        <w:t>Purpose of the Study</w:t>
      </w:r>
    </w:p>
    <w:p w14:paraId="1F6351B5" w14:textId="37751A18" w:rsidR="00577F51" w:rsidRDefault="00645784" w:rsidP="00645784">
      <w:r>
        <w:tab/>
        <w:t xml:space="preserve">The purpose of this constructive design research study is to create a research </w:t>
      </w:r>
      <w:r w:rsidR="00577F51">
        <w:t>method</w:t>
      </w:r>
      <w:r>
        <w:t xml:space="preserve"> for studying human behavior in privacy-sensitive contexts.</w:t>
      </w:r>
      <w:r w:rsidR="00577F51">
        <w:t xml:space="preserve"> It aims to deliver this capability utilizing humanoid constructs within a realistic physics simulation process.</w:t>
      </w:r>
      <w:r w:rsidR="00E853DA">
        <w:t xml:space="preserve"> </w:t>
      </w:r>
      <w:r w:rsidR="00577F51">
        <w:t xml:space="preserve">This approach could enable future researchers to </w:t>
      </w:r>
      <w:r w:rsidR="00133C11">
        <w:t>rapidly assess their CV algorithms’ performance across diverse subjects</w:t>
      </w:r>
      <w:r w:rsidR="00577F51">
        <w:t xml:space="preserve">. </w:t>
      </w:r>
    </w:p>
    <w:p w14:paraId="4BD19023" w14:textId="44E9221B" w:rsidR="00577F51" w:rsidRDefault="00577F51" w:rsidP="00645784">
      <w:r>
        <w:t>Unlike humans, virtual actors are devoid of privacy and safety concerns while also duplicating economically. Furthermore, researchers can make their results reproducible externally through standard software change management procedures.</w:t>
      </w:r>
      <w:r w:rsidR="00E853DA">
        <w:t xml:space="preserve"> These properties are directly applicable to </w:t>
      </w:r>
      <w:r w:rsidR="00621BAC">
        <w:t xml:space="preserve">lowering the barrier for investigating </w:t>
      </w:r>
      <w:r w:rsidR="00133C11">
        <w:t>elderly and special needs care scenarios</w:t>
      </w:r>
      <w:r w:rsidR="00E853DA">
        <w:t>.</w:t>
      </w:r>
    </w:p>
    <w:p w14:paraId="211CEDE5" w14:textId="7C5A790F" w:rsidR="00577F51" w:rsidRDefault="00577F51" w:rsidP="00645784">
      <w:r>
        <w:tab/>
      </w:r>
      <w:r w:rsidR="00842BDF">
        <w:t>Next, the study demonstrates an implementation of critical aspects of the methodology. This step involves loading open-source Motion Capture (</w:t>
      </w:r>
      <w:proofErr w:type="spellStart"/>
      <w:r w:rsidR="00842BDF">
        <w:t>MoCap</w:t>
      </w:r>
      <w:proofErr w:type="spellEnd"/>
      <w:r w:rsidR="00842BDF">
        <w:t xml:space="preserve">) animation sequences into the virtual world. Next, cameras will monitor the actor’s behaviors and predict its intent. Those intents will drive CPS virtual devices to mitigate </w:t>
      </w:r>
      <w:r w:rsidR="00133C11">
        <w:t>undesirable states, such as the patient falling or performing a routine task (e.g., taking</w:t>
      </w:r>
      <w:r w:rsidR="00842BDF">
        <w:t xml:space="preserve"> medication). Lastly, the assessment process varies the actor’s configuration (e.g., weight, height, and flexibility). This feature set is essential to validate </w:t>
      </w:r>
      <w:r w:rsidR="00133C11">
        <w:t>the generalizability of AI/ML and CPS solutions</w:t>
      </w:r>
      <w:r w:rsidR="00842BDF">
        <w:t>.</w:t>
      </w:r>
    </w:p>
    <w:p w14:paraId="2A451932" w14:textId="05C58D95" w:rsidR="00842BDF" w:rsidRDefault="00842BDF" w:rsidP="00645784">
      <w:r>
        <w:tab/>
        <w:t xml:space="preserve">Third, the study will identify mechanisms for scaling the simulation process over more extensive data sets. This assessment would consider scenarios such as increasing the action space, public cloud processing, and varying noise levels. The objective of this thought process is to determine future research areas and the next steps for commercialization. It is beyond the </w:t>
      </w:r>
      <w:r>
        <w:lastRenderedPageBreak/>
        <w:t>scope of this research project to deliver a production-grade simulation process, as the critical components are the research approach and demonstration of its application.</w:t>
      </w:r>
    </w:p>
    <w:p w14:paraId="2D02CD87" w14:textId="77777777" w:rsidR="00C618C3" w:rsidRDefault="00C618C3" w:rsidP="00C618C3">
      <w:pPr>
        <w:pStyle w:val="Heading2"/>
      </w:pPr>
      <w:r>
        <w:t>Introduction to Theoretical Framework</w:t>
      </w:r>
    </w:p>
    <w:p w14:paraId="58098D97" w14:textId="5434B2BC" w:rsidR="00C55D2E" w:rsidRDefault="00C618C3" w:rsidP="00C55D2E">
      <w:pPr>
        <w:ind w:firstLine="720"/>
      </w:pPr>
      <w:r>
        <w:t>Design-science is a research methodology that creates purposeful artifacts and applies them to study a phenomenon</w:t>
      </w:r>
      <w:sdt>
        <w:sdtPr>
          <w:id w:val="-974756760"/>
          <w:citation/>
        </w:sdtPr>
        <w:sdtEndPr/>
        <w:sdtContent>
          <w:r>
            <w:fldChar w:fldCharType="begin"/>
          </w:r>
          <w:r>
            <w:instrText xml:space="preserve"> CITATION Hev04 \l 1033 </w:instrText>
          </w:r>
          <w:r>
            <w:fldChar w:fldCharType="separate"/>
          </w:r>
          <w:r>
            <w:rPr>
              <w:noProof/>
            </w:rPr>
            <w:t xml:space="preserve"> (Hevner, March, Park, &amp; Ram, 2004)</w:t>
          </w:r>
          <w:r>
            <w:fldChar w:fldCharType="end"/>
          </w:r>
        </w:sdtContent>
      </w:sdt>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6E1043C8" w14:textId="77777777" w:rsidR="00C55D2E" w:rsidRDefault="00C55D2E" w:rsidP="00C55D2E">
      <w:pPr>
        <w:pStyle w:val="Caption"/>
      </w:pPr>
      <w:r>
        <w:t xml:space="preserve">Table </w:t>
      </w:r>
      <w:fldSimple w:instr=" SEQ Table \* ARABIC ">
        <w:r>
          <w:rPr>
            <w:noProof/>
          </w:rPr>
          <w:t>1</w:t>
        </w:r>
      </w:fldSimple>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w:t>
      </w:r>
      <w:r>
        <w:lastRenderedPageBreak/>
        <w:t>CPS) technologies.</w:t>
      </w:r>
      <w:r w:rsidR="003E4E78">
        <w:t xml:space="preserve"> Third, the artifacts expand the body of knowledge through the research questions. See Chapter 3: Research Method for more information.</w:t>
      </w:r>
    </w:p>
    <w:p w14:paraId="28CF6F7E" w14:textId="77777777" w:rsidR="003E4E78" w:rsidRDefault="003E4E78" w:rsidP="003E4E78">
      <w:pPr>
        <w:pStyle w:val="Heading2"/>
      </w:pPr>
      <w:r>
        <w:t>Research Questions</w:t>
      </w:r>
    </w:p>
    <w:p w14:paraId="2C13F027" w14:textId="2B08852D" w:rsidR="003E4E78" w:rsidRDefault="003E4E78">
      <w:r>
        <w:tab/>
        <w:t xml:space="preserve">The foundational problem is </w:t>
      </w:r>
      <w:r w:rsidR="00133C11">
        <w:t xml:space="preserve">that </w:t>
      </w:r>
      <w:r>
        <w:t>elderly care and special needs patients need mechanisms t</w:t>
      </w:r>
      <w:r w:rsidR="00133C11">
        <w:t>o improve their homes’ medical care</w:t>
      </w:r>
      <w:r>
        <w:t xml:space="preserve">. Medical facilities met this requirement through human capital investments (e.g., staff augmentation), which is expensive and difficult to scale. Instead, this study proposes that CV, AI/ML, and CPS technologies have the potential to supplement this need. This proposition raises questions regarding a potential solution’s ability to detect and respond to patient behaviors. </w:t>
      </w:r>
    </w:p>
    <w:p w14:paraId="4953FD6F" w14:textId="77777777" w:rsidR="003E4E78" w:rsidRDefault="003E4E78" w:rsidP="003E4E78">
      <w:pPr>
        <w:pStyle w:val="Heading3"/>
      </w:pPr>
      <w:r>
        <w:t>RQ1</w:t>
      </w:r>
    </w:p>
    <w:p w14:paraId="1CD91BE8" w14:textId="77777777" w:rsidR="003E4E78" w:rsidRDefault="003E4E78" w:rsidP="003E4E78">
      <w:r>
        <w:tab/>
        <w:t xml:space="preserve">To what extent can CV-based systems extract the subject’s </w:t>
      </w:r>
      <w:r>
        <w:rPr>
          <w:i/>
          <w:iCs/>
        </w:rPr>
        <w:t>intent</w:t>
      </w:r>
      <w:r>
        <w:t xml:space="preserve"> from dynamic and noisy video streams? Patients freely roam within their residence and modify the environment (e.g., move furniture and change lighting). As these factors influence the cameras’ perspective, does it inhibit the system from making accurate predictions, or do AI/ML algorithms account for these deviations?</w:t>
      </w:r>
    </w:p>
    <w:p w14:paraId="52B6F757" w14:textId="77777777" w:rsidR="003E4E78" w:rsidRDefault="003E4E78" w:rsidP="003E4E78">
      <w:pPr>
        <w:pStyle w:val="Heading3"/>
      </w:pPr>
      <w:r>
        <w:t>RQ2</w:t>
      </w:r>
    </w:p>
    <w:p w14:paraId="3F37D386" w14:textId="245AF169" w:rsidR="003E4E78" w:rsidRDefault="003E4E78" w:rsidP="003E4E78">
      <w:r>
        <w:tab/>
        <w:t>To what extent can CPS-based systems react and mitigate the subject</w:t>
      </w:r>
      <w:r w:rsidR="00133C11">
        <w:t>s</w:t>
      </w:r>
      <w:r>
        <w:t>’ perceived behavior from RQ1? Medical staff at assisted living centers provide a helping hand literally and figuratively. Digital systems need to offer similar capabilities through IoT devices, which raises questions on the industry’s maturity level and commercial viability.</w:t>
      </w:r>
    </w:p>
    <w:p w14:paraId="48658789" w14:textId="0E3097BA" w:rsidR="001720DE" w:rsidRDefault="001720DE" w:rsidP="001720DE">
      <w:pPr>
        <w:pStyle w:val="Heading2"/>
      </w:pPr>
      <w:r>
        <w:t>Significance of the Study</w:t>
      </w:r>
    </w:p>
    <w:p w14:paraId="57CECFB8" w14:textId="26F47B83" w:rsidR="00900F4F" w:rsidRDefault="00900F4F" w:rsidP="00900F4F">
      <w:r>
        <w:tab/>
        <w:t xml:space="preserve">Human Activity Recognition (HAR) can improve elderly and special needs care by efficiently scaling out the visual coverage of medical facilities. Today, it is challenging to study </w:t>
      </w:r>
      <w:r>
        <w:lastRenderedPageBreak/>
        <w:t xml:space="preserve">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w:t>
      </w:r>
      <w:r w:rsidR="00133C11">
        <w:t>quickly expands the body of knowledge</w:t>
      </w:r>
      <w:r>
        <w:t>.</w:t>
      </w:r>
    </w:p>
    <w:p w14:paraId="7F5CD725" w14:textId="19AD5192"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00196079" w14:textId="4A96342F" w:rsidR="001720DE" w:rsidRDefault="001720DE" w:rsidP="001720DE">
      <w:pPr>
        <w:pStyle w:val="Heading2"/>
      </w:pPr>
      <w:r>
        <w:t>Definition of Key Terms</w:t>
      </w:r>
    </w:p>
    <w:p w14:paraId="39F8CDD0" w14:textId="16F0B825" w:rsidR="003B600B" w:rsidRDefault="00B915DD" w:rsidP="003B600B">
      <w:pPr>
        <w:pStyle w:val="Heading3"/>
      </w:pPr>
      <w:r>
        <w:t>Action space</w:t>
      </w:r>
      <w:r w:rsidR="003B600B">
        <w:t xml:space="preserve"> </w:t>
      </w:r>
    </w:p>
    <w:p w14:paraId="1ADD3F11" w14:textId="2BA3011F" w:rsidR="004F7459" w:rsidRPr="004F7459" w:rsidRDefault="003B600B" w:rsidP="003B600B">
      <w:pPr>
        <w:ind w:firstLine="720"/>
      </w:pPr>
      <w:r>
        <w:lastRenderedPageBreak/>
        <w:t>Action spaces are the discrete or continuous responses that a subject can perform</w:t>
      </w:r>
      <w:sdt>
        <w:sdtPr>
          <w:id w:val="-686906881"/>
          <w:citation/>
        </w:sdtPr>
        <w:sdtEndPr/>
        <w:sdtContent>
          <w:r>
            <w:fldChar w:fldCharType="begin"/>
          </w:r>
          <w:r>
            <w:instrText xml:space="preserve"> CITATION Lap18 \l 1033 </w:instrText>
          </w:r>
          <w:r>
            <w:fldChar w:fldCharType="separate"/>
          </w:r>
          <w:r>
            <w:rPr>
              <w:noProof/>
            </w:rPr>
            <w:t xml:space="preserve"> (Lapan, 2018)</w:t>
          </w:r>
          <w:r>
            <w:fldChar w:fldCharType="end"/>
          </w:r>
        </w:sdtContent>
      </w:sdt>
      <w:r>
        <w:t>. In the 1983 classic game, Mario Bros.</w:t>
      </w:r>
      <w:sdt>
        <w:sdtPr>
          <w:id w:val="-211891973"/>
          <w:citation/>
        </w:sdtPr>
        <w:sdtEndPr/>
        <w:sdtContent>
          <w:r>
            <w:fldChar w:fldCharType="begin"/>
          </w:r>
          <w:r>
            <w:instrText xml:space="preserve"> CITATION Wiknd \l 1033 </w:instrText>
          </w:r>
          <w:r>
            <w:fldChar w:fldCharType="separate"/>
          </w:r>
          <w:r>
            <w:rPr>
              <w:noProof/>
            </w:rPr>
            <w:t xml:space="preserve"> (Wikipedia, n.d.)</w:t>
          </w:r>
          <w:r>
            <w:fldChar w:fldCharType="end"/>
          </w:r>
        </w:sdtContent>
      </w:sdt>
      <w:r>
        <w:t>, the main character has an action space of moving left or right, jumping, and throwing a fireball.</w:t>
      </w:r>
      <w:r w:rsidR="004F7459">
        <w:tab/>
        <w:t xml:space="preserve"> </w:t>
      </w:r>
    </w:p>
    <w:p w14:paraId="7FE95503" w14:textId="345C57CD" w:rsidR="001720DE" w:rsidRDefault="00B915DD" w:rsidP="00B915DD">
      <w:pPr>
        <w:pStyle w:val="Heading3"/>
      </w:pPr>
      <w:r>
        <w:t>Artificial Intelligence/Machine Learning</w:t>
      </w:r>
      <w:r w:rsidR="00B86C63">
        <w:t xml:space="preserve"> (AI/ML)</w:t>
      </w:r>
    </w:p>
    <w:p w14:paraId="3D4DC34F" w14:textId="05317519" w:rsidR="008F725B" w:rsidRDefault="00B86C63" w:rsidP="004F7459">
      <w:r>
        <w:tab/>
        <w:t>AI/ML algorithms can generalize business rules from data for predicting outcomes to novel examples</w:t>
      </w:r>
      <w:sdt>
        <w:sdtPr>
          <w:id w:val="156884472"/>
          <w:citation/>
        </w:sdtPr>
        <w:sdtEndPr/>
        <w:sdtContent>
          <w:r>
            <w:fldChar w:fldCharType="begin"/>
          </w:r>
          <w:r>
            <w:instrText xml:space="preserve"> CITATION Buc05 \l 1033 </w:instrText>
          </w:r>
          <w:r>
            <w:fldChar w:fldCharType="separate"/>
          </w:r>
          <w:r>
            <w:rPr>
              <w:noProof/>
            </w:rPr>
            <w:t xml:space="preserve"> (Buchanan, 2005)</w:t>
          </w:r>
          <w:r>
            <w:fldChar w:fldCharType="end"/>
          </w:r>
        </w:sdtContent>
      </w:sdt>
      <w:r>
        <w:t>. This structure differs from traditional algorithms, which produce outputs (data) versus business rules.</w:t>
      </w:r>
    </w:p>
    <w:p w14:paraId="41B97815" w14:textId="77777777" w:rsidR="008F725B" w:rsidRDefault="008F725B">
      <w:pPr>
        <w:rPr>
          <w:b/>
          <w:bCs/>
          <w:i/>
          <w:iCs/>
        </w:rPr>
      </w:pPr>
      <w:r>
        <w:br w:type="page"/>
      </w:r>
    </w:p>
    <w:p w14:paraId="6AA752B6" w14:textId="5565E971" w:rsidR="004F7459" w:rsidRDefault="004F7459" w:rsidP="004F7459">
      <w:pPr>
        <w:pStyle w:val="Heading3"/>
      </w:pPr>
      <w:r>
        <w:lastRenderedPageBreak/>
        <w:t>Computer Vision (CV)</w:t>
      </w:r>
    </w:p>
    <w:p w14:paraId="098AFE4C" w14:textId="15FAC280" w:rsidR="004F7459" w:rsidRPr="004F7459" w:rsidRDefault="004F7459" w:rsidP="004F7459">
      <w:r>
        <w:tab/>
      </w:r>
      <w:r w:rsidR="00B86C63">
        <w:t>Computer (or machine) vision is a set of capabilities that extract information from 2D and 3D images</w:t>
      </w:r>
      <w:sdt>
        <w:sdtPr>
          <w:id w:val="-345791553"/>
          <w:citation/>
        </w:sdtPr>
        <w:sdtEndPr/>
        <w:sdtContent>
          <w:r w:rsidR="00B86C63">
            <w:fldChar w:fldCharType="begin"/>
          </w:r>
          <w:r w:rsidR="00B86C63">
            <w:instrText xml:space="preserve"> CITATION Hor17 \l 1033 </w:instrText>
          </w:r>
          <w:r w:rsidR="00B86C63">
            <w:fldChar w:fldCharType="separate"/>
          </w:r>
          <w:r w:rsidR="00B86C63">
            <w:rPr>
              <w:noProof/>
            </w:rPr>
            <w:t xml:space="preserve"> (Hornberg, 2017)</w:t>
          </w:r>
          <w:r w:rsidR="00B86C63">
            <w:fldChar w:fldCharType="end"/>
          </w:r>
        </w:sdtContent>
      </w:sdt>
      <w:r w:rsidR="00B86C63">
        <w:t>.</w:t>
      </w:r>
    </w:p>
    <w:p w14:paraId="3291CD77" w14:textId="36077A46" w:rsidR="00B915DD" w:rsidRDefault="00B915DD" w:rsidP="00B915DD">
      <w:pPr>
        <w:pStyle w:val="Heading3"/>
      </w:pPr>
      <w:r>
        <w:t>Convolutional Neural Network (CNN)</w:t>
      </w:r>
    </w:p>
    <w:p w14:paraId="57EAA90B" w14:textId="6BC01BBF" w:rsidR="004F7459" w:rsidRPr="004F7459" w:rsidRDefault="004F7459" w:rsidP="004F7459">
      <w:r>
        <w:tab/>
      </w:r>
      <w:r w:rsidR="00B86C63">
        <w:t>CNN algorithms are specialized DNN architectures that predict outcomes from image sources</w:t>
      </w:r>
      <w:sdt>
        <w:sdtPr>
          <w:id w:val="935178381"/>
          <w:citation/>
        </w:sdtPr>
        <w:sdtEndPr/>
        <w:sdtContent>
          <w:r w:rsidR="00B86C63">
            <w:fldChar w:fldCharType="begin"/>
          </w:r>
          <w:r w:rsidR="00B86C63">
            <w:instrText xml:space="preserve"> CITATION Ngu19 \l 1033 </w:instrText>
          </w:r>
          <w:r w:rsidR="00B86C63">
            <w:fldChar w:fldCharType="separate"/>
          </w:r>
          <w:r w:rsidR="00B86C63">
            <w:rPr>
              <w:noProof/>
            </w:rPr>
            <w:t xml:space="preserve"> (Nguyen, Huynh, Tran, &amp; Ngo, 2019)</w:t>
          </w:r>
          <w:r w:rsidR="00B86C63">
            <w:fldChar w:fldCharType="end"/>
          </w:r>
        </w:sdtContent>
      </w:sdt>
      <w:r w:rsidR="00B86C63">
        <w:t xml:space="preserve">. </w:t>
      </w:r>
    </w:p>
    <w:p w14:paraId="44DDAD09" w14:textId="2165A83B" w:rsidR="00B915DD" w:rsidRDefault="00B915DD" w:rsidP="00B915DD">
      <w:pPr>
        <w:pStyle w:val="Heading3"/>
      </w:pPr>
      <w:r>
        <w:t>Cyber-Physical Systems (CPS)</w:t>
      </w:r>
    </w:p>
    <w:p w14:paraId="53F3B167" w14:textId="79C850B7" w:rsidR="004F7459" w:rsidRPr="004F7459" w:rsidRDefault="004F7459" w:rsidP="004F7459">
      <w:r>
        <w:tab/>
      </w:r>
      <w:r w:rsidR="00B86C63">
        <w:t>Cyber-Physical Systems are network-programmable devices</w:t>
      </w:r>
      <w:r>
        <w:t xml:space="preserve"> </w:t>
      </w:r>
      <w:r w:rsidR="00B86C63">
        <w:t xml:space="preserve">that respond to digital messages through </w:t>
      </w:r>
      <w:r w:rsidR="00855D38">
        <w:t>embedded capabilities</w:t>
      </w:r>
      <w:sdt>
        <w:sdtPr>
          <w:id w:val="-1721429531"/>
          <w:citation/>
        </w:sdtPr>
        <w:sdtEndPr/>
        <w:sdtContent>
          <w:r w:rsidR="00B86C63">
            <w:fldChar w:fldCharType="begin"/>
          </w:r>
          <w:r w:rsidR="00B86C63">
            <w:instrText xml:space="preserve"> CITATION Agu201 \l 1033 </w:instrText>
          </w:r>
          <w:r w:rsidR="00B86C63">
            <w:fldChar w:fldCharType="separate"/>
          </w:r>
          <w:r w:rsidR="00B86C63">
            <w:rPr>
              <w:noProof/>
            </w:rPr>
            <w:t xml:space="preserve"> (Aguida, Ouchani, &amp; Benmalek, 2020)</w:t>
          </w:r>
          <w:r w:rsidR="00B86C63">
            <w:fldChar w:fldCharType="end"/>
          </w:r>
        </w:sdtContent>
      </w:sdt>
      <w:r w:rsidR="00B86C63">
        <w:t>.</w:t>
      </w:r>
      <w:r w:rsidR="00855D38">
        <w:t xml:space="preserve"> It is a subset of an Internet of Things (IoT) device.</w:t>
      </w:r>
    </w:p>
    <w:p w14:paraId="7DDDBAC9" w14:textId="1E570B74" w:rsidR="00B915DD" w:rsidRDefault="00B915DD" w:rsidP="00B915DD">
      <w:pPr>
        <w:pStyle w:val="Heading3"/>
      </w:pPr>
      <w:r>
        <w:t>Deep Neural Network (DNN)</w:t>
      </w:r>
    </w:p>
    <w:p w14:paraId="63F69704" w14:textId="20B851C9" w:rsidR="00B86C63" w:rsidRDefault="00B86C63" w:rsidP="004F7459">
      <w:r>
        <w:tab/>
        <w:t xml:space="preserve">Neural Networks map </w:t>
      </w:r>
      <w:r w:rsidR="004F7459">
        <w:t xml:space="preserve">a non-parametric function to a parametric function using a </w:t>
      </w:r>
      <w:r>
        <w:t xml:space="preserve">forward feeding </w:t>
      </w:r>
      <w:r w:rsidR="004F7459">
        <w:t xml:space="preserve">weighted </w:t>
      </w:r>
      <w:r>
        <w:t>graph</w:t>
      </w:r>
      <w:sdt>
        <w:sdtPr>
          <w:id w:val="-1719669099"/>
          <w:citation/>
        </w:sdtPr>
        <w:sdtEndPr/>
        <w:sdtContent>
          <w:r w:rsidR="004F7459">
            <w:fldChar w:fldCharType="begin"/>
          </w:r>
          <w:r w:rsidR="004F7459">
            <w:instrText xml:space="preserve"> CITATION Bro17 \l 1033 </w:instrText>
          </w:r>
          <w:r w:rsidR="004F7459">
            <w:fldChar w:fldCharType="separate"/>
          </w:r>
          <w:r w:rsidR="004F7459">
            <w:rPr>
              <w:noProof/>
            </w:rPr>
            <w:t xml:space="preserve"> (Brown &amp; White, 2017)</w:t>
          </w:r>
          <w:r w:rsidR="004F7459">
            <w:fldChar w:fldCharType="end"/>
          </w:r>
        </w:sdtContent>
      </w:sdt>
      <w:r w:rsidR="004F7459">
        <w:t>.</w:t>
      </w:r>
      <w:r>
        <w:t xml:space="preserve"> Sophisticated situations require an architecture with multiple internal mapping-to-mapping constructs (called hidden layers)</w:t>
      </w:r>
      <w:r w:rsidR="00855D38">
        <w:t xml:space="preserve">. These </w:t>
      </w:r>
      <w:r w:rsidR="00855D38">
        <w:rPr>
          <w:i/>
          <w:iCs/>
        </w:rPr>
        <w:t>deep</w:t>
      </w:r>
      <w:r w:rsidR="00855D38">
        <w:t xml:space="preserve"> networks gain specialization from the hidden</w:t>
      </w:r>
      <w:r>
        <w:t xml:space="preserve"> layer</w:t>
      </w:r>
      <w:r w:rsidR="00855D38">
        <w:t xml:space="preserve">s, such as predicting </w:t>
      </w:r>
      <w:r>
        <w:t>edges</w:t>
      </w:r>
      <w:r w:rsidR="00855D38">
        <w:t xml:space="preserve"> </w:t>
      </w:r>
      <w:r>
        <w:t>into figures into body parts</w:t>
      </w:r>
      <w:sdt>
        <w:sdtPr>
          <w:id w:val="-607127229"/>
          <w:citation/>
        </w:sdtPr>
        <w:sdtEndPr/>
        <w:sdtContent>
          <w:r w:rsidR="00855D38">
            <w:fldChar w:fldCharType="begin"/>
          </w:r>
          <w:r w:rsidR="00855D38">
            <w:instrText xml:space="preserve"> CITATION Fri173 \l 1033 </w:instrText>
          </w:r>
          <w:r w:rsidR="00855D38">
            <w:fldChar w:fldCharType="separate"/>
          </w:r>
          <w:r w:rsidR="00855D38">
            <w:rPr>
              <w:noProof/>
            </w:rPr>
            <w:t xml:space="preserve"> (Fridman, 2017)</w:t>
          </w:r>
          <w:r w:rsidR="00855D38">
            <w:fldChar w:fldCharType="end"/>
          </w:r>
        </w:sdtContent>
      </w:sdt>
      <w:r>
        <w:t>.</w:t>
      </w:r>
      <w:r w:rsidR="00855D38">
        <w:t xml:space="preserve"> </w:t>
      </w:r>
    </w:p>
    <w:p w14:paraId="09134B6E" w14:textId="11316EBE" w:rsidR="00B915DD" w:rsidRDefault="00B915DD" w:rsidP="00B915DD">
      <w:pPr>
        <w:pStyle w:val="Heading3"/>
      </w:pPr>
      <w:r>
        <w:t>Gazebo</w:t>
      </w:r>
    </w:p>
    <w:p w14:paraId="0CABAB48" w14:textId="23090905" w:rsidR="00855D38" w:rsidRDefault="00855D38" w:rsidP="004F7459">
      <w:r>
        <w:tab/>
        <w:t>The Gazebo framework is an open-source simulation process for assessing actors’ and robots’ performance through a physic engine</w:t>
      </w:r>
      <w:sdt>
        <w:sdtPr>
          <w:id w:val="1234037401"/>
          <w:citation/>
        </w:sdtPr>
        <w:sdtEndPr/>
        <w:sdtContent>
          <w:r>
            <w:fldChar w:fldCharType="begin"/>
          </w:r>
          <w:r>
            <w:instrText xml:space="preserve"> CITATION Bip18 \l 1033 </w:instrText>
          </w:r>
          <w:r>
            <w:fldChar w:fldCharType="separate"/>
          </w:r>
          <w:r>
            <w:rPr>
              <w:noProof/>
            </w:rPr>
            <w:t xml:space="preserve"> (Bipin, 2018)</w:t>
          </w:r>
          <w:r>
            <w:fldChar w:fldCharType="end"/>
          </w:r>
        </w:sdtContent>
      </w:sdt>
      <w:r>
        <w:t xml:space="preserve">. This application is a standard utility for many simulation workloads. </w:t>
      </w:r>
    </w:p>
    <w:p w14:paraId="77E04306" w14:textId="77777777" w:rsidR="008F725B" w:rsidRDefault="008F725B">
      <w:pPr>
        <w:rPr>
          <w:b/>
          <w:bCs/>
          <w:i/>
          <w:iCs/>
        </w:rPr>
      </w:pPr>
      <w:r>
        <w:br w:type="page"/>
      </w:r>
    </w:p>
    <w:p w14:paraId="584EE480" w14:textId="001D1CA3" w:rsidR="00B915DD" w:rsidRDefault="00B915DD" w:rsidP="00B915DD">
      <w:pPr>
        <w:pStyle w:val="Heading3"/>
      </w:pPr>
      <w:r>
        <w:lastRenderedPageBreak/>
        <w:t xml:space="preserve">Human </w:t>
      </w:r>
      <w:r w:rsidR="004F7459">
        <w:t>A</w:t>
      </w:r>
      <w:r>
        <w:t xml:space="preserve">ctivity </w:t>
      </w:r>
      <w:r w:rsidR="004F7459">
        <w:t>R</w:t>
      </w:r>
      <w:r>
        <w:t>ecognition</w:t>
      </w:r>
      <w:r w:rsidR="004F7459">
        <w:t xml:space="preserve"> (HAR)</w:t>
      </w:r>
    </w:p>
    <w:p w14:paraId="5DBAF31A" w14:textId="2EF13C46" w:rsidR="004F7459" w:rsidRPr="004F7459" w:rsidRDefault="004F7459" w:rsidP="004F7459">
      <w:r>
        <w:tab/>
        <w:t>HAR is the process of mapping specific human behaviors to known label</w:t>
      </w:r>
      <w:r w:rsidR="00855D38">
        <w:t>s</w:t>
      </w:r>
      <w:sdt>
        <w:sdtPr>
          <w:id w:val="410597476"/>
          <w:citation/>
        </w:sdtPr>
        <w:sdtEndPr/>
        <w:sdtContent>
          <w:r>
            <w:fldChar w:fldCharType="begin"/>
          </w:r>
          <w:r>
            <w:instrText xml:space="preserve"> CITATION Gor20 \l 1033 </w:instrText>
          </w:r>
          <w:r>
            <w:fldChar w:fldCharType="separate"/>
          </w:r>
          <w:r>
            <w:rPr>
              <w:noProof/>
            </w:rPr>
            <w:t xml:space="preserve"> (Gorgulu &amp; Tasdelen, 2020)</w:t>
          </w:r>
          <w:r>
            <w:fldChar w:fldCharType="end"/>
          </w:r>
        </w:sdtContent>
      </w:sdt>
      <w:r>
        <w:t>.</w:t>
      </w:r>
      <w:r w:rsidR="00855D38">
        <w:t xml:space="preserve"> It makes these predictions using CNN and RNN algorithms to evaluate changes in image data over time. </w:t>
      </w:r>
    </w:p>
    <w:p w14:paraId="35575B65" w14:textId="3F583495" w:rsidR="00B915DD" w:rsidRDefault="00B915DD" w:rsidP="00B915DD">
      <w:pPr>
        <w:pStyle w:val="Heading3"/>
      </w:pPr>
      <w:r>
        <w:t>Internet of Things (IoT) device</w:t>
      </w:r>
    </w:p>
    <w:p w14:paraId="35E60BF9" w14:textId="5566331C" w:rsidR="00855D38" w:rsidRPr="00855D38" w:rsidRDefault="00855D38" w:rsidP="00855D38">
      <w:pPr>
        <w:ind w:firstLine="720"/>
      </w:pPr>
      <w:r>
        <w:t>The Internet of Things (IoT) attempts to widen the interconnectivity of computers by interconnecting objects</w:t>
      </w:r>
      <w:sdt>
        <w:sdtPr>
          <w:id w:val="-1871438443"/>
          <w:citation/>
        </w:sdtPr>
        <w:sdtEndPr/>
        <w:sdtContent>
          <w:r>
            <w:fldChar w:fldCharType="begin"/>
          </w:r>
          <w:r>
            <w:instrText xml:space="preserve"> CITATION Com09 \l 1033 </w:instrText>
          </w:r>
          <w:r>
            <w:fldChar w:fldCharType="separate"/>
          </w:r>
          <w:r>
            <w:rPr>
              <w:noProof/>
            </w:rPr>
            <w:t xml:space="preserve"> (Commission of the European Communities, 2009)</w:t>
          </w:r>
          <w:r>
            <w:fldChar w:fldCharType="end"/>
          </w:r>
        </w:sdtContent>
      </w:sdt>
      <w:r>
        <w:t>. These objects expose sensors connected to web services to provide personalized data feeds.</w:t>
      </w:r>
    </w:p>
    <w:p w14:paraId="5E7D6C04" w14:textId="42E5E9CB" w:rsidR="00B915DD" w:rsidRDefault="00B915DD" w:rsidP="00B915DD">
      <w:pPr>
        <w:pStyle w:val="Heading3"/>
      </w:pPr>
      <w:r>
        <w:t>Motion capture (</w:t>
      </w:r>
      <w:proofErr w:type="spellStart"/>
      <w:r>
        <w:t>MoCap</w:t>
      </w:r>
      <w:proofErr w:type="spellEnd"/>
      <w:r>
        <w:t>)</w:t>
      </w:r>
    </w:p>
    <w:p w14:paraId="4727CF15" w14:textId="024DCDE9" w:rsidR="00855D38" w:rsidRPr="00855D38" w:rsidRDefault="00855D38" w:rsidP="00855D38">
      <w:r>
        <w:tab/>
        <w:t>Motion capture is a process that digitizes structural movement for film and television production</w:t>
      </w:r>
      <w:sdt>
        <w:sdtPr>
          <w:id w:val="-718659804"/>
          <w:citation/>
        </w:sdtPr>
        <w:sdtEndPr/>
        <w:sdtContent>
          <w:r>
            <w:fldChar w:fldCharType="begin"/>
          </w:r>
          <w:r>
            <w:instrText xml:space="preserve"> CITATION Gan20 \l 1033 </w:instrText>
          </w:r>
          <w:r>
            <w:fldChar w:fldCharType="separate"/>
          </w:r>
          <w:r>
            <w:rPr>
              <w:noProof/>
            </w:rPr>
            <w:t xml:space="preserve"> (Gan, Li, Wang, &amp; Zhang, 2020)</w:t>
          </w:r>
          <w:r>
            <w:fldChar w:fldCharType="end"/>
          </w:r>
        </w:sdtContent>
      </w:sdt>
      <w:r>
        <w:t>. Practitioners collect this information using tracking points on actors that perform specific behaviors (e.g., walking).</w:t>
      </w:r>
    </w:p>
    <w:p w14:paraId="30BEEE8C" w14:textId="7DE11E76" w:rsidR="00B915DD" w:rsidRDefault="00B915DD" w:rsidP="00B915DD">
      <w:pPr>
        <w:pStyle w:val="Heading3"/>
      </w:pPr>
      <w:r>
        <w:t>Recurrent Neural Network (RNN)</w:t>
      </w:r>
    </w:p>
    <w:p w14:paraId="405A8543" w14:textId="6177D54A" w:rsidR="00855D38" w:rsidRPr="00855D38" w:rsidRDefault="00855D38" w:rsidP="00855D38">
      <w:r>
        <w:tab/>
        <w:t>Recurrent Neural Networks specialize in making predictions on sequential data sets like natural language processing and time series</w:t>
      </w:r>
      <w:sdt>
        <w:sdtPr>
          <w:id w:val="-923794579"/>
          <w:citation/>
        </w:sdtPr>
        <w:sdtEndPr/>
        <w:sdtContent>
          <w:r>
            <w:fldChar w:fldCharType="begin"/>
          </w:r>
          <w:r>
            <w:instrText xml:space="preserve"> CITATION Boo201 \l 1033 </w:instrText>
          </w:r>
          <w:r>
            <w:fldChar w:fldCharType="separate"/>
          </w:r>
          <w:r>
            <w:rPr>
              <w:noProof/>
            </w:rPr>
            <w:t xml:space="preserve"> (Boorugu &amp; Ramesh, 2020)</w:t>
          </w:r>
          <w:r>
            <w:fldChar w:fldCharType="end"/>
          </w:r>
        </w:sdtContent>
      </w:sdt>
      <w:r>
        <w:t>.</w:t>
      </w:r>
    </w:p>
    <w:p w14:paraId="6CBE6D2E" w14:textId="4D3E6EF2" w:rsidR="00B915DD" w:rsidRDefault="00B915DD" w:rsidP="00B915DD">
      <w:pPr>
        <w:pStyle w:val="Heading3"/>
      </w:pPr>
      <w:proofErr w:type="gramStart"/>
      <w:r>
        <w:t>Red Green</w:t>
      </w:r>
      <w:proofErr w:type="gramEnd"/>
      <w:r>
        <w:t xml:space="preserve"> Blue and Depth (RGB+D) format</w:t>
      </w:r>
    </w:p>
    <w:p w14:paraId="6F330570" w14:textId="48BD4963" w:rsidR="00855D38" w:rsidRPr="00855D38" w:rsidRDefault="00855D38" w:rsidP="00855D38">
      <w:r>
        <w:tab/>
        <w:t>Microsoft Kinect and similar cameras encode image data with color and depth channels</w:t>
      </w:r>
      <w:sdt>
        <w:sdtPr>
          <w:id w:val="-655455866"/>
          <w:citation/>
        </w:sdtPr>
        <w:sdtEndPr/>
        <w:sdtContent>
          <w:r>
            <w:fldChar w:fldCharType="begin"/>
          </w:r>
          <w:r>
            <w:instrText xml:space="preserve"> CITATION Lit12 \l 1033 </w:instrText>
          </w:r>
          <w:r>
            <w:fldChar w:fldCharType="separate"/>
          </w:r>
          <w:r>
            <w:rPr>
              <w:noProof/>
            </w:rPr>
            <w:t xml:space="preserve"> (Litomisky, 2012)</w:t>
          </w:r>
          <w:r>
            <w:fldChar w:fldCharType="end"/>
          </w:r>
        </w:sdtContent>
      </w:sdt>
      <w:r>
        <w:t>. This additional depth channel simplifies actor movement tracking within 3D space.</w:t>
      </w:r>
    </w:p>
    <w:p w14:paraId="74B05423" w14:textId="7EFE474E" w:rsidR="00B915DD" w:rsidRDefault="00B915DD" w:rsidP="00B915DD">
      <w:pPr>
        <w:pStyle w:val="Heading3"/>
      </w:pPr>
      <w:r>
        <w:t>Robot Operating System (ROS)</w:t>
      </w:r>
    </w:p>
    <w:p w14:paraId="7C02861A" w14:textId="6E86BA68" w:rsidR="00855D38" w:rsidRPr="00855D38" w:rsidRDefault="00855D38" w:rsidP="00855D38">
      <w:r>
        <w:tab/>
        <w:t>ROS is a meta operating system that standardizes communication between heterogeneous agents</w:t>
      </w:r>
      <w:sdt>
        <w:sdtPr>
          <w:id w:val="1449652650"/>
          <w:citation/>
        </w:sdtPr>
        <w:sdtEndPr/>
        <w:sdtContent>
          <w:r>
            <w:fldChar w:fldCharType="begin"/>
          </w:r>
          <w:r>
            <w:instrText xml:space="preserve"> CITATION Bip18 \l 1033 </w:instrText>
          </w:r>
          <w:r>
            <w:fldChar w:fldCharType="separate"/>
          </w:r>
          <w:r>
            <w:rPr>
              <w:noProof/>
            </w:rPr>
            <w:t xml:space="preserve"> (Bipin, 2018)</w:t>
          </w:r>
          <w:r>
            <w:fldChar w:fldCharType="end"/>
          </w:r>
        </w:sdtContent>
      </w:sdt>
      <w:r>
        <w:t xml:space="preserve">. It exposes core shared services like agent state management, message passing constructs, connectivity to simulated processes, and interfaces for physical hardware. </w:t>
      </w:r>
    </w:p>
    <w:p w14:paraId="79A04934" w14:textId="4D5F90B9" w:rsidR="005D6444" w:rsidRDefault="005D6444" w:rsidP="005D6444">
      <w:pPr>
        <w:pStyle w:val="Heading3"/>
      </w:pPr>
      <w:r>
        <w:lastRenderedPageBreak/>
        <w:t>Unreal Engine</w:t>
      </w:r>
    </w:p>
    <w:p w14:paraId="7CD206D8" w14:textId="034083EA" w:rsidR="00D840AF" w:rsidRDefault="00D840AF" w:rsidP="008F725B">
      <w:r>
        <w:tab/>
        <w:t>UE is an extensive content creation suite with numerous agent simulation capabilities</w:t>
      </w:r>
      <w:sdt>
        <w:sdtPr>
          <w:id w:val="990295402"/>
          <w:citation/>
        </w:sdtPr>
        <w:sdtEndPr/>
        <w:sdtContent>
          <w:r>
            <w:fldChar w:fldCharType="begin"/>
          </w:r>
          <w:r>
            <w:instrText xml:space="preserve"> CITATION Unr22 \l 1033 </w:instrText>
          </w:r>
          <w:r>
            <w:fldChar w:fldCharType="separate"/>
          </w:r>
          <w:r>
            <w:rPr>
              <w:noProof/>
            </w:rPr>
            <w:t xml:space="preserve"> (Unreal Engine, 2022)</w:t>
          </w:r>
          <w:r>
            <w:fldChar w:fldCharType="end"/>
          </w:r>
        </w:sdtContent>
      </w:sdt>
      <w:r>
        <w:t xml:space="preserve">. It exposes features for realistic physics and dynamic world modification. </w:t>
      </w:r>
    </w:p>
    <w:p w14:paraId="0275927A" w14:textId="258BBCAD" w:rsidR="00B915DD" w:rsidRDefault="00B915DD" w:rsidP="00B915DD">
      <w:pPr>
        <w:pStyle w:val="Heading3"/>
      </w:pPr>
      <w:r>
        <w:t>World</w:t>
      </w:r>
    </w:p>
    <w:p w14:paraId="3DA1EDBC" w14:textId="5D116A05" w:rsidR="00D840AF" w:rsidRPr="00D840AF" w:rsidRDefault="00D840AF" w:rsidP="00D840AF">
      <w:r>
        <w:tab/>
        <w:t>A world refers to the virtual simulation process that contains the various actors and inanimate objects within the test</w:t>
      </w:r>
      <w:sdt>
        <w:sdtPr>
          <w:id w:val="-1226529480"/>
          <w:citation/>
        </w:sdtPr>
        <w:sdtEndPr/>
        <w:sdtContent>
          <w:r>
            <w:fldChar w:fldCharType="begin"/>
          </w:r>
          <w:r>
            <w:instrText xml:space="preserve"> CITATION Bip18 \l 1033 </w:instrText>
          </w:r>
          <w:r>
            <w:fldChar w:fldCharType="separate"/>
          </w:r>
          <w:r>
            <w:rPr>
              <w:noProof/>
            </w:rPr>
            <w:t xml:space="preserve"> (Bipin, 2018)</w:t>
          </w:r>
          <w:r>
            <w:fldChar w:fldCharType="end"/>
          </w:r>
        </w:sdtContent>
      </w:sdt>
      <w:r>
        <w:t>. Some game theory articles also refer to this construct as a “level.”</w:t>
      </w:r>
    </w:p>
    <w:p w14:paraId="0CCA9E82" w14:textId="17E9325A" w:rsidR="001720DE" w:rsidRDefault="001720DE" w:rsidP="001720DE">
      <w:pPr>
        <w:pStyle w:val="Heading2"/>
      </w:pPr>
      <w:r>
        <w:t>Summary</w:t>
      </w:r>
    </w:p>
    <w:p w14:paraId="49190F7E" w14:textId="19F973DB" w:rsidR="00B211A8" w:rsidRDefault="008F725B" w:rsidP="008F725B">
      <w:r>
        <w:tab/>
        <w:t xml:space="preserve">This chapter introduced the central problem statement that researchers need to study privacy-sensitive contexts like in-home monitoring of elderly and special needs patients. Those researchers encounter challenges spanning personal privacy, logistical, </w:t>
      </w:r>
      <w:proofErr w:type="gramStart"/>
      <w:r>
        <w:t>sufficient</w:t>
      </w:r>
      <w:proofErr w:type="gramEnd"/>
      <w:r>
        <w:t xml:space="preserve"> and diverse representation, and costs, among other entry barriers. After mitigating these issues, the research results are difficult and expensive to reproduce.</w:t>
      </w:r>
    </w:p>
    <w:p w14:paraId="63894FD8" w14:textId="54B2E807" w:rsidR="00B211A8" w:rsidRDefault="008F725B" w:rsidP="00B211A8">
      <w:pPr>
        <w:ind w:firstLine="720"/>
      </w:pPr>
      <w:r>
        <w:t xml:space="preserve">The </w:t>
      </w:r>
      <w:r w:rsidR="00FB4CDA">
        <w:t xml:space="preserve">constructive research </w:t>
      </w:r>
      <w:r>
        <w:t xml:space="preserve">study proposes reducing these </w:t>
      </w:r>
      <w:r w:rsidR="00B211A8">
        <w:t>barriers</w:t>
      </w:r>
      <w:r>
        <w:t xml:space="preserve"> through a simulation process</w:t>
      </w:r>
      <w:r w:rsidR="00B211A8">
        <w:t xml:space="preserve">. It implements these capabilities using open-source software and existing </w:t>
      </w:r>
      <w:proofErr w:type="spellStart"/>
      <w:r w:rsidR="00B211A8">
        <w:t>MoCAP</w:t>
      </w:r>
      <w:proofErr w:type="spellEnd"/>
      <w:r w:rsidR="00B211A8">
        <w:t xml:space="preserve"> recordings. </w:t>
      </w:r>
      <w:r w:rsidR="00133C11">
        <w:t>Researchers can position humanoid actors inside a virtual world</w:t>
      </w:r>
      <w:r w:rsidR="00B211A8">
        <w:t xml:space="preserve"> that perform</w:t>
      </w:r>
      <w:r w:rsidR="00133C11">
        <w:t>s</w:t>
      </w:r>
      <w:r w:rsidR="00B211A8">
        <w:t xml:space="preserve"> animation sequences under differential physical configurations</w:t>
      </w:r>
      <w:r w:rsidR="00FB4CDA">
        <w:t xml:space="preserve"> (e.g., weight and height)</w:t>
      </w:r>
      <w:r w:rsidR="00B211A8">
        <w:t xml:space="preserve">. Next, the study demonstrates this approach by assessing an AI/ML and CV algorithm’s ability to perform HAR tasks. These predictions control CPS systems within the world </w:t>
      </w:r>
      <w:proofErr w:type="gramStart"/>
      <w:r w:rsidR="00B211A8">
        <w:t>and also</w:t>
      </w:r>
      <w:proofErr w:type="gramEnd"/>
      <w:r w:rsidR="00B211A8">
        <w:t xml:space="preserve"> validate algorithmic performance.</w:t>
      </w:r>
    </w:p>
    <w:p w14:paraId="5E2999AD" w14:textId="7CF96A85" w:rsidR="00A92117" w:rsidRDefault="00A92117">
      <w:r>
        <w:br w:type="page"/>
      </w:r>
    </w:p>
    <w:sdt>
      <w:sdtPr>
        <w:rPr>
          <w:b w:val="0"/>
        </w:rPr>
        <w:id w:val="-1430813649"/>
        <w:docPartObj>
          <w:docPartGallery w:val="Bibliographies"/>
          <w:docPartUnique/>
        </w:docPartObj>
      </w:sdtPr>
      <w:sdtEndPr/>
      <w:sdtContent>
        <w:p w14:paraId="16825B16" w14:textId="579DA1FA" w:rsidR="00A92117" w:rsidRPr="00A92117" w:rsidRDefault="00A92117">
          <w:pPr>
            <w:pStyle w:val="Heading1"/>
            <w:rPr>
              <w:b w:val="0"/>
              <w:bCs/>
            </w:rPr>
          </w:pPr>
          <w:r w:rsidRPr="00A92117">
            <w:rPr>
              <w:b w:val="0"/>
              <w:bCs/>
            </w:rPr>
            <w:t>References</w:t>
          </w:r>
        </w:p>
        <w:sdt>
          <w:sdtPr>
            <w:id w:val="-573587230"/>
            <w:bibliography/>
          </w:sdtPr>
          <w:sdtEndPr/>
          <w:sdtContent>
            <w:p w14:paraId="5F93BD7E" w14:textId="77777777" w:rsidR="00A92117" w:rsidRDefault="00A92117" w:rsidP="00A92117">
              <w:pPr>
                <w:pStyle w:val="Bibliography"/>
                <w:ind w:left="720" w:hanging="720"/>
                <w:rPr>
                  <w:noProof/>
                </w:rPr>
              </w:pPr>
              <w:r>
                <w:fldChar w:fldCharType="begin"/>
              </w:r>
              <w:r>
                <w:instrText xml:space="preserve"> BIBLIOGRAPHY </w:instrText>
              </w:r>
              <w:r>
                <w:fldChar w:fldCharType="separate"/>
              </w:r>
              <w:r>
                <w:rPr>
                  <w:noProof/>
                </w:rPr>
                <w:t xml:space="preserve">Aguida, M., Ouchani, S., &amp; Benmalek, M. (2020). A review on cyber-physical systems. </w:t>
              </w:r>
              <w:r>
                <w:rPr>
                  <w:i/>
                  <w:iCs/>
                  <w:noProof/>
                </w:rPr>
                <w:t>International Conference on Enabling Technologies</w:t>
              </w:r>
              <w:r>
                <w:rPr>
                  <w:noProof/>
                </w:rPr>
                <w:t xml:space="preserve"> (pp. 275-278). Basque Coast, Bayonne; France: IEEE. doi:https://doi.org/10.1109/WETICE49692.2020.00060</w:t>
              </w:r>
            </w:p>
            <w:p w14:paraId="41D96729" w14:textId="77777777" w:rsidR="00A92117" w:rsidRDefault="00A92117" w:rsidP="00A92117">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4C57684F" w14:textId="38B3A1AC" w:rsidR="00A92117" w:rsidRDefault="00A92117" w:rsidP="00A92117">
              <w:pPr>
                <w:pStyle w:val="Bibliography"/>
                <w:ind w:left="720" w:hanging="720"/>
                <w:rPr>
                  <w:noProof/>
                </w:rPr>
              </w:pPr>
              <w:r>
                <w:rPr>
                  <w:noProof/>
                </w:rPr>
                <w:t xml:space="preserve">Boorugu, R., &amp; Ramesh, G. (2020). A survey on NLP-based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5049856D" w14:textId="77777777" w:rsidR="00A92117" w:rsidRDefault="00A92117" w:rsidP="00A92117">
              <w:pPr>
                <w:pStyle w:val="Bibliography"/>
                <w:ind w:left="720" w:hanging="720"/>
                <w:rPr>
                  <w:noProof/>
                </w:rPr>
              </w:pPr>
              <w:r>
                <w:rPr>
                  <w:noProof/>
                </w:rPr>
                <w:t xml:space="preserve">Brown, G., &amp; White, E. (2017). An Investigation of Nonparametric DATA MINING TECHNIQUES for Acquisition Cost Estimating. </w:t>
              </w:r>
              <w:r>
                <w:rPr>
                  <w:i/>
                  <w:iCs/>
                  <w:noProof/>
                </w:rPr>
                <w:t>Defense Acquisition Research Journal, 24</w:t>
              </w:r>
              <w:r>
                <w:rPr>
                  <w:noProof/>
                </w:rPr>
                <w:t>(2), 302-332. doi:https://doi.org/10.22594/dau.16756.24.02</w:t>
              </w:r>
            </w:p>
            <w:p w14:paraId="2F908190" w14:textId="77777777" w:rsidR="00A92117" w:rsidRDefault="00A92117" w:rsidP="00A9211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55C7386B" w14:textId="5E4E1AED" w:rsidR="00A92117" w:rsidRDefault="00A92117" w:rsidP="00A92117">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56CC492C" w14:textId="77777777" w:rsidR="00A92117" w:rsidRDefault="00A92117" w:rsidP="00A92117">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761FF0D3" w14:textId="77777777" w:rsidR="00A92117" w:rsidRDefault="00A92117" w:rsidP="00A92117">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4266D8AC" w14:textId="756BCEF6" w:rsidR="00A92117" w:rsidRDefault="00A92117" w:rsidP="00A92117">
              <w:pPr>
                <w:pStyle w:val="Bibliography"/>
                <w:ind w:left="720" w:hanging="720"/>
                <w:rPr>
                  <w:noProof/>
                </w:rPr>
              </w:pPr>
              <w:r>
                <w:rPr>
                  <w:noProof/>
                </w:rPr>
                <w:lastRenderedPageBreak/>
                <w:t xml:space="preserve">Fridman. (2017, January 16). </w:t>
              </w:r>
              <w:r>
                <w:rPr>
                  <w:i/>
                  <w:iCs/>
                  <w:noProof/>
                </w:rPr>
                <w:t>MIT 6.S094: Introduction to deep learning and self-driving cars</w:t>
              </w:r>
              <w:r>
                <w:rPr>
                  <w:noProof/>
                </w:rPr>
                <w:t>. Retrieved from YouTube: https://www.youtube.com/watch?v=1L0TKZQcUtA</w:t>
              </w:r>
            </w:p>
            <w:p w14:paraId="7E93086F" w14:textId="43EF9D8A" w:rsidR="00A92117" w:rsidRDefault="00A92117" w:rsidP="00A92117">
              <w:pPr>
                <w:pStyle w:val="Bibliography"/>
                <w:ind w:left="720" w:hanging="720"/>
                <w:rPr>
                  <w:noProof/>
                </w:rPr>
              </w:pPr>
              <w:r>
                <w:rPr>
                  <w:noProof/>
                </w:rPr>
                <w:t xml:space="preserve">Gan, Q., Li, Y., Wang, G., &amp; Zhang, Y. (2020). Application research of optical tracking point layout in computer motion capture technology. </w:t>
              </w:r>
              <w:r>
                <w:rPr>
                  <w:i/>
                  <w:iCs/>
                  <w:noProof/>
                </w:rPr>
                <w:t>International Conference on Innovation Design and Digital Technology</w:t>
              </w:r>
              <w:r>
                <w:rPr>
                  <w:noProof/>
                </w:rPr>
                <w:t xml:space="preserve"> (pp. 548-552). Zhenjiang, China: IEEE. doi:10.1109/ICIDDT52279.2020.00109</w:t>
              </w:r>
            </w:p>
            <w:p w14:paraId="69B7953D" w14:textId="5A1AA09C" w:rsidR="00A92117" w:rsidRDefault="00A92117" w:rsidP="00A92117">
              <w:pPr>
                <w:pStyle w:val="Bibliography"/>
                <w:ind w:left="720" w:hanging="720"/>
                <w:rPr>
                  <w:noProof/>
                </w:rPr>
              </w:pPr>
              <w:r>
                <w:rPr>
                  <w:noProof/>
                </w:rPr>
                <w:t xml:space="preserve">Gorgulu, Y., &amp; Tasdelen, K. (2020). Human activity recognition and temporal action localization based on depth sensor skeletal data. </w:t>
              </w:r>
              <w:r>
                <w:rPr>
                  <w:i/>
                  <w:iCs/>
                  <w:noProof/>
                </w:rPr>
                <w:t>Innovations in Intelligent Systems and Applications Conference</w:t>
              </w:r>
              <w:r>
                <w:rPr>
                  <w:noProof/>
                </w:rPr>
                <w:t xml:space="preserve"> (pp. 1-5). Istanbul, Turkey: IEEE. doi:https://doi-org.proxy1.ncu.edu/10.1109/ASYU50717.2020.9259886</w:t>
              </w:r>
            </w:p>
            <w:p w14:paraId="42E53C5F" w14:textId="77777777" w:rsidR="00A92117" w:rsidRDefault="00A92117" w:rsidP="00A9211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F49E1F9" w14:textId="77777777" w:rsidR="00A92117" w:rsidRDefault="00A92117" w:rsidP="00A92117">
              <w:pPr>
                <w:pStyle w:val="Bibliography"/>
                <w:ind w:left="720" w:hanging="720"/>
                <w:rPr>
                  <w:noProof/>
                </w:rPr>
              </w:pPr>
              <w:r>
                <w:rPr>
                  <w:noProof/>
                </w:rPr>
                <w:t xml:space="preserve">Hornberg, A. (2017). </w:t>
              </w:r>
              <w:r>
                <w:rPr>
                  <w:i/>
                  <w:iCs/>
                  <w:noProof/>
                </w:rPr>
                <w:t>Handbook of machine and computer vision.</w:t>
              </w:r>
              <w:r>
                <w:rPr>
                  <w:noProof/>
                </w:rPr>
                <w:t xml:space="preserve"> John Wiley &amp; Sons, Incorporated.</w:t>
              </w:r>
            </w:p>
            <w:p w14:paraId="006F0905" w14:textId="77777777" w:rsidR="00A92117" w:rsidRDefault="00A92117" w:rsidP="00A92117">
              <w:pPr>
                <w:pStyle w:val="Bibliography"/>
                <w:ind w:left="720" w:hanging="720"/>
                <w:rPr>
                  <w:noProof/>
                </w:rPr>
              </w:pPr>
              <w:r>
                <w:rPr>
                  <w:noProof/>
                </w:rPr>
                <w:t xml:space="preserve">Lapan, M. (2018). </w:t>
              </w:r>
              <w:r>
                <w:rPr>
                  <w:i/>
                  <w:iCs/>
                  <w:noProof/>
                </w:rPr>
                <w:t>Deep Reinforcement Learning Hands-on.</w:t>
              </w:r>
              <w:r>
                <w:rPr>
                  <w:noProof/>
                </w:rPr>
                <w:t xml:space="preserve"> Packt.</w:t>
              </w:r>
            </w:p>
            <w:p w14:paraId="3EB9A629" w14:textId="77777777" w:rsidR="00A92117" w:rsidRDefault="00A92117" w:rsidP="00A92117">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3284637" w14:textId="77777777" w:rsidR="00A92117" w:rsidRDefault="00A92117" w:rsidP="00A92117">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6B1A90AF" w14:textId="4A906C32" w:rsidR="00A92117" w:rsidRDefault="00A92117" w:rsidP="00A92117">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752D6835" w14:textId="33A4F2ED" w:rsidR="00A92117" w:rsidRDefault="00A92117" w:rsidP="00A92117">
              <w:pPr>
                <w:pStyle w:val="Bibliography"/>
                <w:ind w:left="720" w:hanging="720"/>
                <w:rPr>
                  <w:noProof/>
                </w:rPr>
              </w:pPr>
              <w:r>
                <w:rPr>
                  <w:noProof/>
                </w:rPr>
                <w:lastRenderedPageBreak/>
                <w:t xml:space="preserve">Nguyen, M., Huynh, N., Tran, D., &amp; Ngo, H. (2019). Face recognition applied for smart homes using SoC. </w:t>
              </w:r>
              <w:r>
                <w:rPr>
                  <w:i/>
                  <w:iCs/>
                  <w:noProof/>
                </w:rPr>
                <w:t>Advanced Computing and Applications</w:t>
              </w:r>
              <w:r>
                <w:rPr>
                  <w:noProof/>
                </w:rPr>
                <w:t xml:space="preserve"> (pp. 165-170). Nha Trang, Vietnam: IEEE. doi:https://doi-org.proxy1.ncu.edu/10.1109/ACOMP.2019.00033</w:t>
              </w:r>
            </w:p>
            <w:p w14:paraId="6A03A2FA" w14:textId="77777777" w:rsidR="00A92117" w:rsidRDefault="00A92117" w:rsidP="00A92117">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2890360D" w14:textId="77777777" w:rsidR="00A92117" w:rsidRDefault="00A92117" w:rsidP="00A92117">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3F765369" w14:textId="77777777" w:rsidR="00A92117" w:rsidRDefault="00A92117" w:rsidP="00A92117">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396AAFF2" w14:textId="77777777" w:rsidR="00A92117" w:rsidRDefault="00A92117" w:rsidP="00A92117">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4CECB7B9" w14:textId="77777777" w:rsidR="00A92117" w:rsidRDefault="00A92117" w:rsidP="00A92117">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05101C2" w14:textId="77777777" w:rsidR="00A92117" w:rsidRDefault="00A92117" w:rsidP="00A92117">
              <w:pPr>
                <w:pStyle w:val="Bibliography"/>
                <w:ind w:left="720" w:hanging="720"/>
                <w:rPr>
                  <w:noProof/>
                </w:rPr>
              </w:pPr>
              <w:r>
                <w:rPr>
                  <w:noProof/>
                </w:rPr>
                <w:t xml:space="preserve">Wikipedia. (n.d.). </w:t>
              </w:r>
              <w:r>
                <w:rPr>
                  <w:i/>
                  <w:iCs/>
                  <w:noProof/>
                </w:rPr>
                <w:t>Mario Bros.</w:t>
              </w:r>
              <w:r>
                <w:rPr>
                  <w:noProof/>
                </w:rPr>
                <w:t xml:space="preserve"> Retrieved from Wikipedia: https://en.wikipedia.org/wiki/Mario_Bros.</w:t>
              </w:r>
            </w:p>
            <w:p w14:paraId="21ED17E9" w14:textId="21BC8095" w:rsidR="00A92117" w:rsidRDefault="00A92117" w:rsidP="00A92117">
              <w:r>
                <w:rPr>
                  <w:b/>
                  <w:bCs/>
                  <w:noProof/>
                </w:rPr>
                <w:fldChar w:fldCharType="end"/>
              </w:r>
            </w:p>
          </w:sdtContent>
        </w:sdt>
      </w:sdtContent>
    </w:sdt>
    <w:p w14:paraId="07786702" w14:textId="77777777" w:rsidR="00A92117" w:rsidRDefault="00A92117" w:rsidP="00A92117"/>
    <w:sectPr w:rsidR="00A92117"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95943" w14:textId="77777777" w:rsidR="007F6C65" w:rsidRDefault="007F6C65" w:rsidP="0082223F">
      <w:pPr>
        <w:spacing w:line="240" w:lineRule="auto"/>
      </w:pPr>
      <w:r>
        <w:separator/>
      </w:r>
    </w:p>
  </w:endnote>
  <w:endnote w:type="continuationSeparator" w:id="0">
    <w:p w14:paraId="0D4DF537" w14:textId="77777777" w:rsidR="007F6C65" w:rsidRDefault="007F6C6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4C708" w14:textId="77777777" w:rsidR="007F6C65" w:rsidRDefault="007F6C65" w:rsidP="0082223F">
      <w:pPr>
        <w:spacing w:line="240" w:lineRule="auto"/>
      </w:pPr>
      <w:r>
        <w:separator/>
      </w:r>
    </w:p>
  </w:footnote>
  <w:footnote w:type="continuationSeparator" w:id="0">
    <w:p w14:paraId="173F6B5C" w14:textId="77777777" w:rsidR="007F6C65" w:rsidRDefault="007F6C6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9547A"/>
    <w:rsid w:val="00133C11"/>
    <w:rsid w:val="00164093"/>
    <w:rsid w:val="001720DE"/>
    <w:rsid w:val="00183597"/>
    <w:rsid w:val="00194DEA"/>
    <w:rsid w:val="001B27C4"/>
    <w:rsid w:val="002516A9"/>
    <w:rsid w:val="002806B7"/>
    <w:rsid w:val="002F2E59"/>
    <w:rsid w:val="00345E7B"/>
    <w:rsid w:val="00383672"/>
    <w:rsid w:val="003B600B"/>
    <w:rsid w:val="003E4E78"/>
    <w:rsid w:val="003F4714"/>
    <w:rsid w:val="00401D65"/>
    <w:rsid w:val="004223E8"/>
    <w:rsid w:val="00424108"/>
    <w:rsid w:val="00486434"/>
    <w:rsid w:val="004A052A"/>
    <w:rsid w:val="004A784B"/>
    <w:rsid w:val="004A7B81"/>
    <w:rsid w:val="004F7459"/>
    <w:rsid w:val="00577F51"/>
    <w:rsid w:val="005B7079"/>
    <w:rsid w:val="005C39BA"/>
    <w:rsid w:val="005D6444"/>
    <w:rsid w:val="00621BAC"/>
    <w:rsid w:val="00633A1F"/>
    <w:rsid w:val="00645784"/>
    <w:rsid w:val="00691DB9"/>
    <w:rsid w:val="006B6D1F"/>
    <w:rsid w:val="006D793E"/>
    <w:rsid w:val="0073677D"/>
    <w:rsid w:val="007F6C65"/>
    <w:rsid w:val="0082223F"/>
    <w:rsid w:val="00842BDF"/>
    <w:rsid w:val="00855D38"/>
    <w:rsid w:val="00877007"/>
    <w:rsid w:val="008B5129"/>
    <w:rsid w:val="008F725B"/>
    <w:rsid w:val="00900F4F"/>
    <w:rsid w:val="009A757D"/>
    <w:rsid w:val="009E3C4D"/>
    <w:rsid w:val="00A423F8"/>
    <w:rsid w:val="00A92117"/>
    <w:rsid w:val="00B13ADF"/>
    <w:rsid w:val="00B211A8"/>
    <w:rsid w:val="00B83595"/>
    <w:rsid w:val="00B86C63"/>
    <w:rsid w:val="00B915DD"/>
    <w:rsid w:val="00C27B16"/>
    <w:rsid w:val="00C54DC8"/>
    <w:rsid w:val="00C55D2E"/>
    <w:rsid w:val="00C618C3"/>
    <w:rsid w:val="00C73692"/>
    <w:rsid w:val="00C93BB7"/>
    <w:rsid w:val="00CB25E9"/>
    <w:rsid w:val="00D0165E"/>
    <w:rsid w:val="00D75C7B"/>
    <w:rsid w:val="00D840AF"/>
    <w:rsid w:val="00D85C7B"/>
    <w:rsid w:val="00DE2224"/>
    <w:rsid w:val="00E234E9"/>
    <w:rsid w:val="00E853DA"/>
    <w:rsid w:val="00ED3713"/>
    <w:rsid w:val="00F405A5"/>
    <w:rsid w:val="00FB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2E"/>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100616537">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444689187">
      <w:bodyDiv w:val="1"/>
      <w:marLeft w:val="0"/>
      <w:marRight w:val="0"/>
      <w:marTop w:val="0"/>
      <w:marBottom w:val="0"/>
      <w:divBdr>
        <w:top w:val="none" w:sz="0" w:space="0" w:color="auto"/>
        <w:left w:val="none" w:sz="0" w:space="0" w:color="auto"/>
        <w:bottom w:val="none" w:sz="0" w:space="0" w:color="auto"/>
        <w:right w:val="none" w:sz="0" w:space="0" w:color="auto"/>
      </w:divBdr>
    </w:div>
    <w:div w:id="532309715">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799421851">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873343603">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09865128">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083529744">
      <w:bodyDiv w:val="1"/>
      <w:marLeft w:val="0"/>
      <w:marRight w:val="0"/>
      <w:marTop w:val="0"/>
      <w:marBottom w:val="0"/>
      <w:divBdr>
        <w:top w:val="none" w:sz="0" w:space="0" w:color="auto"/>
        <w:left w:val="none" w:sz="0" w:space="0" w:color="auto"/>
        <w:bottom w:val="none" w:sz="0" w:space="0" w:color="auto"/>
        <w:right w:val="none" w:sz="0" w:space="0" w:color="auto"/>
      </w:divBdr>
    </w:div>
    <w:div w:id="1129543538">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299533109">
      <w:bodyDiv w:val="1"/>
      <w:marLeft w:val="0"/>
      <w:marRight w:val="0"/>
      <w:marTop w:val="0"/>
      <w:marBottom w:val="0"/>
      <w:divBdr>
        <w:top w:val="none" w:sz="0" w:space="0" w:color="auto"/>
        <w:left w:val="none" w:sz="0" w:space="0" w:color="auto"/>
        <w:bottom w:val="none" w:sz="0" w:space="0" w:color="auto"/>
        <w:right w:val="none" w:sz="0" w:space="0" w:color="auto"/>
      </w:divBdr>
    </w:div>
    <w:div w:id="1423524887">
      <w:bodyDiv w:val="1"/>
      <w:marLeft w:val="0"/>
      <w:marRight w:val="0"/>
      <w:marTop w:val="0"/>
      <w:marBottom w:val="0"/>
      <w:divBdr>
        <w:top w:val="none" w:sz="0" w:space="0" w:color="auto"/>
        <w:left w:val="none" w:sz="0" w:space="0" w:color="auto"/>
        <w:bottom w:val="none" w:sz="0" w:space="0" w:color="auto"/>
        <w:right w:val="none" w:sz="0" w:space="0" w:color="auto"/>
      </w:divBdr>
    </w:div>
    <w:div w:id="1513177777">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781953613">
      <w:bodyDiv w:val="1"/>
      <w:marLeft w:val="0"/>
      <w:marRight w:val="0"/>
      <w:marTop w:val="0"/>
      <w:marBottom w:val="0"/>
      <w:divBdr>
        <w:top w:val="none" w:sz="0" w:space="0" w:color="auto"/>
        <w:left w:val="none" w:sz="0" w:space="0" w:color="auto"/>
        <w:bottom w:val="none" w:sz="0" w:space="0" w:color="auto"/>
        <w:right w:val="none" w:sz="0" w:space="0" w:color="auto"/>
      </w:divBdr>
    </w:div>
    <w:div w:id="1862280757">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007827876">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28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12</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19</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21</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22</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29</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30</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13</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14</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15</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16</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17</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18</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20</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23</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24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25</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26</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27</b:RefOrder>
  </b:Source>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5</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6</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7</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8</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9</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10</b:RefOrder>
  </b:Source>
</b:Sources>
</file>

<file path=customXml/itemProps1.xml><?xml version="1.0" encoding="utf-8"?>
<ds:datastoreItem xmlns:ds="http://schemas.openxmlformats.org/officeDocument/2006/customXml" ds:itemID="{B482F9A2-0059-45D7-825D-8626C4458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2628</TotalTime>
  <Pages>16</Pages>
  <Words>3479</Words>
  <Characters>19833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53</cp:revision>
  <dcterms:created xsi:type="dcterms:W3CDTF">2019-05-19T17:38:00Z</dcterms:created>
  <dcterms:modified xsi:type="dcterms:W3CDTF">2022-02-13T17:34:00Z</dcterms:modified>
</cp:coreProperties>
</file>