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F33D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2AC9C01B" w:rsidR="0084208B" w:rsidRPr="0084208B" w:rsidRDefault="0084208B" w:rsidP="0084208B">
      <w:pPr>
        <w:rPr>
          <w:i/>
          <w:iCs/>
        </w:rPr>
      </w:pPr>
      <w:r>
        <w:tab/>
      </w:r>
      <w:r>
        <w:rPr>
          <w:i/>
          <w:iCs/>
        </w:rPr>
        <w:t>Write an introduction and chapter outcomes here.</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02F42EAC"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1779D5">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1779D5">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1779D5">
            <w:rPr>
              <w:noProof/>
            </w:rPr>
            <w:t xml:space="preserve"> (Phua, 2021)</w:t>
          </w:r>
          <w:r>
            <w:fldChar w:fldCharType="end"/>
          </w:r>
        </w:sdtContent>
      </w:sdt>
      <w:r>
        <w:t>. Domestic programs like Veterans Health Administration (V</w:t>
      </w:r>
      <w:r w:rsidR="002B0D4E">
        <w:t>.H.A.</w:t>
      </w:r>
      <w:r>
        <w:t xml:space="preserve">) and Medicare are not immune to these economic limits (Lei et al., 2021). Businesses and governments </w:t>
      </w:r>
      <w:r w:rsidR="001779D5">
        <w:t>must</w:t>
      </w:r>
      <w:r>
        <w:t xml:space="preserve"> control these costs and replace human labor with less expensive automation processes.</w:t>
      </w:r>
    </w:p>
    <w:p w14:paraId="6FC71B39" w14:textId="3BEE0BA5" w:rsidR="00706412" w:rsidRDefault="00706412" w:rsidP="00706412">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1779D5">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1779D5">
            <w:rPr>
              <w:noProof/>
            </w:rPr>
            <w:t xml:space="preserve"> (Blackhurn, 2021)</w:t>
          </w:r>
          <w:r>
            <w:fldChar w:fldCharType="end"/>
          </w:r>
        </w:sdtContent>
      </w:sdt>
      <w:r>
        <w:t xml:space="preserve">. Beyond human and process issues are technical complexities in configuring prototype autonomous assistants. It requires multiple domain specializations like computer </w:t>
      </w:r>
      <w:r>
        <w:lastRenderedPageBreak/>
        <w:t>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1779D5">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3224FDC7" w:rsidR="00706412" w:rsidRDefault="00706412" w:rsidP="00706412">
      <w:r>
        <w:tab/>
        <w:t>Hemodialysis (H</w:t>
      </w:r>
      <w:r w:rsidR="002B0D4E">
        <w:t>.D.</w:t>
      </w:r>
      <w:r>
        <w:t>) patients have a high risk of falling and becoming injured (Shirai et al., 2021). This situation negatively impacts their quality of life by either remaining in bed or requiring more medical resources. The study explores this use case by virtualizing the H</w:t>
      </w:r>
      <w:r w:rsidR="002B0D4E">
        <w:t>.D.</w:t>
      </w:r>
      <w:r>
        <w:t xml:space="preserve"> patients and monitoring them with an AI/ML CV process to collect metadata and predict a fall in 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7FDCB06F" w:rsidR="00706412" w:rsidRDefault="00706412" w:rsidP="00706412">
      <w:r>
        <w:lastRenderedPageBreak/>
        <w:tab/>
        <w:t>Robot operating systems (R</w:t>
      </w:r>
      <w:r w:rsidR="002B0D4E">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1"/>
      <w:r>
        <w:t>Design</w:t>
      </w:r>
      <w:commentRangeEnd w:id="1"/>
      <w:r w:rsidR="002C0EC0">
        <w:rPr>
          <w:rStyle w:val="CommentReference"/>
          <w:b w:val="0"/>
        </w:rPr>
        <w:commentReference w:id="1"/>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w:t>
      </w:r>
      <w:proofErr w:type="spellStart"/>
      <w:r>
        <w:t>Hevner</w:t>
      </w:r>
      <w:proofErr w:type="spellEnd"/>
      <w:r>
        <w:t xml:space="preserve"> et al., 2004). </w:t>
      </w:r>
      <w:r w:rsidR="001779D5">
        <w:t>A</w:t>
      </w:r>
      <w:r>
        <w:t>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327C0AB5" w:rsidR="00484FBB" w:rsidRDefault="00484FBB" w:rsidP="00484FBB">
      <w:pPr>
        <w:pStyle w:val="Heading3"/>
      </w:pPr>
      <w:r>
        <w:t>Study appropriateness</w:t>
      </w:r>
    </w:p>
    <w:p w14:paraId="3A56CF0D" w14:textId="5BB399F1" w:rsidR="00484FBB" w:rsidRDefault="00484FBB" w:rsidP="00D06DC2">
      <w:pPr>
        <w:ind w:firstLine="720"/>
        <w:rPr>
          <w:i/>
          <w:iCs/>
        </w:rPr>
      </w:pPr>
      <w:r>
        <w:t xml:space="preserve">This methodology is appropriate </w:t>
      </w:r>
      <w:r>
        <w:rPr>
          <w:i/>
          <w:iCs/>
        </w:rPr>
        <w:t>because…</w:t>
      </w:r>
    </w:p>
    <w:p w14:paraId="1425AABD" w14:textId="58DF8DB6" w:rsidR="00484FBB" w:rsidRDefault="00484FBB" w:rsidP="00484FBB">
      <w:pPr>
        <w:pStyle w:val="Heading3"/>
      </w:pPr>
      <w:r>
        <w:t xml:space="preserve">Alternative </w:t>
      </w:r>
      <w:commentRangeStart w:id="2"/>
      <w:r w:rsidR="00627983">
        <w:t>methodologies</w:t>
      </w:r>
      <w:commentRangeEnd w:id="2"/>
      <w:r w:rsidR="00627983">
        <w:rPr>
          <w:rStyle w:val="CommentReference"/>
          <w:b w:val="0"/>
          <w:i w:val="0"/>
          <w:iCs w:val="0"/>
        </w:rPr>
        <w:commentReference w:id="2"/>
      </w:r>
    </w:p>
    <w:p w14:paraId="1F85B6CF" w14:textId="2EF3BD69"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Content>
          <w:r>
            <w:fldChar w:fldCharType="begin"/>
          </w:r>
          <w:r>
            <w:instrText xml:space="preserve"> CITATION Jas16 \l 1033 </w:instrText>
          </w:r>
          <w:r>
            <w:fldChar w:fldCharType="separate"/>
          </w:r>
          <w:r w:rsidR="001779D5">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w:t>
      </w:r>
      <w:r w:rsidR="00564461" w:rsidRPr="00564461">
        <w:lastRenderedPageBreak/>
        <w:t xml:space="preserve">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3AAC09AF" w:rsidR="00627983" w:rsidRDefault="00627983" w:rsidP="00627983">
      <w:pPr>
        <w:ind w:firstLine="720"/>
      </w:pPr>
      <w:r>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495D018C" w14:textId="100C69DB" w:rsidR="00627983" w:rsidRPr="00627983" w:rsidRDefault="00564461" w:rsidP="00564461">
      <w:pPr>
        <w:ind w:firstLine="720"/>
        <w:rPr>
          <w:i/>
          <w:iCs/>
        </w:rPr>
      </w:pPr>
      <w:r>
        <w:rPr>
          <w:i/>
          <w:iCs/>
        </w:rPr>
        <w:t xml:space="preserve">Now let’s take that analogy back to the original problem statement. </w:t>
      </w:r>
      <w:r w:rsidR="00627983">
        <w:rPr>
          <w:i/>
          <w:iCs/>
        </w:rPr>
        <w:t xml:space="preserve">There should also be a page(?) that describes how each of these studies could look before saying that these are </w:t>
      </w:r>
      <w:r w:rsidR="00627983">
        <w:rPr>
          <w:i/>
          <w:iCs/>
        </w:rPr>
        <w:lastRenderedPageBreak/>
        <w:t>ultimately different problems than the goal here… and that goal is to study neural networks in a quasi</w:t>
      </w:r>
      <w:r w:rsidR="001779D5">
        <w:rPr>
          <w:i/>
          <w:iCs/>
        </w:rPr>
        <w:t>-</w:t>
      </w:r>
      <w:r w:rsidR="00627983">
        <w:rPr>
          <w:i/>
          <w:iCs/>
        </w:rPr>
        <w:t>realistic use-case.</w:t>
      </w:r>
    </w:p>
    <w:p w14:paraId="37CE4EA9" w14:textId="003E569A" w:rsidR="002C0EC0" w:rsidRDefault="002C0EC0" w:rsidP="002C0EC0">
      <w:pPr>
        <w:pStyle w:val="Heading2"/>
      </w:pPr>
      <w:commentRangeStart w:id="3"/>
      <w:r>
        <w:t>Population and Sample</w:t>
      </w:r>
      <w:commentRangeEnd w:id="3"/>
      <w:r w:rsidR="003B0D23">
        <w:rPr>
          <w:rStyle w:val="CommentReference"/>
          <w:b w:val="0"/>
        </w:rPr>
        <w:commentReference w:id="3"/>
      </w:r>
    </w:p>
    <w:p w14:paraId="2649BB17" w14:textId="755271F6"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Content>
          <w:r>
            <w:fldChar w:fldCharType="begin"/>
          </w:r>
          <w:r>
            <w:instrText xml:space="preserve"> CITATION Don16 \l 1033 </w:instrText>
          </w:r>
          <w:r>
            <w:fldChar w:fldCharType="separate"/>
          </w:r>
          <w:r w:rsidR="001779D5">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69FDBC73" w:rsidR="006A55CA" w:rsidRDefault="006A55CA" w:rsidP="006A55CA">
      <w:pPr>
        <w:ind w:firstLine="720"/>
      </w:pPr>
      <w:commentRangeStart w:id="4"/>
      <w:r>
        <w:rPr>
          <w:i/>
          <w:iCs/>
        </w:rPr>
        <w:t>Insert data about choosing the power level here</w:t>
      </w:r>
      <w:commentRangeEnd w:id="4"/>
      <w:r>
        <w:rPr>
          <w:rStyle w:val="CommentReference"/>
        </w:rPr>
        <w:commentReference w:id="4"/>
      </w:r>
      <w:r>
        <w:t>. Given the relatively small sample count, adjusting the confidence intervals to meet acceptable power requirements might be necessary. Another option might be to reduce the number of racial categories, from nationalities to three groups.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1BF56A99" w:rsidR="006A55CA" w:rsidRDefault="006A55CA" w:rsidP="006A55CA">
      <w:r>
        <w:tab/>
        <w:t>Effect size measures the strength of a phenomenon</w:t>
      </w:r>
      <w:sdt>
        <w:sdtPr>
          <w:id w:val="1252627815"/>
          <w:citation/>
        </w:sdtPr>
        <w:sdtContent>
          <w:r>
            <w:fldChar w:fldCharType="begin"/>
          </w:r>
          <w:r>
            <w:instrText xml:space="preserve"> CITATION Don16 \l 1033 </w:instrText>
          </w:r>
          <w:r>
            <w:fldChar w:fldCharType="separate"/>
          </w:r>
          <w:r w:rsidR="001779D5">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Content>
          <w:r>
            <w:fldChar w:fldCharType="begin"/>
          </w:r>
          <w:r>
            <w:instrText xml:space="preserve"> CITATION Gar12 \l 1033 </w:instrText>
          </w:r>
          <w:r>
            <w:fldChar w:fldCharType="separate"/>
          </w:r>
          <w:r w:rsidR="001779D5">
            <w:rPr>
              <w:noProof/>
            </w:rPr>
            <w:t xml:space="preserve"> (García-Pérez, 2012)</w:t>
          </w:r>
          <w:r>
            <w:fldChar w:fldCharType="end"/>
          </w:r>
        </w:sdtContent>
      </w:sdt>
      <w:r>
        <w:t>. In this situation</w:t>
      </w:r>
      <w:commentRangeStart w:id="5"/>
      <w:r>
        <w:t xml:space="preserve">, </w:t>
      </w:r>
      <w:r>
        <w:rPr>
          <w:i/>
          <w:iCs/>
        </w:rPr>
        <w:t>insert data about what this means for this situation</w:t>
      </w:r>
      <w:r>
        <w:t xml:space="preserve"> </w:t>
      </w:r>
      <w:commentRangeEnd w:id="5"/>
      <w:r>
        <w:rPr>
          <w:rStyle w:val="CommentReference"/>
        </w:rPr>
        <w:commentReference w:id="5"/>
      </w:r>
      <w:r>
        <w:t>and variable selection</w:t>
      </w:r>
      <w:r>
        <w:t>.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lastRenderedPageBreak/>
        <w:t>Potential Sample Sizes</w:t>
      </w:r>
    </w:p>
    <w:p w14:paraId="10860F27" w14:textId="253CAA9B"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r w:rsidR="002B0D4E">
        <w:t xml:space="preserve">to </w:t>
      </w:r>
      <w:commentRangeStart w:id="6"/>
      <w:r>
        <w:rPr>
          <w:i/>
          <w:iCs/>
        </w:rPr>
        <w:t>insert actual values</w:t>
      </w:r>
      <w:r>
        <w:t xml:space="preserve">. Since </w:t>
      </w:r>
      <w:r>
        <w:rPr>
          <w:i/>
          <w:iCs/>
        </w:rPr>
        <w:t xml:space="preserve">insert available values </w:t>
      </w:r>
      <w:commentRangeEnd w:id="6"/>
      <w:r>
        <w:rPr>
          <w:rStyle w:val="CommentReference"/>
        </w:rPr>
        <w:commentReference w:id="6"/>
      </w:r>
      <w:r>
        <w:t xml:space="preserve">examples, there should be sufficient coverage assuming the specific measurements are kept simple.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commentRangeStart w:id="7"/>
            <w:r>
              <w:t>28</w:t>
            </w:r>
            <w:commentRangeEnd w:id="7"/>
            <w:r>
              <w:rPr>
                <w:rStyle w:val="CommentReference"/>
              </w:rPr>
              <w:commentReference w:id="7"/>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0DB89926" w:rsidR="002B0D4E" w:rsidRDefault="002B0D4E" w:rsidP="002B0D4E">
      <w:pPr>
        <w:pStyle w:val="Heading3"/>
      </w:pPr>
      <w:r>
        <w:t>Acquiring the required sample</w:t>
      </w:r>
    </w:p>
    <w:p w14:paraId="7DD7ED17" w14:textId="56E96952"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(C.V.) to detect falling patients</w:t>
      </w:r>
      <w:r>
        <w:t xml:space="preserve">.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w:t>
      </w:r>
      <w:r>
        <w:lastRenderedPageBreak/>
        <w:t xml:space="preserve">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8" w:name="_Toc251423646"/>
      <w:bookmarkStart w:id="9" w:name="_Toc464831659"/>
      <w:bookmarkStart w:id="10" w:name="_Toc465328395"/>
      <w:bookmarkStart w:id="11" w:name="_Toc51929227"/>
      <w:commentRangeStart w:id="12"/>
      <w:commentRangeStart w:id="13"/>
      <w:r>
        <w:t>Instrumentation</w:t>
      </w:r>
      <w:commentRangeEnd w:id="12"/>
      <w:r>
        <w:rPr>
          <w:rStyle w:val="CommentReference"/>
        </w:rPr>
        <w:commentReference w:id="12"/>
      </w:r>
      <w:commentRangeEnd w:id="13"/>
      <w:r>
        <w:rPr>
          <w:rStyle w:val="CommentReference"/>
        </w:rPr>
        <w:commentReference w:id="13"/>
      </w:r>
      <w:bookmarkEnd w:id="8"/>
      <w:bookmarkEnd w:id="9"/>
      <w:bookmarkEnd w:id="10"/>
      <w:bookmarkEnd w:id="11"/>
    </w:p>
    <w:p w14:paraId="353487B4" w14:textId="12C48B94" w:rsidR="002C0EC0" w:rsidRDefault="002B0D4E" w:rsidP="002C0EC0">
      <w:pPr>
        <w:ind w:firstLine="720"/>
        <w:contextualSpacing/>
      </w:pPr>
      <w:r>
        <w:t>In a physics simulation process, humanoid actors perform behaviors in a highly controlled environment. This feature allows the study always to know the current world state and quickly assess any C.V. model prediction’s accuracy.</w:t>
      </w:r>
    </w:p>
    <w:p w14:paraId="192B64D1" w14:textId="5B1A8D27" w:rsidR="002B0D4E" w:rsidRPr="002B0D4E" w:rsidRDefault="002B0D4E" w:rsidP="002C0EC0">
      <w:pPr>
        <w:ind w:firstLine="720"/>
        <w:contextualSpacing/>
        <w:rPr>
          <w:i/>
          <w:iCs/>
        </w:rPr>
      </w:pPr>
      <w:r>
        <w:rPr>
          <w:i/>
          <w:iCs/>
        </w:rPr>
        <w:t>There should be another 2-paragraphs with examples of this idea here.</w:t>
      </w:r>
    </w:p>
    <w:p w14:paraId="3B46D05E" w14:textId="77777777" w:rsidR="002C0EC0" w:rsidRPr="002B0D4E" w:rsidRDefault="002C0EC0" w:rsidP="002C0EC0">
      <w:pPr>
        <w:contextualSpacing/>
        <w:rPr>
          <w:i/>
          <w:iCs/>
        </w:rPr>
      </w:pPr>
      <w:r w:rsidRPr="002B0D4E">
        <w:rPr>
          <w:i/>
          <w:iCs/>
        </w:rPr>
        <w:t xml:space="preserve">Checklist: </w:t>
      </w:r>
    </w:p>
    <w:p w14:paraId="26B48708" w14:textId="77777777" w:rsidR="002C0EC0" w:rsidRPr="002B0D4E" w:rsidRDefault="003F33D0" w:rsidP="002C0EC0">
      <w:pPr>
        <w:pStyle w:val="CommentText"/>
        <w:spacing w:line="480" w:lineRule="auto"/>
        <w:ind w:left="720"/>
        <w:rPr>
          <w:i/>
          <w:iCs/>
          <w:sz w:val="24"/>
          <w:szCs w:val="24"/>
        </w:rPr>
      </w:pPr>
      <w:sdt>
        <w:sdtPr>
          <w:rPr>
            <w:i/>
            <w:iCs/>
            <w:sz w:val="24"/>
            <w:szCs w:val="24"/>
          </w:rPr>
          <w:id w:val="-1951770521"/>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sz w:val="24"/>
              <w:szCs w:val="24"/>
            </w:rPr>
            <w:t>☐</w:t>
          </w:r>
        </w:sdtContent>
      </w:sdt>
      <w:r w:rsidR="002C0EC0" w:rsidRPr="002B0D4E">
        <w:rPr>
          <w:i/>
          <w:iCs/>
          <w:sz w:val="24"/>
          <w:szCs w:val="24"/>
        </w:rPr>
        <w: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t>
      </w:r>
    </w:p>
    <w:p w14:paraId="76AD126C" w14:textId="77777777" w:rsidR="002C0EC0" w:rsidRPr="002B0D4E" w:rsidRDefault="003F33D0" w:rsidP="002C0EC0">
      <w:pPr>
        <w:ind w:left="720"/>
        <w:rPr>
          <w:i/>
          <w:iCs/>
        </w:rPr>
      </w:pPr>
      <w:sdt>
        <w:sdtPr>
          <w:rPr>
            <w:i/>
            <w:iCs/>
          </w:rPr>
          <w:id w:val="1655174619"/>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rPr>
            <w:t>☐</w:t>
          </w:r>
        </w:sdtContent>
      </w:sdt>
      <w:r w:rsidR="002C0EC0" w:rsidRPr="002B0D4E">
        <w:rPr>
          <w:i/>
          <w:iCs/>
        </w:rPr>
        <w:t xml:space="preserve"> Describe in </w:t>
      </w:r>
      <w:commentRangeStart w:id="14"/>
      <w:r w:rsidR="002C0EC0" w:rsidRPr="002B0D4E">
        <w:rPr>
          <w:i/>
          <w:iCs/>
        </w:rPr>
        <w:t xml:space="preserve">detail any field testing or pilot testing of instruments to include their results and any subsequent modifications. </w:t>
      </w:r>
      <w:commentRangeEnd w:id="14"/>
      <w:r w:rsidR="002C0EC0" w:rsidRPr="002B0D4E">
        <w:rPr>
          <w:rStyle w:val="CommentReference"/>
          <w:rFonts w:eastAsia="Times New Roman" w:cs="Arial"/>
          <w:i/>
          <w:iCs/>
        </w:rPr>
        <w:commentReference w:id="14"/>
      </w:r>
    </w:p>
    <w:p w14:paraId="68A8B53D" w14:textId="77777777" w:rsidR="002C0EC0" w:rsidRPr="002B0D4E" w:rsidRDefault="003F33D0" w:rsidP="002C0EC0">
      <w:pPr>
        <w:pStyle w:val="CommentText"/>
        <w:spacing w:line="480" w:lineRule="auto"/>
        <w:ind w:left="720"/>
        <w:rPr>
          <w:i/>
          <w:iCs/>
          <w:sz w:val="24"/>
          <w:szCs w:val="24"/>
        </w:rPr>
      </w:pPr>
      <w:sdt>
        <w:sdtPr>
          <w:rPr>
            <w:i/>
            <w:iCs/>
            <w:sz w:val="24"/>
            <w:szCs w:val="24"/>
          </w:rPr>
          <w:id w:val="1242068892"/>
          <w14:checkbox>
            <w14:checked w14:val="0"/>
            <w14:checkedState w14:val="2612" w14:font="MS Gothic"/>
            <w14:uncheckedState w14:val="2610" w14:font="MS Gothic"/>
          </w14:checkbox>
        </w:sdtPr>
        <w:sdtEndPr/>
        <w:sdtContent>
          <w:r w:rsidR="002C0EC0" w:rsidRPr="002B0D4E">
            <w:rPr>
              <w:rFonts w:ascii="MS Gothic" w:eastAsia="MS Gothic" w:hAnsi="MS Gothic" w:hint="eastAsia"/>
              <w:i/>
              <w:iCs/>
              <w:sz w:val="24"/>
              <w:szCs w:val="24"/>
            </w:rPr>
            <w:t>☐</w:t>
          </w:r>
        </w:sdtContent>
      </w:sdt>
      <w:r w:rsidR="002C0EC0" w:rsidRPr="002B0D4E">
        <w:rPr>
          <w:i/>
          <w:iCs/>
          <w:sz w:val="24"/>
          <w:szCs w:val="24"/>
        </w:rPr>
        <w:t xml:space="preserve"> If instruments or materials are used that were developed by another researcher, include evidence in the appendix that permission was granted to use the instrument(s) and/or material(s) and refer to that fact and the appendix in this section.</w:t>
      </w:r>
      <w:r w:rsidR="002C0EC0" w:rsidRPr="002B0D4E">
        <w:rPr>
          <w:rStyle w:val="CommentReference"/>
          <w:i/>
          <w:iCs/>
          <w:sz w:val="24"/>
          <w:szCs w:val="24"/>
        </w:rPr>
        <w:annotationRef/>
      </w:r>
    </w:p>
    <w:p w14:paraId="27869CAA" w14:textId="77777777" w:rsidR="002B0D4E" w:rsidRDefault="002B0D4E">
      <w:pPr>
        <w:rPr>
          <w:b/>
        </w:rPr>
      </w:pPr>
      <w:bookmarkStart w:id="15" w:name="_Toc464831660"/>
      <w:bookmarkStart w:id="16" w:name="_Toc465328396"/>
      <w:bookmarkStart w:id="17" w:name="_Toc51929228"/>
      <w:r>
        <w:br w:type="page"/>
      </w:r>
    </w:p>
    <w:p w14:paraId="7718D855" w14:textId="7234FDA5" w:rsidR="002C0EC0" w:rsidRPr="00887A22" w:rsidRDefault="002C0EC0" w:rsidP="002C0EC0">
      <w:pPr>
        <w:pStyle w:val="Heading2"/>
      </w:pPr>
      <w:bookmarkStart w:id="18" w:name="_Toc464831663"/>
      <w:bookmarkStart w:id="19" w:name="_Toc465328397"/>
      <w:bookmarkStart w:id="20" w:name="_Toc51929229"/>
      <w:bookmarkEnd w:id="15"/>
      <w:bookmarkEnd w:id="16"/>
      <w:bookmarkEnd w:id="17"/>
      <w:commentRangeStart w:id="21"/>
      <w:r w:rsidRPr="00887A22">
        <w:lastRenderedPageBreak/>
        <w:t xml:space="preserve">Study </w:t>
      </w:r>
      <w:commentRangeStart w:id="22"/>
      <w:r w:rsidRPr="00887A22">
        <w:t>Procedures</w:t>
      </w:r>
      <w:bookmarkEnd w:id="18"/>
      <w:bookmarkEnd w:id="19"/>
      <w:bookmarkEnd w:id="20"/>
      <w:r w:rsidRPr="00887A22">
        <w:t xml:space="preserve"> </w:t>
      </w:r>
      <w:commentRangeEnd w:id="22"/>
      <w:r w:rsidR="001779D5">
        <w:rPr>
          <w:rStyle w:val="CommentReference"/>
          <w:b w:val="0"/>
        </w:rPr>
        <w:commentReference w:id="22"/>
      </w:r>
      <w:commentRangeEnd w:id="21"/>
      <w:r w:rsidR="001779D5">
        <w:rPr>
          <w:rStyle w:val="CommentReference"/>
          <w:b w:val="0"/>
        </w:rPr>
        <w:commentReference w:id="21"/>
      </w:r>
    </w:p>
    <w:p w14:paraId="0F302FC4" w14:textId="4C302305" w:rsidR="002C0EC0" w:rsidRDefault="002B0D4E" w:rsidP="002C0EC0">
      <w:pPr>
        <w:ind w:firstLine="720"/>
        <w:contextualSpacing/>
      </w:pPr>
      <w:r>
        <w:t xml:space="preserve">The research project aims to build a C.V. model that can accurately predict human activity recognition (H.A.R.). Model training will initialize a random experiment configuration and perform an appropriate </w:t>
      </w:r>
      <w:proofErr w:type="spellStart"/>
      <w:r>
        <w:t>MoCAP</w:t>
      </w:r>
      <w:proofErr w:type="spellEnd"/>
      <w:r>
        <w:t xml:space="preserve"> sequence. During the performance, a virtual camera will collect 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1A6A4BC4" w:rsidR="002B0D4E"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S.H.A.). Since those researchers can synchronize the repository to a particular commit and rerun the automation using industry-standard tooling, they have sufficient capabilities to reproduce the experiment.</w:t>
      </w:r>
    </w:p>
    <w:p w14:paraId="7AE9526D" w14:textId="104B9CCD" w:rsidR="001779D5" w:rsidRDefault="001779D5" w:rsidP="001779D5">
      <w:pPr>
        <w:pStyle w:val="Heading3"/>
      </w:pPr>
      <w:r>
        <w:t>Implementing the Simulation Process</w:t>
      </w:r>
    </w:p>
    <w:p w14:paraId="3FCB2D87" w14:textId="6A9A0613" w:rsidR="001779D5" w:rsidRPr="001779D5" w:rsidRDefault="001779D5" w:rsidP="001779D5">
      <w:pPr>
        <w:rPr>
          <w:i/>
          <w:iCs/>
        </w:rPr>
      </w:pPr>
      <w:r>
        <w:tab/>
      </w:r>
      <w:r>
        <w:rPr>
          <w:i/>
          <w:iCs/>
        </w:rPr>
        <w:t xml:space="preserve">Include 2-3 paragraphs that detail how the simulation will take place. Like, is it a Unity process with </w:t>
      </w:r>
      <w:proofErr w:type="spellStart"/>
      <w:r>
        <w:rPr>
          <w:i/>
          <w:iCs/>
        </w:rPr>
        <w:t>OpenGym</w:t>
      </w:r>
      <w:proofErr w:type="spellEnd"/>
      <w:r>
        <w:rPr>
          <w:i/>
          <w:iCs/>
        </w:rPr>
        <w:t xml:space="preserve">? What open-source software will go into the container? How will that </w:t>
      </w:r>
      <w:r>
        <w:rPr>
          <w:i/>
          <w:iCs/>
        </w:rPr>
        <w:lastRenderedPageBreak/>
        <w:t>map into handling the research questions? This information is critical and doesn’t currently exist. Those gaps are likely another section in the Literature Review to define them.</w:t>
      </w:r>
    </w:p>
    <w:p w14:paraId="2612695C" w14:textId="77777777" w:rsidR="001779D5" w:rsidRDefault="001779D5" w:rsidP="001779D5">
      <w:pPr>
        <w:pStyle w:val="Heading3"/>
      </w:pPr>
      <w:bookmarkStart w:id="23" w:name="_Toc464831664"/>
      <w:bookmarkStart w:id="24" w:name="_Toc465328398"/>
      <w:bookmarkStart w:id="25" w:name="_Toc51929230"/>
      <w:r>
        <w:t>Using the Model</w:t>
      </w:r>
    </w:p>
    <w:p w14:paraId="380B8A2F" w14:textId="77777777" w:rsidR="001779D5" w:rsidRDefault="001779D5" w:rsidP="001779D5">
      <w:pPr>
        <w:rPr>
          <w:i/>
          <w:iCs/>
        </w:rPr>
      </w:pPr>
      <w:r>
        <w:tab/>
      </w:r>
      <w:r>
        <w:rPr>
          <w:i/>
          <w:iCs/>
        </w:rPr>
        <w:t xml:space="preserve">Data Analysis &gt; Model Inference Analysis mentions a small cohort (co-workers) that could interact with the model endpoint. What exactly does that look like, and how would it work? </w:t>
      </w:r>
    </w:p>
    <w:p w14:paraId="1DBB6E9E" w14:textId="38EDB40C" w:rsidR="002C0EC0" w:rsidRPr="00887A22" w:rsidRDefault="002C0EC0" w:rsidP="002C0EC0">
      <w:pPr>
        <w:pStyle w:val="Heading2"/>
      </w:pPr>
      <w:commentRangeStart w:id="26"/>
      <w:commentRangeStart w:id="27"/>
      <w:r>
        <w:t>Data Analysis</w:t>
      </w:r>
      <w:commentRangeEnd w:id="26"/>
      <w:r>
        <w:rPr>
          <w:rStyle w:val="CommentReference"/>
        </w:rPr>
        <w:commentReference w:id="26"/>
      </w:r>
      <w:bookmarkEnd w:id="23"/>
      <w:bookmarkEnd w:id="24"/>
      <w:bookmarkEnd w:id="25"/>
      <w:commentRangeEnd w:id="27"/>
      <w:r w:rsidR="001779D5">
        <w:rPr>
          <w:rStyle w:val="CommentReference"/>
          <w:b w:val="0"/>
        </w:rPr>
        <w:commentReference w:id="27"/>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1BB92684" w14:textId="34462BAB" w:rsidR="00680B73" w:rsidRDefault="00680B73" w:rsidP="00680B73">
      <w:pPr>
        <w:pStyle w:val="Heading3"/>
      </w:pPr>
      <w:r>
        <w:t>Model Training Analysis</w:t>
      </w:r>
    </w:p>
    <w:p w14:paraId="6459CF3C" w14:textId="2B507163" w:rsidR="00680B73" w:rsidRDefault="00680B73" w:rsidP="002C0EC0">
      <w:pPr>
        <w:ind w:firstLine="720"/>
        <w:contextualSpacing/>
      </w:pPr>
      <w:r>
        <w:t xml:space="preserve">Tensor Flow 2 generates statistical information regarding the model training performance. These Key Performance Indicators (KPIs) describe the gradient </w:t>
      </w:r>
      <w:proofErr w:type="spellStart"/>
      <w:r>
        <w:t>convergance</w:t>
      </w:r>
      <w:proofErr w:type="spellEnd"/>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w:t>
      </w:r>
      <w:proofErr w:type="spellStart"/>
      <w:r>
        <w:t>SageMaker</w:t>
      </w:r>
      <w:proofErr w:type="spellEnd"/>
      <w:r>
        <w:t xml:space="preserve">).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 xml:space="preserve">An analysis of the model inference must confirm that it is usable. This phase requires provisioning a model endpoint and posting experimental data. A simple approach could be using RGB+D cameras to record a small human group repeating the humanoid behaviors. There are several core advantages to this solution. First, it demonstrates bringing the simulation process </w:t>
      </w:r>
      <w:r>
        <w:lastRenderedPageBreak/>
        <w:t>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F3B5489" w:rsidR="00680B73" w:rsidRDefault="00680B73" w:rsidP="00680B73">
      <w:pPr>
        <w:pStyle w:val="Heading3"/>
      </w:pPr>
      <w:r>
        <w:t>Addressing the research questions</w:t>
      </w:r>
    </w:p>
    <w:p w14:paraId="6226E90E" w14:textId="1519E367" w:rsidR="00680B73" w:rsidRPr="00680B73" w:rsidRDefault="00680B73" w:rsidP="00680B73">
      <w:pPr>
        <w:rPr>
          <w:i/>
          <w:iCs/>
        </w:rPr>
      </w:pPr>
      <w:r>
        <w:tab/>
      </w:r>
      <w:r>
        <w:rPr>
          <w:i/>
          <w:iCs/>
        </w:rPr>
        <w:t>Repeat the research questions. Describe in 1-2 paragraphs what data is necessary and how it will be analyzed. Talk about statistical functions, their appropriateness, and their alignment with the hypothesis.</w:t>
      </w:r>
    </w:p>
    <w:p w14:paraId="28E1F717" w14:textId="77777777" w:rsidR="002C0EC0" w:rsidRPr="00887A22" w:rsidRDefault="002C0EC0" w:rsidP="002C0EC0">
      <w:pPr>
        <w:contextualSpacing/>
      </w:pPr>
      <w:r w:rsidRPr="00887A22">
        <w:t xml:space="preserve">Checklist: </w:t>
      </w:r>
    </w:p>
    <w:p w14:paraId="7FD0FC54" w14:textId="77777777" w:rsidR="002C0EC0" w:rsidRPr="00680B73" w:rsidRDefault="003F33D0" w:rsidP="002C0EC0">
      <w:pPr>
        <w:ind w:left="720"/>
        <w:rPr>
          <w:strike/>
        </w:rPr>
      </w:pPr>
      <w:sdt>
        <w:sdtPr>
          <w:id w:val="2463937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w:t>
      </w:r>
      <w:r w:rsidR="002C0EC0" w:rsidRPr="00680B73">
        <w:rPr>
          <w:strike/>
        </w:rPr>
        <w:t xml:space="preserve">Describe the strategies that will be (proposal) or were (manuscript) used to code and/or analyze the data, and any software that will be (proposal) or was (manuscript) used. </w:t>
      </w:r>
    </w:p>
    <w:p w14:paraId="0F6D0D97" w14:textId="77777777" w:rsidR="002C0EC0" w:rsidRPr="00887A22" w:rsidRDefault="003F33D0" w:rsidP="002C0EC0">
      <w:pPr>
        <w:ind w:left="720"/>
      </w:pPr>
      <w:sdt>
        <w:sdtPr>
          <w:id w:val="-195261987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Ensure the data that will be (proposal) or were (</w:t>
      </w:r>
      <w:proofErr w:type="gramStart"/>
      <w:r w:rsidR="002C0EC0" w:rsidRPr="00887A22">
        <w:t>manuscript)  analyzed</w:t>
      </w:r>
      <w:proofErr w:type="gramEnd"/>
      <w:r w:rsidR="002C0EC0" w:rsidRPr="00887A22">
        <w:t xml:space="preserve"> can be used to answer the research questions and/or test the hypotheses with the ultimate goal of addressing the identified problem. </w:t>
      </w:r>
    </w:p>
    <w:p w14:paraId="65AF230F" w14:textId="77777777" w:rsidR="002C0EC0" w:rsidRPr="00887A22" w:rsidRDefault="003F33D0" w:rsidP="002C0EC0">
      <w:pPr>
        <w:ind w:left="720"/>
      </w:pPr>
      <w:sdt>
        <w:sdtPr>
          <w:id w:val="-212491551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Use proper terminology in association with each design/analysis (e.g., independent variable and dependent variable for an experimental design, </w:t>
      </w:r>
      <w:proofErr w:type="gramStart"/>
      <w:r w:rsidR="002C0EC0" w:rsidRPr="00887A22">
        <w:t>predictor</w:t>
      </w:r>
      <w:proofErr w:type="gramEnd"/>
      <w:r w:rsidR="002C0EC0" w:rsidRPr="00887A22">
        <w:t xml:space="preserve"> and criterion variables for regression). </w:t>
      </w:r>
    </w:p>
    <w:p w14:paraId="0AE0E20D" w14:textId="77777777" w:rsidR="002C0EC0" w:rsidRPr="00887A22" w:rsidRDefault="003F33D0" w:rsidP="002C0EC0">
      <w:pPr>
        <w:ind w:left="720"/>
        <w:contextualSpacing/>
      </w:pPr>
      <w:sdt>
        <w:sdtPr>
          <w:id w:val="3654984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3F33D0" w:rsidP="002C0EC0">
      <w:pPr>
        <w:ind w:left="720"/>
        <w:contextualSpacing/>
      </w:pPr>
      <w:sdt>
        <w:sdtPr>
          <w:id w:val="130881674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qualitative studies, describe how the data will be (proposal) or were (manuscript) processed and analyzed, including any triangulation efforts. Explain the role of the researcher. </w:t>
      </w:r>
    </w:p>
    <w:p w14:paraId="61EF5D40" w14:textId="1851DB0C" w:rsidR="002C0EC0" w:rsidRPr="00887A22" w:rsidRDefault="002C0EC0" w:rsidP="002C0EC0">
      <w:pPr>
        <w:pStyle w:val="Heading2"/>
      </w:pPr>
      <w:bookmarkStart w:id="28" w:name="_Toc464831665"/>
      <w:bookmarkStart w:id="29" w:name="_Toc465328399"/>
      <w:bookmarkStart w:id="30" w:name="_Toc251423649"/>
      <w:bookmarkStart w:id="31" w:name="_Toc51929231"/>
      <w:commentRangeStart w:id="32"/>
      <w:r w:rsidRPr="00887A22">
        <w:lastRenderedPageBreak/>
        <w:t>Assumptions</w:t>
      </w:r>
      <w:bookmarkEnd w:id="28"/>
      <w:bookmarkEnd w:id="29"/>
      <w:r w:rsidRPr="00887A22">
        <w:t xml:space="preserve"> </w:t>
      </w:r>
      <w:bookmarkEnd w:id="30"/>
      <w:commentRangeEnd w:id="32"/>
      <w:r>
        <w:rPr>
          <w:rStyle w:val="CommentReference"/>
        </w:rPr>
        <w:commentReference w:id="32"/>
      </w:r>
      <w:bookmarkEnd w:id="31"/>
    </w:p>
    <w:p w14:paraId="36D9434E" w14:textId="77777777" w:rsidR="002C0EC0" w:rsidRPr="00887A22" w:rsidRDefault="002C0EC0" w:rsidP="002C0EC0">
      <w:pPr>
        <w:ind w:firstLine="720"/>
        <w:contextualSpacing/>
      </w:pPr>
      <w:r w:rsidRPr="00887A22">
        <w:t>Begin writing here…</w:t>
      </w:r>
    </w:p>
    <w:p w14:paraId="47F7E61F" w14:textId="77777777" w:rsidR="002C0EC0" w:rsidRPr="00887A22" w:rsidRDefault="002C0EC0" w:rsidP="002C0EC0">
      <w:pPr>
        <w:contextualSpacing/>
      </w:pPr>
      <w:r w:rsidRPr="00887A22">
        <w:t xml:space="preserve">Checklist: </w:t>
      </w:r>
    </w:p>
    <w:p w14:paraId="0C44047D" w14:textId="77777777" w:rsidR="002C0EC0" w:rsidRPr="00887A22" w:rsidRDefault="003F33D0" w:rsidP="002C0EC0">
      <w:pPr>
        <w:ind w:left="720"/>
      </w:pPr>
      <w:sdt>
        <w:sdtPr>
          <w:id w:val="-583297603"/>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assumptions along with the corresponding rationale underlying them. </w:t>
      </w:r>
    </w:p>
    <w:p w14:paraId="286CDEFE" w14:textId="04446224" w:rsidR="002C0EC0" w:rsidRPr="00887A22" w:rsidRDefault="002C0EC0" w:rsidP="002C0EC0">
      <w:pPr>
        <w:pStyle w:val="Heading2"/>
      </w:pPr>
      <w:bookmarkStart w:id="33" w:name="_Toc464831666"/>
      <w:bookmarkStart w:id="34" w:name="_Toc465328400"/>
      <w:bookmarkStart w:id="35" w:name="_Toc51929232"/>
      <w:commentRangeStart w:id="36"/>
      <w:r w:rsidRPr="00887A22">
        <w:t>Limitations</w:t>
      </w:r>
      <w:bookmarkEnd w:id="33"/>
      <w:bookmarkEnd w:id="34"/>
      <w:commentRangeEnd w:id="36"/>
      <w:r>
        <w:rPr>
          <w:rStyle w:val="CommentReference"/>
        </w:rPr>
        <w:commentReference w:id="36"/>
      </w:r>
      <w:bookmarkEnd w:id="35"/>
    </w:p>
    <w:p w14:paraId="73B376DC" w14:textId="77777777" w:rsidR="002C0EC0" w:rsidRPr="00887A22" w:rsidRDefault="002C0EC0" w:rsidP="002C0EC0">
      <w:pPr>
        <w:ind w:firstLine="720"/>
        <w:contextualSpacing/>
      </w:pPr>
      <w:r w:rsidRPr="00887A22">
        <w:t>Begin writing here…</w:t>
      </w:r>
    </w:p>
    <w:p w14:paraId="46E3C5CA" w14:textId="77777777" w:rsidR="002C0EC0" w:rsidRPr="00887A22" w:rsidRDefault="002C0EC0" w:rsidP="002C0EC0">
      <w:pPr>
        <w:contextualSpacing/>
      </w:pPr>
      <w:r w:rsidRPr="00887A22">
        <w:t xml:space="preserve">Checklist: </w:t>
      </w:r>
    </w:p>
    <w:p w14:paraId="2B27B791" w14:textId="77777777" w:rsidR="002C0EC0" w:rsidRPr="00887A22" w:rsidRDefault="003F33D0" w:rsidP="002C0EC0">
      <w:pPr>
        <w:ind w:left="720"/>
      </w:pPr>
      <w:sdt>
        <w:sdtPr>
          <w:id w:val="-608740308"/>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study limitations. </w:t>
      </w:r>
    </w:p>
    <w:p w14:paraId="2DB9FFB5" w14:textId="77777777" w:rsidR="002C0EC0" w:rsidRPr="00887A22" w:rsidRDefault="003F33D0" w:rsidP="002C0EC0">
      <w:pPr>
        <w:ind w:left="720"/>
      </w:pPr>
      <w:sdt>
        <w:sdtPr>
          <w:id w:val="-116869983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measures taken to mitigate these limitations. </w:t>
      </w:r>
    </w:p>
    <w:p w14:paraId="539387E9" w14:textId="12501A48" w:rsidR="002C0EC0" w:rsidRPr="00887A22" w:rsidRDefault="002C0EC0" w:rsidP="002C0EC0">
      <w:pPr>
        <w:pStyle w:val="Heading2"/>
      </w:pPr>
      <w:bookmarkStart w:id="37" w:name="_Toc464831667"/>
      <w:bookmarkStart w:id="38" w:name="_Toc465328401"/>
      <w:bookmarkStart w:id="39" w:name="_Toc51929233"/>
      <w:commentRangeStart w:id="40"/>
      <w:r w:rsidRPr="00887A22">
        <w:t>Delimitations</w:t>
      </w:r>
      <w:bookmarkEnd w:id="37"/>
      <w:bookmarkEnd w:id="38"/>
      <w:commentRangeEnd w:id="40"/>
      <w:r>
        <w:rPr>
          <w:rStyle w:val="CommentReference"/>
        </w:rPr>
        <w:commentReference w:id="40"/>
      </w:r>
      <w:bookmarkEnd w:id="39"/>
    </w:p>
    <w:p w14:paraId="5DD1E895" w14:textId="77777777" w:rsidR="002C0EC0" w:rsidRPr="00887A22" w:rsidRDefault="002C0EC0" w:rsidP="002C0EC0">
      <w:pPr>
        <w:ind w:firstLine="720"/>
        <w:contextualSpacing/>
      </w:pPr>
      <w:r w:rsidRPr="00887A22">
        <w:t>Begin writing here…</w:t>
      </w:r>
    </w:p>
    <w:p w14:paraId="58D48E65" w14:textId="77777777" w:rsidR="002C0EC0" w:rsidRPr="00887A22" w:rsidRDefault="002C0EC0" w:rsidP="002C0EC0">
      <w:pPr>
        <w:contextualSpacing/>
      </w:pPr>
      <w:r w:rsidRPr="00887A22">
        <w:t xml:space="preserve">Checklist: </w:t>
      </w:r>
    </w:p>
    <w:p w14:paraId="6D67929A" w14:textId="77777777" w:rsidR="002C0EC0" w:rsidRPr="001F3ACE" w:rsidRDefault="003F33D0" w:rsidP="002C0EC0">
      <w:pPr>
        <w:pStyle w:val="CommentText"/>
        <w:spacing w:line="480" w:lineRule="auto"/>
        <w:ind w:left="720"/>
        <w:rPr>
          <w:sz w:val="24"/>
          <w:szCs w:val="24"/>
        </w:rPr>
      </w:pPr>
      <w:sdt>
        <w:sdtPr>
          <w:rPr>
            <w:sz w:val="24"/>
            <w:szCs w:val="24"/>
          </w:rPr>
          <w:id w:val="214394746"/>
          <w14:checkbox>
            <w14:checked w14:val="0"/>
            <w14:checkedState w14:val="2612" w14:font="MS Gothic"/>
            <w14:uncheckedState w14:val="2610" w14:font="MS Gothic"/>
          </w14:checkbox>
        </w:sdtPr>
        <w:sdtEndPr/>
        <w:sdtContent>
          <w:r w:rsidR="002C0EC0" w:rsidRPr="001F3ACE">
            <w:rPr>
              <w:rFonts w:ascii="Segoe UI Symbol" w:hAnsi="Segoe UI Symbol" w:cs="Segoe UI Symbol"/>
              <w:sz w:val="24"/>
              <w:szCs w:val="24"/>
            </w:rPr>
            <w:t>☐</w:t>
          </w:r>
        </w:sdtContent>
      </w:sdt>
      <w:r w:rsidR="002C0EC0" w:rsidRPr="001F3ACE">
        <w:rPr>
          <w:sz w:val="24"/>
          <w:szCs w:val="24"/>
        </w:rPr>
        <w:t xml:space="preserve"> Describe the study delimitations along with the corresponding rationale underlying them. An example of delimitations are the conditions and parameters set intentionally by the researcher or by selection of the population and sample.</w:t>
      </w:r>
      <w:r w:rsidR="002C0EC0" w:rsidRPr="001F3ACE">
        <w:rPr>
          <w:rStyle w:val="CommentReference"/>
          <w:sz w:val="24"/>
          <w:szCs w:val="24"/>
        </w:rPr>
        <w:annotationRef/>
      </w:r>
    </w:p>
    <w:p w14:paraId="39701CF3" w14:textId="1D22DA70" w:rsidR="002C0EC0" w:rsidRDefault="003F33D0" w:rsidP="002C0EC0">
      <w:pPr>
        <w:ind w:left="720"/>
      </w:pPr>
      <w:sdt>
        <w:sdtPr>
          <w:id w:val="-29753925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Explain how these research decisions relate to the existing literature and theoretical/conceptual framework, problem statement, purpose statement, and research questions.</w:t>
      </w:r>
    </w:p>
    <w:p w14:paraId="562C76F2" w14:textId="77777777" w:rsidR="002B0D4E" w:rsidRDefault="002B0D4E">
      <w:pPr>
        <w:rPr>
          <w:b/>
        </w:rPr>
      </w:pPr>
      <w:bookmarkStart w:id="41" w:name="_Toc464831668"/>
      <w:bookmarkStart w:id="42" w:name="_Toc465328402"/>
      <w:bookmarkStart w:id="43" w:name="_Toc51929234"/>
      <w:r>
        <w:br w:type="page"/>
      </w:r>
    </w:p>
    <w:p w14:paraId="1660B45B" w14:textId="59F2E448" w:rsidR="00960470" w:rsidRPr="00887A22" w:rsidRDefault="00960470" w:rsidP="00960470">
      <w:pPr>
        <w:pStyle w:val="Heading2"/>
      </w:pPr>
      <w:commentRangeStart w:id="44"/>
      <w:r w:rsidRPr="00887A22">
        <w:lastRenderedPageBreak/>
        <w:t>Ethical Assurances</w:t>
      </w:r>
      <w:bookmarkEnd w:id="41"/>
      <w:bookmarkEnd w:id="42"/>
      <w:commentRangeEnd w:id="44"/>
      <w:r>
        <w:rPr>
          <w:rStyle w:val="CommentReference"/>
        </w:rPr>
        <w:commentReference w:id="44"/>
      </w:r>
      <w:bookmarkEnd w:id="43"/>
    </w:p>
    <w:p w14:paraId="275590B4" w14:textId="5225FACC" w:rsidR="000B6029" w:rsidRDefault="000B6029" w:rsidP="00960470">
      <w:pPr>
        <w:ind w:firstLine="720"/>
        <w:contextualSpacing/>
      </w:pPr>
      <w:r>
        <w:t>Northcentral University’s Institutional Review Board (I.R.B.) must issue a statement covering any ethical concerns, privacy</w:t>
      </w:r>
      <w:r w:rsidRPr="000B6029">
        <w:t xml:space="preserve"> </w:t>
      </w:r>
      <w:r>
        <w:t>violat</w:t>
      </w:r>
      <w:r>
        <w:t xml:space="preserve">ions, </w:t>
      </w:r>
      <w:commentRangeStart w:id="45"/>
      <w:r>
        <w:t>or undue harm risks.</w:t>
      </w:r>
      <w:commentRangeEnd w:id="45"/>
      <w:r>
        <w:rPr>
          <w:rStyle w:val="CommentReference"/>
        </w:rPr>
        <w:commentReference w:id="45"/>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Secure Data Storage</w:t>
      </w:r>
    </w:p>
    <w:p w14:paraId="62082372" w14:textId="77433C51" w:rsidR="000B6029" w:rsidRDefault="000B6029" w:rsidP="000B6029">
      <w:pPr>
        <w:rPr>
          <w:i/>
          <w:iCs/>
        </w:rPr>
      </w:pPr>
      <w:r>
        <w:tab/>
      </w:r>
      <w:r>
        <w:rPr>
          <w:i/>
          <w:iCs/>
        </w:rPr>
        <w:t>Include a paragraph that all data will be encrypted at rest and in transit. It will use A</w:t>
      </w:r>
      <w:r w:rsidR="001779D5">
        <w:rPr>
          <w:i/>
          <w:iCs/>
        </w:rPr>
        <w:t>.A.A.</w:t>
      </w:r>
      <w:r>
        <w:rPr>
          <w:i/>
          <w:iCs/>
        </w:rPr>
        <w:t xml:space="preserve"> and all that good stuff. Maybe there’s something in </w:t>
      </w:r>
      <w:proofErr w:type="spellStart"/>
      <w:r>
        <w:rPr>
          <w:i/>
          <w:iCs/>
        </w:rPr>
        <w:t>CyberSec</w:t>
      </w:r>
      <w:proofErr w:type="spellEnd"/>
      <w:r>
        <w:rPr>
          <w:i/>
          <w:iCs/>
        </w:rPr>
        <w:t xml:space="preserve"> course to snag into this section? </w:t>
      </w:r>
    </w:p>
    <w:p w14:paraId="2A9D19F1" w14:textId="2573B1C8" w:rsidR="000B6029" w:rsidRDefault="000B6029" w:rsidP="000B6029">
      <w:pPr>
        <w:pStyle w:val="Heading3"/>
      </w:pPr>
      <w:r>
        <w:t>Researcher Concerns</w:t>
      </w:r>
    </w:p>
    <w:p w14:paraId="62780591" w14:textId="4E14344A" w:rsidR="000B6029" w:rsidRPr="000B6029" w:rsidRDefault="000B6029" w:rsidP="000B6029">
      <w:pPr>
        <w:rPr>
          <w:i/>
          <w:iCs/>
        </w:rPr>
      </w:pPr>
      <w:r>
        <w:tab/>
      </w:r>
      <w:r>
        <w:rPr>
          <w:i/>
          <w:iCs/>
        </w:rPr>
        <w:t>Include a paragraph that talks about past experiences that might taint the experiment or skew its correctness.</w:t>
      </w:r>
    </w:p>
    <w:p w14:paraId="20420031" w14:textId="77777777" w:rsidR="00960470" w:rsidRPr="00887A22" w:rsidRDefault="00960470" w:rsidP="00960470">
      <w:pPr>
        <w:contextualSpacing/>
      </w:pPr>
      <w:r w:rsidRPr="00887A22">
        <w:t xml:space="preserve">Checklist: </w:t>
      </w:r>
    </w:p>
    <w:p w14:paraId="1F0E23EE" w14:textId="294FC05D" w:rsidR="00960470" w:rsidRPr="00887A22" w:rsidRDefault="003F33D0" w:rsidP="00960470">
      <w:pPr>
        <w:ind w:left="720"/>
        <w:contextualSpacing/>
      </w:pPr>
      <w:sdt>
        <w:sdtPr>
          <w:id w:val="-154398222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r w:rsidR="00960470" w:rsidRPr="000B6029">
        <w:rPr>
          <w:strike/>
        </w:rPr>
        <w:t>Confirm in a statement the study will (proposal) or did (manuscript) receive approval from Northcentral University’s Institutional Review Board (I</w:t>
      </w:r>
      <w:r w:rsidR="002B0D4E" w:rsidRPr="000B6029">
        <w:rPr>
          <w:strike/>
        </w:rPr>
        <w:t>.R.B.</w:t>
      </w:r>
      <w:r w:rsidR="00960470" w:rsidRPr="000B6029">
        <w:rPr>
          <w:strike/>
        </w:rPr>
        <w:t xml:space="preserve">) </w:t>
      </w:r>
      <w:r w:rsidR="002B0D4E" w:rsidRPr="000B6029">
        <w:rPr>
          <w:strike/>
        </w:rPr>
        <w:t>before</w:t>
      </w:r>
      <w:r w:rsidR="00960470" w:rsidRPr="000B6029">
        <w:rPr>
          <w:strike/>
        </w:rPr>
        <w:t xml:space="preserve"> data collection</w:t>
      </w:r>
      <w:r w:rsidR="00960470" w:rsidRPr="00887A22">
        <w:t>.</w:t>
      </w:r>
    </w:p>
    <w:p w14:paraId="7C8529EA" w14:textId="77777777" w:rsidR="00960470" w:rsidRPr="000B6029" w:rsidRDefault="003F33D0" w:rsidP="00960470">
      <w:pPr>
        <w:ind w:left="720"/>
        <w:rPr>
          <w:strike/>
        </w:rPr>
      </w:pPr>
      <w:sdt>
        <w:sdtPr>
          <w:id w:val="36456854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commentRangeStart w:id="46"/>
      <w:r w:rsidR="00960470" w:rsidRPr="000B6029">
        <w:rPr>
          <w:strike/>
        </w:rPr>
        <w:t xml:space="preserve">If the risk to participants is greater than minimal, discuss the relevant ethical issues and how they will be (proposal) or were (manuscript) addressed. </w:t>
      </w:r>
      <w:commentRangeEnd w:id="46"/>
      <w:r w:rsidR="00960470" w:rsidRPr="000B6029">
        <w:rPr>
          <w:rStyle w:val="CommentReference"/>
          <w:rFonts w:eastAsia="Times New Roman" w:cs="Arial"/>
          <w:strike/>
        </w:rPr>
        <w:commentReference w:id="46"/>
      </w:r>
    </w:p>
    <w:p w14:paraId="1BA5E8A7" w14:textId="77777777" w:rsidR="00960470" w:rsidRPr="000B6029" w:rsidRDefault="003F33D0" w:rsidP="00960470">
      <w:pPr>
        <w:ind w:left="720"/>
        <w:rPr>
          <w:strike/>
        </w:rPr>
      </w:pPr>
      <w:sdt>
        <w:sdtPr>
          <w:rPr>
            <w:strike/>
          </w:rPr>
          <w:id w:val="-2120664998"/>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how confidentiality or anonymity will be (proposal) or was (manuscript) achieved. </w:t>
      </w:r>
    </w:p>
    <w:p w14:paraId="46DAFED9" w14:textId="2A2BD38A" w:rsidR="00960470" w:rsidRPr="000B6029" w:rsidRDefault="003F33D0" w:rsidP="00960470">
      <w:pPr>
        <w:ind w:left="720"/>
        <w:rPr>
          <w:strike/>
        </w:rPr>
      </w:pPr>
      <w:sdt>
        <w:sdtPr>
          <w:rPr>
            <w:strike/>
          </w:rPr>
          <w:id w:val="-1468888379"/>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Identify how the data will be (proposal) or were (manuscript) securely stored in accordance with I</w:t>
      </w:r>
      <w:r w:rsidR="002B0D4E" w:rsidRPr="000B6029">
        <w:rPr>
          <w:strike/>
        </w:rPr>
        <w:t>.R.B.</w:t>
      </w:r>
      <w:r w:rsidR="00960470" w:rsidRPr="000B6029">
        <w:rPr>
          <w:strike/>
        </w:rPr>
        <w:t xml:space="preserve"> requirements. </w:t>
      </w:r>
    </w:p>
    <w:p w14:paraId="5A6F9CCD" w14:textId="0F4E83E1" w:rsidR="00960470" w:rsidRPr="000B6029" w:rsidRDefault="003F33D0" w:rsidP="00960470">
      <w:pPr>
        <w:ind w:left="720"/>
        <w:rPr>
          <w:strike/>
        </w:rPr>
      </w:pPr>
      <w:sdt>
        <w:sdtPr>
          <w:rPr>
            <w:strike/>
          </w:rPr>
          <w:id w:val="635528967"/>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the role of the researcher in the study. Discuss relevant issues, including biases a</w:t>
      </w:r>
      <w:r w:rsidR="000B6029" w:rsidRPr="000B6029">
        <w:rPr>
          <w:strike/>
        </w:rPr>
        <w:t>nd</w:t>
      </w:r>
      <w:r w:rsidR="00960470" w:rsidRPr="000B6029">
        <w:rPr>
          <w:strike/>
        </w:rPr>
        <w:t xml:space="preserve"> personal and professional experiences with the topic, problem, or context. Present the strategies that will be (proposal) or were (manuscript) used to prevent these biases and experiences from influencing the analysis or findings.</w:t>
      </w:r>
    </w:p>
    <w:p w14:paraId="06DF59BD" w14:textId="50B18522" w:rsidR="00960470" w:rsidRPr="00887A22" w:rsidRDefault="003F33D0" w:rsidP="00960470">
      <w:pPr>
        <w:ind w:left="720"/>
      </w:pPr>
      <w:sdt>
        <w:sdtPr>
          <w:id w:val="-1782869631"/>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In the dissertation manuscript only, include the I</w:t>
      </w:r>
      <w:r w:rsidR="002B0D4E">
        <w:t>.R.B.</w:t>
      </w:r>
      <w:r w:rsidR="00960470" w:rsidRPr="00887A22">
        <w:t xml:space="preserve"> approval letter in an appendix.</w:t>
      </w:r>
    </w:p>
    <w:p w14:paraId="4DBD3C9E" w14:textId="77777777" w:rsidR="002B0D4E" w:rsidRDefault="002B0D4E">
      <w:pPr>
        <w:rPr>
          <w:b/>
        </w:rPr>
      </w:pPr>
      <w:r>
        <w:br w:type="page"/>
      </w:r>
    </w:p>
    <w:p w14:paraId="3D0C41F9" w14:textId="02DC0520" w:rsidR="002C0EC0" w:rsidRDefault="002C0EC0" w:rsidP="002C0EC0">
      <w:pPr>
        <w:pStyle w:val="Heading2"/>
      </w:pPr>
      <w:r>
        <w:lastRenderedPageBreak/>
        <w:t>Summary</w:t>
      </w:r>
    </w:p>
    <w:p w14:paraId="4438B40F" w14:textId="77777777" w:rsidR="002C0EC0" w:rsidRPr="00887A22" w:rsidRDefault="002C0EC0" w:rsidP="002C0EC0">
      <w:pPr>
        <w:ind w:firstLine="720"/>
        <w:contextualSpacing/>
      </w:pPr>
      <w:r w:rsidRPr="00887A22">
        <w:t>Begin writing here…</w:t>
      </w:r>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3F33D0"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1443620D" w:rsidR="002C0EC0" w:rsidRPr="00887A22" w:rsidRDefault="003F33D0"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w:t>
      </w:r>
      <w:r w:rsidR="001779D5">
        <w:t>study's findings</w:t>
      </w:r>
      <w:r w:rsidR="002C0EC0" w:rsidRPr="00887A22">
        <w:t>.</w:t>
      </w:r>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0C585054" w14:textId="77777777" w:rsidR="001779D5" w:rsidRDefault="002C0EC0" w:rsidP="001779D5">
              <w:pPr>
                <w:pStyle w:val="Bibliography"/>
                <w:ind w:left="720" w:hanging="720"/>
                <w:rPr>
                  <w:noProof/>
                </w:rPr>
              </w:pPr>
              <w:r>
                <w:fldChar w:fldCharType="begin"/>
              </w:r>
              <w:r>
                <w:instrText xml:space="preserve"> BIBLIOGRAPHY </w:instrText>
              </w:r>
              <w:r>
                <w:fldChar w:fldCharType="separate"/>
              </w:r>
              <w:r w:rsidR="001779D5">
                <w:rPr>
                  <w:noProof/>
                </w:rPr>
                <w:t xml:space="preserve">Adashi, E., Walters, L., &amp; Menikoff, J. (2018). The Belmont Report at 40: Reckoning With Time. </w:t>
              </w:r>
              <w:r w:rsidR="001779D5">
                <w:rPr>
                  <w:i/>
                  <w:iCs/>
                  <w:noProof/>
                </w:rPr>
                <w:t>American Journal of Public Health, 108</w:t>
              </w:r>
              <w:r w:rsidR="001779D5">
                <w:rPr>
                  <w:noProof/>
                </w:rPr>
                <w:t>(10), 1345-1348. Retrieved from https://search-ebscohost-com.proxy1.ncu.edu/login.aspx?direct=true&amp;db=s3h&amp;AN=131743373&amp;site=eds-live</w:t>
              </w:r>
            </w:p>
            <w:p w14:paraId="330E5DD0" w14:textId="77777777" w:rsidR="001779D5" w:rsidRDefault="001779D5" w:rsidP="001779D5">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4931D059" w14:textId="77777777" w:rsidR="001779D5" w:rsidRDefault="001779D5" w:rsidP="001779D5">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1712D3BB" w14:textId="77777777" w:rsidR="001779D5" w:rsidRDefault="001779D5" w:rsidP="001779D5">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485167E7" w14:textId="77777777" w:rsidR="001779D5" w:rsidRDefault="001779D5" w:rsidP="001779D5">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760BE0E1" w14:textId="77777777" w:rsidR="001779D5" w:rsidRDefault="001779D5" w:rsidP="001779D5">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40BF2162" w14:textId="77777777" w:rsidR="001779D5" w:rsidRDefault="001779D5" w:rsidP="001779D5">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7F707A00" w14:textId="77777777" w:rsidR="001779D5" w:rsidRDefault="001779D5" w:rsidP="001779D5">
              <w:pPr>
                <w:pStyle w:val="Bibliography"/>
                <w:ind w:left="720" w:hanging="720"/>
                <w:rPr>
                  <w:noProof/>
                </w:rPr>
              </w:pPr>
              <w:r>
                <w:rPr>
                  <w:noProof/>
                </w:rPr>
                <w:t xml:space="preserve">Burr, V. (2015). </w:t>
              </w:r>
              <w:r>
                <w:rPr>
                  <w:i/>
                  <w:iCs/>
                  <w:noProof/>
                </w:rPr>
                <w:t>Social Constructionism.</w:t>
              </w:r>
              <w:r>
                <w:rPr>
                  <w:noProof/>
                </w:rPr>
                <w:t xml:space="preserve"> Routledge.</w:t>
              </w:r>
            </w:p>
            <w:p w14:paraId="19054432" w14:textId="77777777" w:rsidR="001779D5" w:rsidRDefault="001779D5" w:rsidP="001779D5">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7A15DEBE" w14:textId="77777777" w:rsidR="001779D5" w:rsidRDefault="001779D5" w:rsidP="001779D5">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340F2226" w14:textId="77777777" w:rsidR="001779D5" w:rsidRDefault="001779D5" w:rsidP="001779D5">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439DE0D9" w14:textId="77777777" w:rsidR="001779D5" w:rsidRDefault="001779D5" w:rsidP="001779D5">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1AC7C4E5" w14:textId="77777777" w:rsidR="001779D5" w:rsidRDefault="001779D5" w:rsidP="001779D5">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7CD9336B" w14:textId="77777777" w:rsidR="001779D5" w:rsidRDefault="001779D5" w:rsidP="001779D5">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39692D9" w14:textId="77777777" w:rsidR="001779D5" w:rsidRDefault="001779D5" w:rsidP="001779D5">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328C55CA" w14:textId="77777777" w:rsidR="001779D5" w:rsidRDefault="001779D5" w:rsidP="001779D5">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4CC400BF" w14:textId="77777777" w:rsidR="001779D5" w:rsidRDefault="001779D5" w:rsidP="001779D5">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165D7B7A" w14:textId="77777777" w:rsidR="001779D5" w:rsidRDefault="001779D5" w:rsidP="001779D5">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B56B3DD" w14:textId="77777777" w:rsidR="001779D5" w:rsidRDefault="001779D5" w:rsidP="001779D5">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683EF621" w14:textId="77777777" w:rsidR="001779D5" w:rsidRDefault="001779D5" w:rsidP="001779D5">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52754FD1" w14:textId="77777777" w:rsidR="001779D5" w:rsidRDefault="001779D5" w:rsidP="001779D5">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7983DA1E" w14:textId="77777777" w:rsidR="001779D5" w:rsidRDefault="001779D5" w:rsidP="001779D5">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52539EE4" w14:textId="77777777" w:rsidR="001779D5" w:rsidRDefault="001779D5" w:rsidP="001779D5">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6D03838A" w14:textId="77777777" w:rsidR="001779D5" w:rsidRDefault="001779D5" w:rsidP="001779D5">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3ADA48DB" w14:textId="77777777" w:rsidR="001779D5" w:rsidRDefault="001779D5" w:rsidP="001779D5">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6329DFFC" w14:textId="77777777" w:rsidR="001779D5" w:rsidRDefault="001779D5" w:rsidP="001779D5">
              <w:pPr>
                <w:pStyle w:val="Bibliography"/>
                <w:ind w:left="720" w:hanging="720"/>
                <w:rPr>
                  <w:noProof/>
                </w:rPr>
              </w:pPr>
              <w:r>
                <w:rPr>
                  <w:noProof/>
                </w:rPr>
                <w:lastRenderedPageBreak/>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5882AC00" w14:textId="77777777" w:rsidR="001779D5" w:rsidRDefault="001779D5" w:rsidP="001779D5">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280D5398" w14:textId="77777777" w:rsidR="001779D5" w:rsidRDefault="001779D5" w:rsidP="001779D5">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1779D5">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 xml:space="preserve">Problem and Purpose statement are direct copies from </w:t>
      </w:r>
      <w:proofErr w:type="gramStart"/>
      <w:r>
        <w:t>chapter-1</w:t>
      </w:r>
      <w:proofErr w:type="gramEnd"/>
      <w:r w:rsidR="001459B0">
        <w:t xml:space="preserve">. Keep both </w:t>
      </w:r>
      <w:proofErr w:type="spellStart"/>
      <w:r w:rsidR="001459B0">
        <w:t>insync</w:t>
      </w:r>
      <w:proofErr w:type="spellEnd"/>
      <w:r w:rsidR="001459B0">
        <w:t>.</w:t>
      </w:r>
    </w:p>
  </w:comment>
  <w:comment w:id="1"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3F33D0"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 w:author="nate nate" w:date="2022-06-04T23:14:00Z" w:initials="nn">
    <w:p w14:paraId="0FD17527" w14:textId="4FD0D090" w:rsidR="00627983" w:rsidRDefault="00627983">
      <w:pPr>
        <w:pStyle w:val="CommentText"/>
      </w:pPr>
      <w:r>
        <w:rPr>
          <w:rStyle w:val="CommentReference"/>
        </w:rPr>
        <w:annotationRef/>
      </w:r>
      <w:r>
        <w:t>TIM7211-1</w:t>
      </w:r>
    </w:p>
  </w:comment>
  <w:comment w:id="3" w:author="nate nate" w:date="2022-06-11T13:46:00Z" w:initials="nn">
    <w:p w14:paraId="39D3A523" w14:textId="46ADF1BF" w:rsidR="003B0D23" w:rsidRDefault="003B0D23">
      <w:pPr>
        <w:pStyle w:val="CommentText"/>
      </w:pPr>
      <w:r>
        <w:rPr>
          <w:rStyle w:val="CommentReference"/>
        </w:rPr>
        <w:annotationRef/>
      </w:r>
      <w:r>
        <w:t>TIM7101-3</w:t>
      </w:r>
    </w:p>
  </w:comment>
  <w:comment w:id="4" w:author="nate nate" w:date="2022-06-11T13:49:00Z" w:initials="nn">
    <w:p w14:paraId="0F2233FC" w14:textId="7BAC796C" w:rsidR="006A55CA" w:rsidRDefault="006A55CA">
      <w:pPr>
        <w:pStyle w:val="CommentText"/>
      </w:pPr>
      <w:r>
        <w:rPr>
          <w:rStyle w:val="CommentReference"/>
        </w:rPr>
        <w:annotationRef/>
      </w:r>
      <w:r>
        <w:t>Insert values here</w:t>
      </w:r>
    </w:p>
  </w:comment>
  <w:comment w:id="5" w:author="nate nate" w:date="2022-06-11T13:50:00Z" w:initials="nn">
    <w:p w14:paraId="22BB2F4E" w14:textId="6B0A613F" w:rsidR="006A55CA" w:rsidRDefault="006A55CA">
      <w:pPr>
        <w:pStyle w:val="CommentText"/>
      </w:pPr>
      <w:r>
        <w:rPr>
          <w:rStyle w:val="CommentReference"/>
        </w:rPr>
        <w:annotationRef/>
      </w:r>
      <w:r>
        <w:t>And here</w:t>
      </w:r>
    </w:p>
  </w:comment>
  <w:comment w:id="6" w:author="nate nate" w:date="2022-06-11T13:50:00Z" w:initials="nn">
    <w:p w14:paraId="0841AA32" w14:textId="7E590350" w:rsidR="006A55CA" w:rsidRDefault="006A55CA">
      <w:pPr>
        <w:pStyle w:val="CommentText"/>
      </w:pPr>
      <w:r>
        <w:rPr>
          <w:rStyle w:val="CommentReference"/>
        </w:rPr>
        <w:annotationRef/>
      </w:r>
      <w:r>
        <w:t>Here</w:t>
      </w:r>
    </w:p>
  </w:comment>
  <w:comment w:id="7" w:author="nate nate" w:date="2022-06-11T13:50:00Z" w:initials="nn">
    <w:p w14:paraId="37E1086D" w14:textId="73914262" w:rsidR="006A55CA" w:rsidRDefault="006A55CA">
      <w:pPr>
        <w:pStyle w:val="CommentText"/>
      </w:pPr>
      <w:r>
        <w:rPr>
          <w:rStyle w:val="CommentReference"/>
        </w:rPr>
        <w:annotationRef/>
      </w:r>
      <w:r>
        <w:t>Recalculate this table after choosing appropriate values</w:t>
      </w:r>
    </w:p>
  </w:comment>
  <w:comment w:id="12"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 xml:space="preserve">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w:t>
      </w:r>
      <w:proofErr w:type="gramStart"/>
      <w:r w:rsidRPr="003D3FE1">
        <w:rPr>
          <w:sz w:val="22"/>
        </w:rPr>
        <w:t>item</w:t>
      </w:r>
      <w:proofErr w:type="gramEnd"/>
      <w:r w:rsidRPr="003D3FE1">
        <w:rPr>
          <w:sz w:val="22"/>
        </w:rPr>
        <w:t xml:space="preserve">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13"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4"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 xml:space="preserve">Verify with the IRB whether permission is </w:t>
      </w:r>
      <w:proofErr w:type="gramStart"/>
      <w:r w:rsidRPr="003D3FE1">
        <w:rPr>
          <w:sz w:val="22"/>
        </w:rPr>
        <w:t>needed</w:t>
      </w:r>
      <w:proofErr w:type="gramEnd"/>
      <w:r w:rsidRPr="003D3FE1">
        <w:rPr>
          <w:sz w:val="22"/>
        </w:rPr>
        <w:t xml:space="preserve">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22"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21"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26"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7"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32"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6"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40"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44"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45"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46"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0F2233FC" w15:done="0"/>
  <w15:commentEx w15:paraId="22BB2F4E" w15:done="0"/>
  <w15:commentEx w15:paraId="0841AA32" w15:done="0"/>
  <w15:commentEx w15:paraId="37E1086D" w15:done="0"/>
  <w15:commentEx w15:paraId="67BEE8FD" w15:done="0"/>
  <w15:commentEx w15:paraId="21FD1006" w15:done="0"/>
  <w15:commentEx w15:paraId="045C6F0E" w15:done="0"/>
  <w15:commentEx w15:paraId="537A47E1" w15:done="1"/>
  <w15:commentEx w15:paraId="31E800D0" w15:done="0"/>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64F1C11" w16cex:dateUtc="2022-06-11T17:50:00Z"/>
  <w16cex:commentExtensible w16cex:durableId="264F1C1B" w16cex:dateUtc="2022-06-11T17:50:00Z"/>
  <w16cex:commentExtensible w16cex:durableId="264F1C23" w16cex:dateUtc="2022-06-11T17:50:00Z"/>
  <w16cex:commentExtensible w16cex:durableId="226EB79B" w16cex:dateUtc="2019-03-20T21:10:00Z"/>
  <w16cex:commentExtensible w16cex:durableId="226EB79C" w16cex:dateUtc="2019-03-20T21:10:00Z"/>
  <w16cex:commentExtensible w16cex:durableId="226EB79D" w16cex:dateUtc="2019-03-20T21:11:00Z"/>
  <w16cex:commentExtensible w16cex:durableId="264F49AF" w16cex:dateUtc="2022-06-11T21:04:00Z"/>
  <w16cex:commentExtensible w16cex:durableId="264F4B51" w16cex:dateUtc="2022-06-11T21:11: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22BB2F4E" w16cid:durableId="264F1C11"/>
  <w16cid:commentId w16cid:paraId="0841AA32" w16cid:durableId="264F1C1B"/>
  <w16cid:commentId w16cid:paraId="37E1086D" w16cid:durableId="264F1C23"/>
  <w16cid:commentId w16cid:paraId="67BEE8FD" w16cid:durableId="226EB79B"/>
  <w16cid:commentId w16cid:paraId="21FD1006" w16cid:durableId="226EB79C"/>
  <w16cid:commentId w16cid:paraId="045C6F0E" w16cid:durableId="226EB79D"/>
  <w16cid:commentId w16cid:paraId="537A47E1" w16cid:durableId="264F49AF"/>
  <w16cid:commentId w16cid:paraId="31E800D0" w16cid:durableId="264F4B51"/>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5E457" w14:textId="77777777" w:rsidR="003F33D0" w:rsidRDefault="003F33D0" w:rsidP="0082223F">
      <w:pPr>
        <w:spacing w:line="240" w:lineRule="auto"/>
      </w:pPr>
      <w:r>
        <w:separator/>
      </w:r>
    </w:p>
  </w:endnote>
  <w:endnote w:type="continuationSeparator" w:id="0">
    <w:p w14:paraId="52341CA7" w14:textId="77777777" w:rsidR="003F33D0" w:rsidRDefault="003F33D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580E3" w14:textId="77777777" w:rsidR="003F33D0" w:rsidRDefault="003F33D0" w:rsidP="0082223F">
      <w:pPr>
        <w:spacing w:line="240" w:lineRule="auto"/>
      </w:pPr>
      <w:r>
        <w:separator/>
      </w:r>
    </w:p>
  </w:footnote>
  <w:footnote w:type="continuationSeparator" w:id="0">
    <w:p w14:paraId="0D35E73C" w14:textId="77777777" w:rsidR="003F33D0" w:rsidRDefault="003F33D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3137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B6029"/>
    <w:rsid w:val="00123838"/>
    <w:rsid w:val="001459B0"/>
    <w:rsid w:val="001779D5"/>
    <w:rsid w:val="00183597"/>
    <w:rsid w:val="001B27C4"/>
    <w:rsid w:val="00220316"/>
    <w:rsid w:val="002516A9"/>
    <w:rsid w:val="002806B7"/>
    <w:rsid w:val="002A007A"/>
    <w:rsid w:val="002B0D4E"/>
    <w:rsid w:val="002C0EC0"/>
    <w:rsid w:val="002C6647"/>
    <w:rsid w:val="002F2E59"/>
    <w:rsid w:val="002F7953"/>
    <w:rsid w:val="003B0D23"/>
    <w:rsid w:val="003B2908"/>
    <w:rsid w:val="003F33D0"/>
    <w:rsid w:val="003F4714"/>
    <w:rsid w:val="00401D65"/>
    <w:rsid w:val="004223E8"/>
    <w:rsid w:val="00424108"/>
    <w:rsid w:val="0043349F"/>
    <w:rsid w:val="00484FBB"/>
    <w:rsid w:val="004A784B"/>
    <w:rsid w:val="004A7B81"/>
    <w:rsid w:val="004D1D8B"/>
    <w:rsid w:val="00564461"/>
    <w:rsid w:val="005B7079"/>
    <w:rsid w:val="005C39BA"/>
    <w:rsid w:val="00611034"/>
    <w:rsid w:val="00627983"/>
    <w:rsid w:val="00680B73"/>
    <w:rsid w:val="006A55CA"/>
    <w:rsid w:val="006D793E"/>
    <w:rsid w:val="00706412"/>
    <w:rsid w:val="0073677D"/>
    <w:rsid w:val="0082223F"/>
    <w:rsid w:val="0084208B"/>
    <w:rsid w:val="00877007"/>
    <w:rsid w:val="008B5129"/>
    <w:rsid w:val="008E3E18"/>
    <w:rsid w:val="009500BA"/>
    <w:rsid w:val="00960470"/>
    <w:rsid w:val="009A757D"/>
    <w:rsid w:val="00A2691C"/>
    <w:rsid w:val="00A423F8"/>
    <w:rsid w:val="00A65560"/>
    <w:rsid w:val="00AE07B1"/>
    <w:rsid w:val="00B13ADF"/>
    <w:rsid w:val="00B83595"/>
    <w:rsid w:val="00C54DC8"/>
    <w:rsid w:val="00C73692"/>
    <w:rsid w:val="00C93BB7"/>
    <w:rsid w:val="00CB25E9"/>
    <w:rsid w:val="00CD029B"/>
    <w:rsid w:val="00D0165E"/>
    <w:rsid w:val="00D06DC2"/>
    <w:rsid w:val="00D75C7B"/>
    <w:rsid w:val="00D85C7B"/>
    <w:rsid w:val="00DE2224"/>
    <w:rsid w:val="00E234E9"/>
    <w:rsid w:val="00E51CA0"/>
    <w:rsid w:val="00ED3713"/>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10</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11</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12</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13</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14</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15</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16</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17</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18</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19</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20</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21</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22</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23</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24</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25</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26</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27</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28</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s>
</file>

<file path=customXml/itemProps1.xml><?xml version="1.0" encoding="utf-8"?>
<ds:datastoreItem xmlns:ds="http://schemas.openxmlformats.org/officeDocument/2006/customXml" ds:itemID="{CD5D9279-96C2-4A4E-A79A-8732B3FB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19</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45</cp:revision>
  <dcterms:created xsi:type="dcterms:W3CDTF">2019-05-19T17:38:00Z</dcterms:created>
  <dcterms:modified xsi:type="dcterms:W3CDTF">2022-06-11T21:13:00Z</dcterms:modified>
</cp:coreProperties>
</file>