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F7CBA"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p w:rsidR="0082223F" w:rsidRDefault="00336D8B" w:rsidP="00C35300">
      <w:pPr>
        <w:pStyle w:val="Heading1"/>
      </w:pPr>
      <w:r>
        <w:lastRenderedPageBreak/>
        <w:t>QoS</w:t>
      </w:r>
      <w:r w:rsidR="00C35300">
        <w:t xml:space="preserve"> </w:t>
      </w:r>
      <w:r>
        <w:t>in</w:t>
      </w:r>
      <w:r w:rsidR="00C35300">
        <w:t xml:space="preserve"> Software Defined Networks</w:t>
      </w:r>
    </w:p>
    <w:p w:rsidR="00C35300" w:rsidRDefault="00C35300" w:rsidP="00C35300">
      <w:r>
        <w:tab/>
        <w:t>Software Defined Networking (SDN) represents the next evolutionary step in network design. This is accomplished by a clear separation of application, control, and data planes; such that (1) hardware switches are reduced simple packet forwarding devices; (2) viewing and modifying the network configuration is standardized across vendors; and (3) general purpose programming languages can register for networking events across the pipeline. Having these capabilities enables networks to be highly dynamic and reactive to issues impacting the Service Level Agreements (SLA).</w:t>
      </w:r>
    </w:p>
    <w:p w:rsidR="0082223F" w:rsidRDefault="00C35300" w:rsidP="006D7415">
      <w:r>
        <w:tab/>
        <w:t xml:space="preserve">An open research area within software defined networks is </w:t>
      </w:r>
      <w:r w:rsidR="00463F45">
        <w:t>mechanisms for increasing the supportable size of Policy Based R</w:t>
      </w:r>
      <w:r w:rsidR="006D7415">
        <w:t>outing</w:t>
      </w:r>
      <w:r w:rsidR="00463F45">
        <w:t xml:space="preserve"> (PBR) on the Open Flow Tables. This is caused by</w:t>
      </w:r>
      <w:r w:rsidR="00463F45" w:rsidRPr="00463F45">
        <w:t xml:space="preserve"> </w:t>
      </w:r>
      <w:r w:rsidR="00463F45">
        <w:t xml:space="preserve">the </w:t>
      </w:r>
      <w:r w:rsidR="00463F45">
        <w:t xml:space="preserve">finite availability of Ternary Content-Addressable Memory (TCAM) on </w:t>
      </w:r>
      <w:r w:rsidR="00463F45">
        <w:t xml:space="preserve">the physical </w:t>
      </w:r>
      <w:r w:rsidR="00463F45">
        <w:t>networking devices</w:t>
      </w:r>
      <w:sdt>
        <w:sdtPr>
          <w:id w:val="447364777"/>
          <w:citation/>
        </w:sdt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xml:space="preserve">. If these tables are unable to continue growing at a sustainable rate this will lead to challenges managing </w:t>
      </w:r>
      <w:r w:rsidR="00435E1A">
        <w:t xml:space="preserve">large scale dynamic networks, due to an expected </w:t>
      </w:r>
      <w:r w:rsidR="00336D8B">
        <w:t xml:space="preserve">explosion </w:t>
      </w:r>
      <w:r w:rsidR="00463F45">
        <w:t xml:space="preserve">in </w:t>
      </w:r>
      <w:r w:rsidR="00336D8B">
        <w:t xml:space="preserve">both legitimate (e.g. </w:t>
      </w:r>
      <w:proofErr w:type="spellStart"/>
      <w:r w:rsidR="00336D8B">
        <w:t>IIoT</w:t>
      </w:r>
      <w:proofErr w:type="spellEnd"/>
      <w:r w:rsidR="00336D8B">
        <w:t xml:space="preserve"> and 5G) and malicious traffic (e.g. DDoS).</w:t>
      </w:r>
    </w:p>
    <w:p w:rsidR="00751933" w:rsidRDefault="00751933" w:rsidP="00751933">
      <w:pPr>
        <w:pStyle w:val="Heading2"/>
      </w:pPr>
      <w:r>
        <w:t>What is TCAM</w:t>
      </w:r>
    </w:p>
    <w:p w:rsidR="00A6642E" w:rsidRDefault="00751933" w:rsidP="00751933">
      <w:r>
        <w:tab/>
        <w:t xml:space="preserve">A commodity workstation using Random Access Memory (RAM) </w:t>
      </w:r>
      <w:r w:rsidR="008F74CC">
        <w:t xml:space="preserve">and requires the application </w:t>
      </w:r>
      <w:r w:rsidR="00A6642E">
        <w:t xml:space="preserve">to provide an </w:t>
      </w:r>
      <w:r w:rsidR="00A6642E" w:rsidRPr="00A6642E">
        <w:rPr>
          <w:i/>
        </w:rPr>
        <w:t>address</w:t>
      </w:r>
      <w:r w:rsidR="00A6642E">
        <w:t xml:space="preserve"> to retrieve the </w:t>
      </w:r>
      <w:r w:rsidR="00A6642E">
        <w:rPr>
          <w:i/>
        </w:rPr>
        <w:t>content</w:t>
      </w:r>
      <w:r w:rsidR="00A6642E">
        <w:t>. Networking equipment has the opposite requirement as the packet contains the destination’s virtual IP (content) and needs to be mapped to a virtual switch port (address).</w:t>
      </w:r>
    </w:p>
    <w:p w:rsidR="00751933" w:rsidRDefault="00A6642E" w:rsidP="00751933">
      <w:r>
        <w:tab/>
        <w:t>Ternary Content-Addressable Memory</w:t>
      </w:r>
      <w:r w:rsidR="00C15688">
        <w:t xml:space="preserve"> (TCAM)</w:t>
      </w:r>
      <w:r>
        <w:t xml:space="preserve"> addresses this requirement by allowing each bit in the content to represent states (a) on; (b) off; or (c) doesn’t care about ‘x’. Due to the wildcard nature, lookup tables can be queried in parallel and </w:t>
      </w:r>
      <w:r w:rsidR="00C15688">
        <w:t>network masks applied very efficiently</w:t>
      </w:r>
      <w:sdt>
        <w:sdtPr>
          <w:id w:val="-433987950"/>
          <w:citation/>
        </w:sdtPr>
        <w:sdtContent>
          <w:r w:rsidR="00C15688">
            <w:fldChar w:fldCharType="begin"/>
          </w:r>
          <w:r w:rsidR="00C15688">
            <w:instrText xml:space="preserve"> CITATION DUR19 \l 1033 </w:instrText>
          </w:r>
          <w:r w:rsidR="00C15688">
            <w:fldChar w:fldCharType="separate"/>
          </w:r>
          <w:r w:rsidR="00C15688">
            <w:rPr>
              <w:noProof/>
            </w:rPr>
            <w:t xml:space="preserve"> (Ullah, Ullah, Afzaal, &amp; Lee, 2019)</w:t>
          </w:r>
          <w:r w:rsidR="00C15688">
            <w:fldChar w:fldCharType="end"/>
          </w:r>
        </w:sdtContent>
      </w:sdt>
      <w:r w:rsidR="00C15688">
        <w:t>.</w:t>
      </w:r>
    </w:p>
    <w:p w:rsidR="004E02F0" w:rsidRDefault="00C15688" w:rsidP="00751933">
      <w:r>
        <w:lastRenderedPageBreak/>
        <w:tab/>
        <w:t>The amount of TCAM on a device is limited due to (1) the chips are expensive to produce; (2) requires significant power for complex circuits; (3) required power consumption emits large amounts of heat; and (4) the complex circuit</w:t>
      </w:r>
      <w:r w:rsidR="004E02F0">
        <w:t>ry</w:t>
      </w:r>
      <w:r>
        <w:t xml:space="preserve"> reduces </w:t>
      </w:r>
      <w:r w:rsidR="004E02F0">
        <w:t>amount of memory that can be placed per square centimeter</w:t>
      </w:r>
      <w:r>
        <w:t xml:space="preserve">. </w:t>
      </w:r>
    </w:p>
    <w:p w:rsidR="00C15688" w:rsidRPr="00751933" w:rsidRDefault="00C15688" w:rsidP="004E02F0">
      <w:pPr>
        <w:ind w:firstLine="720"/>
      </w:pPr>
      <w:r>
        <w:t xml:space="preserve">According to Ullah et al, a typical chip contains </w:t>
      </w:r>
      <w:r w:rsidR="004E02F0">
        <w:t>on</w:t>
      </w:r>
      <w:r>
        <w:t xml:space="preserve"> the order of 1000 x 144-bit words. This is enough for traditional static networks but will limit innovation as competing consumers fight for these finite resources.</w:t>
      </w:r>
      <w:r w:rsidR="004E02F0">
        <w:t xml:space="preserve"> To partially mitigate the scenario vendor’s have introduced the notion of ‘Flow Groups’ as a mechanism to group multiple flows into the same policy entry. However, many business-critical scenarios such as DDoS mitigation and ensuring QoS will require more fine-grained policies.</w:t>
      </w:r>
    </w:p>
    <w:p w:rsidR="00751933" w:rsidRDefault="00751933" w:rsidP="004E02F0">
      <w:pPr>
        <w:pStyle w:val="Heading1"/>
      </w:pPr>
      <w:r>
        <w:t>Influence of Legitimate Traffic</w:t>
      </w:r>
    </w:p>
    <w:p w:rsidR="00463F45" w:rsidRDefault="00463F45" w:rsidP="00C35300">
      <w:r>
        <w:tab/>
        <w:t>It is well publicized that the rise of Industrial Internet of Things</w:t>
      </w:r>
      <w:r w:rsidR="004E02F0">
        <w:t xml:space="preserve"> (</w:t>
      </w:r>
      <w:proofErr w:type="spellStart"/>
      <w:r w:rsidR="004E02F0">
        <w:t>IIoT</w:t>
      </w:r>
      <w:proofErr w:type="spellEnd"/>
      <w:r w:rsidR="004E02F0">
        <w:t>)</w:t>
      </w:r>
      <w:r>
        <w:t xml:space="preserve"> and 5G wireless are expected to cause a 1000-fold increase in the number of connected devices</w:t>
      </w:r>
      <w:sdt>
        <w:sdtPr>
          <w:id w:val="-815258438"/>
          <w:citation/>
        </w:sdt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t xml:space="preserve">. </w:t>
      </w:r>
      <w:r w:rsidR="00435E1A">
        <w:t xml:space="preserve">Each of these devices will need to be registered within the OpenFlow switches as a requirement to correctly route the last hop. </w:t>
      </w:r>
      <w:r w:rsidR="006D7415">
        <w:t xml:space="preserve">In </w:t>
      </w:r>
      <w:r w:rsidR="00435E1A">
        <w:t>high traffic areas</w:t>
      </w:r>
      <w:r w:rsidR="006D7415">
        <w:t>,</w:t>
      </w:r>
      <w:r w:rsidR="00435E1A">
        <w:t xml:space="preserve"> such as convention centers </w:t>
      </w:r>
      <w:r w:rsidR="006D7415">
        <w:t xml:space="preserve">or autonomous factories, these </w:t>
      </w:r>
      <w:r w:rsidR="00A15ED4">
        <w:t xml:space="preserve">wireless </w:t>
      </w:r>
      <w:r w:rsidR="006D7415">
        <w:t xml:space="preserve">devices will roam about the premise. This adds further load across multiple physical switches as they </w:t>
      </w:r>
      <w:r w:rsidR="00A15ED4">
        <w:t xml:space="preserve">must </w:t>
      </w:r>
      <w:r w:rsidR="006D7415">
        <w:t xml:space="preserve">cache the policy for devices that </w:t>
      </w:r>
      <w:r w:rsidR="00A15ED4">
        <w:t xml:space="preserve">are </w:t>
      </w:r>
      <w:r w:rsidR="006D7415">
        <w:t>likely to return soon.</w:t>
      </w:r>
    </w:p>
    <w:p w:rsidR="00DE094B" w:rsidRDefault="004E02F0" w:rsidP="00C35300">
      <w:r>
        <w:tab/>
        <w:t>For many scenarios of the Industry 4.0 movement hav</w:t>
      </w:r>
      <w:r w:rsidR="00DE094B">
        <w:t>ing</w:t>
      </w:r>
      <w:r>
        <w:t xml:space="preserve"> mechanisms to ensure Quality of Service are required for safety reasons. </w:t>
      </w:r>
      <w:proofErr w:type="spellStart"/>
      <w:r w:rsidR="00DE094B">
        <w:t>Frodigh</w:t>
      </w:r>
      <w:proofErr w:type="spellEnd"/>
      <w:r w:rsidR="00DE094B">
        <w:t xml:space="preserve"> used a contrived example with a balancing robot that relied on external network services for calibration information. As he talked, the network signal was increasingly delayed causing the robot to drunkenly wobble. Eventually the </w:t>
      </w:r>
      <w:r w:rsidR="00DE094B">
        <w:lastRenderedPageBreak/>
        <w:t xml:space="preserve">robot tipped over representing cataphoric failure. </w:t>
      </w:r>
      <w:r w:rsidR="00D25654">
        <w:t>This demonstrates the need for richer policies in competing consumer scenarios.</w:t>
      </w:r>
      <w:bookmarkStart w:id="0" w:name="_GoBack"/>
      <w:bookmarkEnd w:id="0"/>
    </w:p>
    <w:p w:rsidR="00751933" w:rsidRDefault="00751933" w:rsidP="004E02F0">
      <w:pPr>
        <w:pStyle w:val="Heading1"/>
      </w:pPr>
      <w:r>
        <w:t>Influence of Malicious Traffic</w:t>
      </w:r>
    </w:p>
    <w:p w:rsidR="006D7415" w:rsidRDefault="006D7415" w:rsidP="00C35300">
      <w:r>
        <w:tab/>
        <w:t>It is also well publicized that Distributed Denial of Service attacks are continuing to grow in frequency against enterprises. Akamai Technologies is responsible for the management of Global Content Delivery Networks (CDN); they have reported an annualized increase in attacks at 60%</w:t>
      </w:r>
      <w:sdt>
        <w:sdtPr>
          <w:id w:val="1306122722"/>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 defined networking solutions as their mitigation strategy. However, these studies are (1) based on small simulated data sets; (2) addressed only half the scenario; and; (3) ignored the scalability concerns of granular policy requirements.</w:t>
      </w:r>
    </w:p>
    <w:p w:rsidR="00751933" w:rsidRDefault="00751933" w:rsidP="00751933">
      <w:pPr>
        <w:pStyle w:val="Heading2"/>
      </w:pPr>
    </w:p>
    <w:p w:rsidR="006D7415" w:rsidRDefault="006D7415" w:rsidP="00C35300">
      <w:r>
        <w:tab/>
      </w:r>
    </w:p>
    <w:p w:rsidR="0082223F" w:rsidRPr="0082223F" w:rsidRDefault="0082223F" w:rsidP="00336D8B">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CBA" w:rsidRDefault="002F7CBA" w:rsidP="00C35300">
      <w:r>
        <w:separator/>
      </w:r>
    </w:p>
  </w:endnote>
  <w:endnote w:type="continuationSeparator" w:id="0">
    <w:p w:rsidR="002F7CBA" w:rsidRDefault="002F7CBA"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CBA" w:rsidRDefault="002F7CBA" w:rsidP="00C35300">
      <w:r>
        <w:separator/>
      </w:r>
    </w:p>
  </w:footnote>
  <w:footnote w:type="continuationSeparator" w:id="0">
    <w:p w:rsidR="002F7CBA" w:rsidRDefault="002F7CBA"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82223F" w:rsidRDefault="0082223F" w:rsidP="00C35300">
        <w:pPr>
          <w:pStyle w:val="Header"/>
          <w:rPr>
            <w:b/>
            <w:bCs/>
          </w:rPr>
        </w:pPr>
        <w:r>
          <w:t>TIM-</w:t>
        </w:r>
        <w:r w:rsidR="004A784B">
          <w:t>7010</w:t>
        </w:r>
        <w:r>
          <w:t xml:space="preserve">: </w:t>
        </w:r>
        <w:r w:rsidR="004A784B">
          <w:t>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708"/>
    <w:rsid w:val="00036F58"/>
    <w:rsid w:val="00183597"/>
    <w:rsid w:val="002806B7"/>
    <w:rsid w:val="002F7CBA"/>
    <w:rsid w:val="00336D8B"/>
    <w:rsid w:val="00435E1A"/>
    <w:rsid w:val="00463F45"/>
    <w:rsid w:val="004A784B"/>
    <w:rsid w:val="004E02F0"/>
    <w:rsid w:val="006D7415"/>
    <w:rsid w:val="00751933"/>
    <w:rsid w:val="007B40D4"/>
    <w:rsid w:val="0082223F"/>
    <w:rsid w:val="008B5129"/>
    <w:rsid w:val="008F74CC"/>
    <w:rsid w:val="00A15ED4"/>
    <w:rsid w:val="00A6642E"/>
    <w:rsid w:val="00BA4669"/>
    <w:rsid w:val="00C15688"/>
    <w:rsid w:val="00C35300"/>
    <w:rsid w:val="00C73692"/>
    <w:rsid w:val="00D25654"/>
    <w:rsid w:val="00D7225F"/>
    <w:rsid w:val="00DE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A82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1870415248">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3</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6</b:RefOrder>
  </b:Source>
  <b:Source>
    <b:Tag>Jai13</b:Tag>
    <b:SourceType>JournalArticle</b:SourceType>
    <b:Guid>{5DA24CBC-6BA5-479C-9263-BA2C5527A493}</b:Guid>
    <b:Author>
      <b:Author>
        <b:Corporate>Jain et.al</b:Corporate>
      </b:Author>
    </b:Author>
    <b:Title>B4: Experience with a Globally-Deployed Software Defined WAN</b:Title>
    <b:JournalName>SIGCOMM’13, August 12–16, 2013, Hong Kong, China.</b:JournalName>
    <b:Year>2013</b:Year>
    <b:RefOrder>7</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8</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9</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10</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5</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11</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s>
</file>

<file path=customXml/itemProps1.xml><?xml version="1.0" encoding="utf-8"?>
<ds:datastoreItem xmlns:ds="http://schemas.openxmlformats.org/officeDocument/2006/customXml" ds:itemID="{9709D896-0600-4ECA-B08C-FF0C9E99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2019-05-19T17:38:00Z</dcterms:created>
  <dcterms:modified xsi:type="dcterms:W3CDTF">2019-07-07T20:03:00Z</dcterms:modified>
</cp:coreProperties>
</file>