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2C2" w:rsidRDefault="008D7C3C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>
      <w:pPr>
        <w:pStyle w:val="Title"/>
      </w:pPr>
      <w:r>
        <w:t xml:space="preserve">Section </w:t>
      </w:r>
      <w:r w:rsidR="00E23102">
        <w:t>3</w:t>
      </w:r>
      <w:r>
        <w:t xml:space="preserve">: Week </w:t>
      </w:r>
      <w:r w:rsidR="00E23102">
        <w:t>5</w:t>
      </w:r>
      <w:r>
        <w:t xml:space="preserve">: </w:t>
      </w:r>
      <w:r w:rsidR="00E23102">
        <w:t>IoT and Special Needs</w:t>
      </w:r>
    </w:p>
    <w:p w:rsidR="0082223F" w:rsidRDefault="0082223F" w:rsidP="0082223F">
      <w:pPr>
        <w:pStyle w:val="Subtitle"/>
      </w:pPr>
      <w:r>
        <w:t>Nate Bachmeier</w:t>
      </w:r>
    </w:p>
    <w:p w:rsidR="0082223F" w:rsidRDefault="0082223F" w:rsidP="0082223F">
      <w:pPr>
        <w:jc w:val="center"/>
      </w:pPr>
      <w:r>
        <w:t>TIM-</w:t>
      </w:r>
      <w:r w:rsidR="008B5129">
        <w:t>7010</w:t>
      </w:r>
      <w:r>
        <w:t xml:space="preserve">: </w:t>
      </w:r>
      <w:r w:rsidR="008B5129">
        <w:t>Computer Networking and Mobile Computing</w:t>
      </w:r>
    </w:p>
    <w:p w:rsidR="0082223F" w:rsidRDefault="00E23102" w:rsidP="0082223F">
      <w:pPr>
        <w:jc w:val="center"/>
      </w:pPr>
      <w:r>
        <w:t>July</w:t>
      </w:r>
      <w:r w:rsidR="0082223F">
        <w:t xml:space="preserve"> </w:t>
      </w:r>
      <w:r>
        <w:t>28th</w:t>
      </w:r>
      <w:r w:rsidR="0082223F">
        <w:t>, 2019</w:t>
      </w:r>
    </w:p>
    <w:p w:rsidR="0082223F" w:rsidRDefault="0082223F" w:rsidP="0082223F">
      <w:pPr>
        <w:jc w:val="center"/>
      </w:pPr>
      <w:r>
        <w:t>North Central University</w:t>
      </w:r>
    </w:p>
    <w:p w:rsidR="0082223F" w:rsidRDefault="0082223F">
      <w:pPr>
        <w:spacing w:line="259" w:lineRule="auto"/>
      </w:pPr>
      <w:r>
        <w:br w:type="page"/>
      </w:r>
    </w:p>
    <w:p w:rsidR="0082223F" w:rsidRDefault="00E23102" w:rsidP="00E23102">
      <w:pPr>
        <w:pStyle w:val="Heading1"/>
      </w:pPr>
      <w:r>
        <w:lastRenderedPageBreak/>
        <w:t>IoT and Special Needs</w:t>
      </w:r>
    </w:p>
    <w:p w:rsidR="00E23102" w:rsidRDefault="00E23102" w:rsidP="00E23102">
      <w:r>
        <w:tab/>
        <w:t>The Internet of Things</w:t>
      </w:r>
      <w:r w:rsidR="004F5B9C">
        <w:t xml:space="preserve"> (IoT)</w:t>
      </w:r>
      <w:r>
        <w:t xml:space="preserve"> attempts to widen the interconnectivity of computers to include interconnectivity of objects</w:t>
      </w:r>
      <w:sdt>
        <w:sdtPr>
          <w:id w:val="-1871438443"/>
          <w:citation/>
        </w:sdtPr>
        <w:sdtContent>
          <w:r w:rsidR="004F5B9C">
            <w:fldChar w:fldCharType="begin"/>
          </w:r>
          <w:r w:rsidR="004F5B9C">
            <w:instrText xml:space="preserve"> CITATION Com09 \l 1033 </w:instrText>
          </w:r>
          <w:r w:rsidR="004F5B9C">
            <w:fldChar w:fldCharType="separate"/>
          </w:r>
          <w:r w:rsidR="004F5B9C">
            <w:rPr>
              <w:noProof/>
            </w:rPr>
            <w:t xml:space="preserve"> (Commission of the European Communities, 2009)</w:t>
          </w:r>
          <w:r w:rsidR="004F5B9C">
            <w:fldChar w:fldCharType="end"/>
          </w:r>
        </w:sdtContent>
      </w:sdt>
      <w:r>
        <w:t xml:space="preserve">. These objects expose sensors that can be connected to web services to provide personalized data feeds. Both academia and commercial vendors have only scratched the surface with their </w:t>
      </w:r>
      <w:r w:rsidR="004F5B9C">
        <w:t xml:space="preserve">offered </w:t>
      </w:r>
      <w:r>
        <w:t>products and features.</w:t>
      </w:r>
    </w:p>
    <w:p w:rsidR="004F5B9C" w:rsidRDefault="004F5B9C" w:rsidP="004F5B9C">
      <w:r>
        <w:tab/>
        <w:t>The Healthcare and Wellbeing product lines are receiving significant attention; however, they primarily focus on measuring simple body metrics</w:t>
      </w:r>
      <w:sdt>
        <w:sdtPr>
          <w:id w:val="484982083"/>
          <w:citation/>
        </w:sdtPr>
        <w:sdtContent>
          <w:r>
            <w:fldChar w:fldCharType="begin"/>
          </w:r>
          <w:r>
            <w:instrText xml:space="preserve"> CITATION Kor13 \l 1033 </w:instrText>
          </w:r>
          <w:r>
            <w:fldChar w:fldCharType="separate"/>
          </w:r>
          <w:r>
            <w:rPr>
              <w:noProof/>
            </w:rPr>
            <w:t xml:space="preserve"> (Koreshoff, Robertson, &amp; Leong, 2013)</w:t>
          </w:r>
          <w:r>
            <w:fldChar w:fldCharType="end"/>
          </w:r>
        </w:sdtContent>
      </w:sdt>
      <w:r>
        <w:t>. Creating value through body metrics such as calories burned, steps taken, and blood sugar levels are simple challenges that are marketable to a broad audience. Though, due to the collection and reporting being a solved problem, there is significant competition among commoditized solution providers.</w:t>
      </w:r>
    </w:p>
    <w:p w:rsidR="004F5B9C" w:rsidRDefault="004F5B9C" w:rsidP="004F5B9C">
      <w:pPr>
        <w:ind w:firstLine="720"/>
      </w:pPr>
      <w:r>
        <w:t xml:space="preserve">Addressing Special Needs with IoT represents a sizeable untapped segment within the Healthcare and Wellbeing </w:t>
      </w:r>
      <w:r>
        <w:t>problem space</w:t>
      </w:r>
      <w:r>
        <w:t>.</w:t>
      </w:r>
      <w:r>
        <w:t xml:space="preserve"> </w:t>
      </w:r>
      <w:r>
        <w:t xml:space="preserve">Globally there are over one billion people with </w:t>
      </w:r>
      <w:r>
        <w:t xml:space="preserve">a disability, where one of their primary sensors – smell, taste, touch, hear, see, and say – does not reliably work. IoT devices can collect these missing senses and represent their values in other forms for the user. </w:t>
      </w:r>
    </w:p>
    <w:p w:rsidR="004F5B9C" w:rsidRDefault="004F5B9C" w:rsidP="004F5B9C">
      <w:pPr>
        <w:ind w:firstLine="720"/>
      </w:pPr>
      <w:r>
        <w:t xml:space="preserve">Hearing aids have been available for hundreds of years; they attempt to </w:t>
      </w:r>
      <w:proofErr w:type="gramStart"/>
      <w:r>
        <w:t>amplify</w:t>
      </w:r>
      <w:proofErr w:type="gramEnd"/>
      <w:r>
        <w:t xml:space="preserve"> or filter sounds for the user. Though, what if the user cannot speak the language? Only increasing the volume does not address the root cause of the disability. Instead, a ‘babel fish’ could be placed in the person’s ear to translate in </w:t>
      </w:r>
      <w:proofErr w:type="spellStart"/>
      <w:r>
        <w:t>realtime</w:t>
      </w:r>
      <w:proofErr w:type="spellEnd"/>
      <w:r>
        <w:t xml:space="preserve">. Similar scenarios exist for other senses such as </w:t>
      </w:r>
      <w:r w:rsidR="00BE71ED">
        <w:t xml:space="preserve">(1) </w:t>
      </w:r>
      <w:r>
        <w:t>computer vision to provide hints to the blind</w:t>
      </w:r>
      <w:r w:rsidR="00BE71ED">
        <w:t xml:space="preserve">, and (2) giving mutes a voice. These capabilities unlock these users from their isolated world and </w:t>
      </w:r>
      <w:r w:rsidR="001A011B" w:rsidRPr="001A011B">
        <w:rPr>
          <w:i/>
        </w:rPr>
        <w:t>inter</w:t>
      </w:r>
      <w:r w:rsidR="00BE71ED" w:rsidRPr="001A011B">
        <w:rPr>
          <w:i/>
        </w:rPr>
        <w:t>connect</w:t>
      </w:r>
      <w:r w:rsidR="00BE71ED">
        <w:t xml:space="preserve"> them with the broader community.</w:t>
      </w:r>
    </w:p>
    <w:p w:rsidR="001A011B" w:rsidRDefault="001A011B" w:rsidP="001A011B">
      <w:pPr>
        <w:pStyle w:val="Heading1"/>
      </w:pPr>
      <w:r>
        <w:lastRenderedPageBreak/>
        <w:t>Gathering Requirements</w:t>
      </w:r>
    </w:p>
    <w:p w:rsidR="001A011B" w:rsidRPr="001A011B" w:rsidRDefault="001A011B" w:rsidP="001A011B">
      <w:r>
        <w:tab/>
      </w:r>
      <w:bookmarkStart w:id="0" w:name="_GoBack"/>
      <w:bookmarkEnd w:id="0"/>
    </w:p>
    <w:sectPr w:rsidR="001A011B" w:rsidRPr="001A011B" w:rsidSect="0082223F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C3C" w:rsidRDefault="008D7C3C" w:rsidP="0082223F">
      <w:pPr>
        <w:spacing w:line="240" w:lineRule="auto"/>
      </w:pPr>
      <w:r>
        <w:separator/>
      </w:r>
    </w:p>
  </w:endnote>
  <w:endnote w:type="continuationSeparator" w:id="0">
    <w:p w:rsidR="008D7C3C" w:rsidRDefault="008D7C3C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C3C" w:rsidRDefault="008D7C3C" w:rsidP="0082223F">
      <w:pPr>
        <w:spacing w:line="240" w:lineRule="auto"/>
      </w:pPr>
      <w:r>
        <w:separator/>
      </w:r>
    </w:p>
  </w:footnote>
  <w:footnote w:type="continuationSeparator" w:id="0">
    <w:p w:rsidR="008D7C3C" w:rsidRDefault="008D7C3C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5688528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82223F" w:rsidRDefault="0082223F" w:rsidP="0082223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TIM-</w:t>
        </w:r>
        <w:r w:rsidR="004A784B">
          <w:rPr>
            <w:color w:val="7F7F7F" w:themeColor="background1" w:themeShade="7F"/>
            <w:spacing w:val="60"/>
          </w:rPr>
          <w:t>7010</w:t>
        </w:r>
        <w:r>
          <w:rPr>
            <w:color w:val="7F7F7F" w:themeColor="background1" w:themeShade="7F"/>
            <w:spacing w:val="60"/>
          </w:rPr>
          <w:t xml:space="preserve">: </w:t>
        </w:r>
        <w:r w:rsidR="004A784B">
          <w:rPr>
            <w:color w:val="7F7F7F" w:themeColor="background1" w:themeShade="7F"/>
            <w:spacing w:val="60"/>
          </w:rPr>
          <w:t>NETWORKING &amp; MOBILE COMPUTING</w:t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82223F" w:rsidRDefault="008222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qgUAmt0+aSwAAAA="/>
  </w:docVars>
  <w:rsids>
    <w:rsidRoot w:val="0082223F"/>
    <w:rsid w:val="00036708"/>
    <w:rsid w:val="00036F58"/>
    <w:rsid w:val="00183597"/>
    <w:rsid w:val="001A011B"/>
    <w:rsid w:val="002806B7"/>
    <w:rsid w:val="004223E8"/>
    <w:rsid w:val="004A784B"/>
    <w:rsid w:val="004F5B9C"/>
    <w:rsid w:val="0082223F"/>
    <w:rsid w:val="008B5129"/>
    <w:rsid w:val="008D7C3C"/>
    <w:rsid w:val="00BE71ED"/>
    <w:rsid w:val="00C73692"/>
    <w:rsid w:val="00DE2224"/>
    <w:rsid w:val="00E2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E870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9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Kor13</b:Tag>
    <b:SourceType>JournalArticle</b:SourceType>
    <b:Guid>{35A8258F-5DE3-4356-96EE-5FE3019B44B4}</b:Guid>
    <b:Title>Internet of Things: a review of literature and products</b:Title>
    <b:Year>2013</b:Year>
    <b:Author>
      <b:Author>
        <b:NameList>
          <b:Person>
            <b:Last>Koreshoff</b:Last>
            <b:First>T</b:First>
          </b:Person>
          <b:Person>
            <b:Last>Robertson</b:Last>
            <b:First>T</b:First>
          </b:Person>
          <b:Person>
            <b:Last>Leong</b:Last>
            <b:First>T</b:First>
          </b:Person>
        </b:NameList>
      </b:Author>
    </b:Author>
    <b:JournalName>CHI’13, November 25 - 29 2013, Adelaide, Australia</b:JournalName>
    <b:RefOrder>2</b:RefOrder>
  </b:Source>
  <b:Source>
    <b:Tag>Com09</b:Tag>
    <b:SourceType>InternetSite</b:SourceType>
    <b:Guid>{1BA20E4A-8DAC-4AAD-8EBC-DD2C6F9ABC06}</b:Guid>
    <b:Author>
      <b:Author>
        <b:Corporate>Commission of the European Communities</b:Corporate>
      </b:Author>
    </b:Author>
    <b:Title>Internet of Things — An action plan for Europe.</b:Title>
    <b:Year>2009</b:Year>
    <b:URL>http://eurlex.europa.eu/LexUriServ/site/en/com/2009/com2009_0278en01.pdf</b:URL>
    <b:RefOrder>1</b:RefOrder>
  </b:Source>
</b:Sources>
</file>

<file path=customXml/itemProps1.xml><?xml version="1.0" encoding="utf-8"?>
<ds:datastoreItem xmlns:ds="http://schemas.openxmlformats.org/officeDocument/2006/customXml" ds:itemID="{5485A218-114E-4F0B-839B-B0075720F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7</cp:revision>
  <dcterms:created xsi:type="dcterms:W3CDTF">2019-05-19T17:38:00Z</dcterms:created>
  <dcterms:modified xsi:type="dcterms:W3CDTF">2019-07-28T19:06:00Z</dcterms:modified>
</cp:coreProperties>
</file>