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A25667"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8105FC">
        <w:t>4</w:t>
      </w:r>
      <w:r>
        <w:t xml:space="preserve">: Week </w:t>
      </w:r>
      <w:r w:rsidR="008105FC">
        <w:t>7</w:t>
      </w:r>
      <w:r>
        <w:t xml:space="preserve">: </w:t>
      </w:r>
      <w:r w:rsidR="008105FC">
        <w:t>Smart Cities</w:t>
      </w:r>
    </w:p>
    <w:p w:rsidR="0082223F" w:rsidRDefault="0082223F" w:rsidP="0082223F">
      <w:pPr>
        <w:pStyle w:val="Subtitle"/>
      </w:pPr>
      <w:r>
        <w:t>Nate Bachmeier</w:t>
      </w:r>
    </w:p>
    <w:p w:rsidR="0082223F" w:rsidRDefault="0082223F" w:rsidP="0082223F">
      <w:pPr>
        <w:jc w:val="center"/>
      </w:pPr>
      <w:r>
        <w:t>TIM-</w:t>
      </w:r>
      <w:r w:rsidR="008B5129">
        <w:t>7010</w:t>
      </w:r>
      <w:r>
        <w:t xml:space="preserve">: </w:t>
      </w:r>
      <w:r w:rsidR="008B5129">
        <w:t>Computer Networking and Mobile Computing</w:t>
      </w:r>
    </w:p>
    <w:p w:rsidR="0082223F" w:rsidRDefault="008105FC" w:rsidP="0082223F">
      <w:pPr>
        <w:jc w:val="center"/>
      </w:pPr>
      <w:r>
        <w:t>August</w:t>
      </w:r>
      <w:r w:rsidR="0082223F">
        <w:t xml:space="preserve"> </w:t>
      </w:r>
      <w:r>
        <w:t>11</w:t>
      </w:r>
      <w:r w:rsidRPr="008105FC">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8105FC" w:rsidP="008105FC">
      <w:pPr>
        <w:pStyle w:val="Heading1"/>
      </w:pPr>
      <w:r>
        <w:lastRenderedPageBreak/>
        <w:t>Smart Cities</w:t>
      </w:r>
    </w:p>
    <w:p w:rsidR="008105FC" w:rsidRDefault="008105FC" w:rsidP="008105FC">
      <w:pPr>
        <w:ind w:firstLine="720"/>
      </w:pPr>
      <w:r>
        <w:t>The Internet of Things (IoT) attempts to widen the interconnectivity of computers to include interconnectivity of objects</w:t>
      </w:r>
      <w:sdt>
        <w:sdtPr>
          <w:id w:val="-1871438443"/>
          <w:citation/>
        </w:sdtPr>
        <w:sdtEndPr/>
        <w:sdtContent>
          <w:r>
            <w:fldChar w:fldCharType="begin"/>
          </w:r>
          <w:r>
            <w:instrText xml:space="preserve"> CITATION Com09 \l 1033 </w:instrText>
          </w:r>
          <w:r>
            <w:fldChar w:fldCharType="separate"/>
          </w:r>
          <w:r>
            <w:rPr>
              <w:noProof/>
            </w:rPr>
            <w:t xml:space="preserve"> (Commission of the European Communities, 2009)</w:t>
          </w:r>
          <w:r>
            <w:fldChar w:fldCharType="end"/>
          </w:r>
        </w:sdtContent>
      </w:sdt>
      <w:r>
        <w:t xml:space="preserve">. These objects expose sensors that can aggregate into personalized data feeds. </w:t>
      </w:r>
    </w:p>
    <w:p w:rsidR="008105FC" w:rsidRDefault="008105FC" w:rsidP="008105FC">
      <w:pPr>
        <w:ind w:firstLine="720"/>
      </w:pPr>
      <w:r>
        <w:t xml:space="preserve">These objects can share a contextual domain, such as a home, warehouse, or city to form smart locations.  As the scope of these smart locations grows, so does the number of user scenarios that can be enhanced. </w:t>
      </w:r>
    </w:p>
    <w:p w:rsidR="008105FC" w:rsidRPr="008105FC" w:rsidRDefault="008105FC" w:rsidP="008105FC">
      <w:pPr>
        <w:ind w:firstLine="720"/>
      </w:pPr>
      <w:r>
        <w:t>Developers can harness that data emitted from those scenarios to make intelligent recommendations and provide guidance around optimizations and safety decisions. These capabilities delight the inhabitants and encourage them to interact with more objects, continuing the cycle.</w:t>
      </w:r>
    </w:p>
    <w:p w:rsidR="008105FC" w:rsidRPr="008105FC" w:rsidRDefault="008105FC" w:rsidP="00C40E55">
      <w:pPr>
        <w:pStyle w:val="Heading2"/>
      </w:pPr>
      <w:r>
        <w:t>Problem Statemen</w:t>
      </w:r>
      <w:r w:rsidR="008F08CD">
        <w:t>t</w:t>
      </w:r>
      <w:bookmarkStart w:id="0" w:name="_GoBack"/>
      <w:bookmarkEnd w:id="0"/>
    </w:p>
    <w:p w:rsidR="008105FC" w:rsidRDefault="008105FC" w:rsidP="008105FC">
      <w:pPr>
        <w:pStyle w:val="Heading2"/>
      </w:pPr>
      <w:r>
        <w:t>Goals</w:t>
      </w:r>
    </w:p>
    <w:p w:rsidR="006156B3" w:rsidRPr="00C40E55" w:rsidRDefault="008105FC" w:rsidP="00C40E55">
      <w:pPr>
        <w:pStyle w:val="Heading2"/>
      </w:pPr>
      <w:r>
        <w:t>Relevance and Significance</w:t>
      </w:r>
    </w:p>
    <w:p w:rsidR="008105FC" w:rsidRDefault="008105FC" w:rsidP="008105FC">
      <w:pPr>
        <w:pStyle w:val="Heading1"/>
      </w:pPr>
      <w:r>
        <w:t>Literature Review</w:t>
      </w:r>
    </w:p>
    <w:p w:rsidR="008105FC" w:rsidRDefault="008105FC" w:rsidP="008105FC">
      <w:pPr>
        <w:pStyle w:val="Heading2"/>
      </w:pPr>
      <w:r>
        <w:t>Reasoning about Smart Cities (2018)</w:t>
      </w:r>
    </w:p>
    <w:p w:rsidR="008105FC" w:rsidRDefault="008105FC" w:rsidP="008105FC">
      <w:r>
        <w:tab/>
      </w:r>
      <w:proofErr w:type="spellStart"/>
      <w:r>
        <w:t>Balducci</w:t>
      </w:r>
      <w:proofErr w:type="spellEnd"/>
      <w:r w:rsidR="006156B3">
        <w:t xml:space="preserve"> et al. define a smart city as a system of systems, including instances of Cyber-Physical Systems (CPS) and the Internet of Things</w:t>
      </w:r>
      <w:sdt>
        <w:sdtPr>
          <w:id w:val="-2037187545"/>
          <w:citation/>
        </w:sdtPr>
        <w:sdtEndPr/>
        <w:sdtContent>
          <w:r w:rsidR="006156B3">
            <w:fldChar w:fldCharType="begin"/>
          </w:r>
          <w:r w:rsidR="00536C19">
            <w:instrText xml:space="preserve">CITATION Bal18 \l 1033 </w:instrText>
          </w:r>
          <w:r w:rsidR="006156B3">
            <w:fldChar w:fldCharType="separate"/>
          </w:r>
          <w:r w:rsidR="00536C19">
            <w:rPr>
              <w:noProof/>
            </w:rPr>
            <w:t xml:space="preserve"> (Balduccini et al., 2018)</w:t>
          </w:r>
          <w:r w:rsidR="006156B3">
            <w:fldChar w:fldCharType="end"/>
          </w:r>
        </w:sdtContent>
      </w:sdt>
      <w:r w:rsidR="006156B3">
        <w:t>. They make the argument that the problem space is too ample for a single platform to address every facet of the required design. Because of this characteristic, all smart cities are naturally heterogeneous and must consider interoperability through open standards.</w:t>
      </w:r>
    </w:p>
    <w:p w:rsidR="006156B3" w:rsidRDefault="006156B3" w:rsidP="008105FC">
      <w:r>
        <w:tab/>
        <w:t>Cross-cutting concerns can be extracted from the problem and separated into distinct aspects</w:t>
      </w:r>
      <w:sdt>
        <w:sdtPr>
          <w:id w:val="-447079777"/>
          <w:citation/>
        </w:sdtPr>
        <w:sdtEndPr/>
        <w:sdtContent>
          <w:r>
            <w:fldChar w:fldCharType="begin"/>
          </w:r>
          <w:r>
            <w:instrText xml:space="preserve"> CITATION Kic97 \l 1033 </w:instrText>
          </w:r>
          <w:r>
            <w:fldChar w:fldCharType="separate"/>
          </w:r>
          <w:r>
            <w:rPr>
              <w:noProof/>
            </w:rPr>
            <w:t xml:space="preserve"> (Kiczales, 1997)</w:t>
          </w:r>
          <w:r>
            <w:fldChar w:fldCharType="end"/>
          </w:r>
        </w:sdtContent>
      </w:sdt>
      <w:r>
        <w:t xml:space="preserve">. For instance, the notion of identity can become a centralized service </w:t>
      </w:r>
      <w:r>
        <w:lastRenderedPageBreak/>
        <w:t>that many devices and users jointly share and trust. The complexity to continue extending the smart city decreases, as more aspects of the system become available.</w:t>
      </w:r>
    </w:p>
    <w:p w:rsidR="006156B3" w:rsidRDefault="006156B3" w:rsidP="006156B3">
      <w:pPr>
        <w:pStyle w:val="Heading2"/>
      </w:pPr>
      <w:r>
        <w:t>IoT Smart City Architectures (2018)</w:t>
      </w:r>
    </w:p>
    <w:p w:rsidR="006156B3" w:rsidRDefault="006156B3" w:rsidP="006156B3">
      <w:r>
        <w:tab/>
      </w:r>
      <w:proofErr w:type="spellStart"/>
      <w:r>
        <w:t>Fahmideh</w:t>
      </w:r>
      <w:proofErr w:type="spellEnd"/>
      <w:r>
        <w:t xml:space="preserve"> and </w:t>
      </w:r>
      <w:proofErr w:type="spellStart"/>
      <w:r>
        <w:t>Zowghi</w:t>
      </w:r>
      <w:proofErr w:type="spellEnd"/>
      <w:r>
        <w:t xml:space="preserve"> build on this idea that smart cities are collections of connected services and devices. They reviewed nine different reference architectures and looked for commonalities between them. Key differences can be categorized based on which aspects were considered necessary to their designers.</w:t>
      </w:r>
    </w:p>
    <w:p w:rsidR="006156B3" w:rsidRDefault="006156B3" w:rsidP="006156B3">
      <w:r>
        <w:tab/>
        <w:t>For instance, British designs focus heavily on environmental sustainability solutions versus American Big Tech desired business integration scenarios. Groups, like Open Geospatial Consortium, have deep roots into academia and have extensive capabilities for machine-to-machine yet minimal functionality for users</w:t>
      </w:r>
      <w:sdt>
        <w:sdtPr>
          <w:id w:val="439185564"/>
          <w:citation/>
        </w:sdtPr>
        <w:sdtEndPr/>
        <w:sdtContent>
          <w:r>
            <w:fldChar w:fldCharType="begin"/>
          </w:r>
          <w:r>
            <w:instrText xml:space="preserve"> CITATION Fah18 \l 1033 </w:instrText>
          </w:r>
          <w:r>
            <w:fldChar w:fldCharType="separate"/>
          </w:r>
          <w:r>
            <w:rPr>
              <w:noProof/>
            </w:rPr>
            <w:t xml:space="preserve"> (Fahmideh &amp; Zowghi, 2018)</w:t>
          </w:r>
          <w:r>
            <w:fldChar w:fldCharType="end"/>
          </w:r>
        </w:sdtContent>
      </w:sdt>
      <w:r>
        <w:t>.</w:t>
      </w:r>
    </w:p>
    <w:p w:rsidR="006156B3" w:rsidRDefault="006156B3" w:rsidP="006156B3">
      <w:r>
        <w:tab/>
        <w:t xml:space="preserve">The diverse collections of aspects provided by the system demonstrate that one size cannot fit all. That uniqueness makes sense, as a </w:t>
      </w:r>
      <w:r w:rsidRPr="006156B3">
        <w:rPr>
          <w:i/>
        </w:rPr>
        <w:t>smart city</w:t>
      </w:r>
      <w:r>
        <w:t xml:space="preserve"> is an extension of the </w:t>
      </w:r>
      <w:r w:rsidRPr="006156B3">
        <w:rPr>
          <w:i/>
        </w:rPr>
        <w:t>physical city</w:t>
      </w:r>
      <w:r>
        <w:t xml:space="preserve"> that contains it. Within those physical cities are diverse cultural expectations.</w:t>
      </w:r>
    </w:p>
    <w:p w:rsidR="006156B3" w:rsidRDefault="006156B3" w:rsidP="006156B3">
      <w:pPr>
        <w:pStyle w:val="Heading2"/>
      </w:pPr>
      <w:r>
        <w:t>The success of IoT in Smart Cities of India (2018)</w:t>
      </w:r>
    </w:p>
    <w:p w:rsidR="006156B3" w:rsidRDefault="006156B3" w:rsidP="006156B3">
      <w:r>
        <w:tab/>
        <w:t>Starting around 2015, the government of India pledged the equivalent of fifteen billion US dollars toward smart cities. Their goal was to purchase one hundred Information and Communication Technology (ICT) locations. They acknowledged that many people were abandoning the villages and moving into urban areas. Those new inhabitants would need access to the Internet and a transition toward purely digital lives</w:t>
      </w:r>
      <w:sdt>
        <w:sdtPr>
          <w:id w:val="-1451085501"/>
          <w:citation/>
        </w:sdtPr>
        <w:sdtEndPr/>
        <w:sdtContent>
          <w:r>
            <w:fldChar w:fldCharType="begin"/>
          </w:r>
          <w:r>
            <w:instrText xml:space="preserve"> CITATION Cha18 \l 1033 </w:instrText>
          </w:r>
          <w:r>
            <w:fldChar w:fldCharType="separate"/>
          </w:r>
          <w:r>
            <w:rPr>
              <w:noProof/>
            </w:rPr>
            <w:t xml:space="preserve"> (Chatterjee, Kar, &amp; Gupta, 2018)</w:t>
          </w:r>
          <w:r>
            <w:fldChar w:fldCharType="end"/>
          </w:r>
        </w:sdtContent>
      </w:sdt>
      <w:r>
        <w:t>.</w:t>
      </w:r>
    </w:p>
    <w:p w:rsidR="006156B3" w:rsidRDefault="006156B3" w:rsidP="006156B3">
      <w:r>
        <w:tab/>
      </w:r>
      <w:r w:rsidR="00935BAB">
        <w:t xml:space="preserve">Chatterjee et al. describe a </w:t>
      </w:r>
      <w:r>
        <w:t>cycle where people interacted with physical and virtual objects, which in turn generated lots of data. Artificial Intelligence (AI) systems mine the data and propose recommendations</w:t>
      </w:r>
      <w:r w:rsidR="00935BAB">
        <w:t xml:space="preserve">. City planning and legislation decisions leverage those </w:t>
      </w:r>
      <w:r w:rsidR="00935BAB">
        <w:lastRenderedPageBreak/>
        <w:t>recommendations to customize the area to the needs of the people. More virtual and physical objects fill those needs resulting in even more data.</w:t>
      </w:r>
    </w:p>
    <w:p w:rsidR="00323C59" w:rsidRDefault="00323C59" w:rsidP="00323C59">
      <w:pPr>
        <w:pStyle w:val="Heading2"/>
      </w:pPr>
      <w:r>
        <w:t>Relationship Between Smart Cities, Policing and Criminal Investigation (2018)</w:t>
      </w:r>
    </w:p>
    <w:p w:rsidR="00323C59" w:rsidRDefault="00323C59" w:rsidP="00323C59">
      <w:r>
        <w:tab/>
        <w:t>Users of the smart city have specific roles within their community and need data that improve their effectiveness</w:t>
      </w:r>
      <w:r w:rsidR="00D26313">
        <w:t>,</w:t>
      </w:r>
      <w:r>
        <w:t xml:space="preserve"> and efficiency</w:t>
      </w:r>
      <w:r w:rsidR="00D26313">
        <w:t xml:space="preserve"> — police, medical, and fire &amp; rescue teams are prime examples of this scenario. In traditional cities, police officers need to rely on eye witness encounters that might be racially biased</w:t>
      </w:r>
      <w:sdt>
        <w:sdtPr>
          <w:id w:val="-1859340777"/>
          <w:citation/>
        </w:sdtPr>
        <w:sdtEndPr/>
        <w:sdtContent>
          <w:r>
            <w:fldChar w:fldCharType="begin"/>
          </w:r>
          <w:r>
            <w:instrText xml:space="preserve"> CITATION Kaj18 \l 1033 </w:instrText>
          </w:r>
          <w:r>
            <w:fldChar w:fldCharType="separate"/>
          </w:r>
          <w:r>
            <w:rPr>
              <w:noProof/>
            </w:rPr>
            <w:t xml:space="preserve"> (Kaja &amp; Bostjan, 2018)</w:t>
          </w:r>
          <w:r>
            <w:fldChar w:fldCharType="end"/>
          </w:r>
        </w:sdtContent>
      </w:sdt>
      <w:r>
        <w:t>.</w:t>
      </w:r>
    </w:p>
    <w:p w:rsidR="00D26313" w:rsidRDefault="00D26313" w:rsidP="00323C59">
      <w:r>
        <w:tab/>
        <w:t xml:space="preserve">Instead, safety officials can deploy sensors into high-risk environments and record evidence as the crime unfolds. Systems such as </w:t>
      </w:r>
      <w:proofErr w:type="spellStart"/>
      <w:r>
        <w:t>ShotsSpotter</w:t>
      </w:r>
      <w:proofErr w:type="spellEnd"/>
      <w:r>
        <w:t xml:space="preserve"> can detect gunshots and </w:t>
      </w:r>
      <w:r w:rsidR="005A2F42">
        <w:t xml:space="preserve">report the incident to </w:t>
      </w:r>
      <w:r>
        <w:t xml:space="preserve">an emergency hotline. Unfortunately, these systems are still </w:t>
      </w:r>
      <w:proofErr w:type="spellStart"/>
      <w:r>
        <w:t>aways</w:t>
      </w:r>
      <w:proofErr w:type="spellEnd"/>
      <w:r>
        <w:t xml:space="preserve"> out, but the technology is progressing</w:t>
      </w:r>
      <w:sdt>
        <w:sdtPr>
          <w:id w:val="492682195"/>
          <w:citation/>
        </w:sdtPr>
        <w:sdtEndPr/>
        <w:sdtContent>
          <w:r>
            <w:fldChar w:fldCharType="begin"/>
          </w:r>
          <w:r>
            <w:instrText xml:space="preserve"> CITATION Dra16 \l 1033 </w:instrText>
          </w:r>
          <w:r>
            <w:fldChar w:fldCharType="separate"/>
          </w:r>
          <w:r>
            <w:rPr>
              <w:noProof/>
            </w:rPr>
            <w:t xml:space="preserve"> (Drange, 2016)</w:t>
          </w:r>
          <w:r>
            <w:fldChar w:fldCharType="end"/>
          </w:r>
        </w:sdtContent>
      </w:sdt>
      <w:r>
        <w:t>.</w:t>
      </w:r>
    </w:p>
    <w:p w:rsidR="005A2F42" w:rsidRDefault="005A2F42" w:rsidP="005A2F42">
      <w:pPr>
        <w:pStyle w:val="Heading2"/>
      </w:pPr>
      <w:r>
        <w:t>Smart Cities: an IoT-centric Approach (2014)</w:t>
      </w:r>
    </w:p>
    <w:p w:rsidR="00B82766" w:rsidRDefault="005A2F42" w:rsidP="00B82766">
      <w:r>
        <w:tab/>
        <w:t xml:space="preserve">As technology progresses, it generates an ever-growing volume of data that needs to be efficiently indexed. </w:t>
      </w:r>
      <w:bookmarkStart w:id="1" w:name="_Toc15855699"/>
      <w:r w:rsidR="00B82766">
        <w:t xml:space="preserve">Smart cars will need to consume data feeds from traffic lights, road sensors, accident reports, and construction schedules, to name a few. One solution is to decompose smart cities into smart city </w:t>
      </w:r>
      <w:r w:rsidR="00B82766" w:rsidRPr="00600234">
        <w:rPr>
          <w:i/>
        </w:rPr>
        <w:t>hubs</w:t>
      </w:r>
      <w:r w:rsidR="00B82766">
        <w:t xml:space="preserve">, where a </w:t>
      </w:r>
      <w:r w:rsidR="00B82766" w:rsidRPr="00600234">
        <w:t>hub</w:t>
      </w:r>
      <w:r w:rsidR="00B82766">
        <w:t xml:space="preserve"> is a logical unit such as a shopping district or residential neighborhood</w:t>
      </w:r>
      <w:sdt>
        <w:sdtPr>
          <w:id w:val="-378003819"/>
          <w:citation/>
        </w:sdtPr>
        <w:sdtEndPr/>
        <w:sdtContent>
          <w:r w:rsidR="00B82766">
            <w:fldChar w:fldCharType="begin"/>
          </w:r>
          <w:r w:rsidR="00B82766">
            <w:instrText xml:space="preserve"> CITATION Lea14 \l 1033 </w:instrText>
          </w:r>
          <w:r w:rsidR="00B82766">
            <w:fldChar w:fldCharType="separate"/>
          </w:r>
          <w:r w:rsidR="00B82766">
            <w:rPr>
              <w:noProof/>
            </w:rPr>
            <w:t xml:space="preserve"> (Lea &amp; Blackstock, 2014)</w:t>
          </w:r>
          <w:r w:rsidR="00B82766">
            <w:fldChar w:fldCharType="end"/>
          </w:r>
        </w:sdtContent>
      </w:sdt>
      <w:r w:rsidR="00B82766">
        <w:t>.</w:t>
      </w:r>
    </w:p>
    <w:p w:rsidR="00B82766" w:rsidRDefault="00B82766" w:rsidP="00B82766">
      <w:r>
        <w:tab/>
        <w:t>Lea and Blackstock examined the implementation of two smart cities, one in the United Kingdom the other in Canada. With both locations, an efficient data catalog was critical to the project’s success. They attributed this to reducing the learning curve, resulting in more developers creating more applications available.</w:t>
      </w:r>
    </w:p>
    <w:p w:rsidR="00B82766" w:rsidRDefault="00B82766" w:rsidP="00B82766">
      <w:r>
        <w:lastRenderedPageBreak/>
        <w:tab/>
        <w:t xml:space="preserve">Over the last five years, several American cities, such as Seattle and New York, have created open data platforms. The easy access to data has enabled dozens of high-quality applications; however, they are specific to that location. </w:t>
      </w:r>
    </w:p>
    <w:p w:rsidR="00B82766" w:rsidRDefault="00B82766" w:rsidP="00B82766">
      <w:pPr>
        <w:ind w:firstLine="720"/>
      </w:pPr>
      <w:r>
        <w:t>Small development studios are willing to build dedicated apps for a given city, but more prominent corporations are unwilling to enter the space. Their userbase spans the entire country and needs it to be usable on a national level. If they must implement a data adaptor of every metropolitan area, the development cost will be too great to justify. Until businesses, city planners, and hardware manufacturers agree on open standards; there will be challenges sharing the data and making it fully discoverable.</w:t>
      </w:r>
    </w:p>
    <w:p w:rsidR="00B82766" w:rsidRDefault="00B82766" w:rsidP="00B82766">
      <w:pPr>
        <w:pStyle w:val="Heading2"/>
      </w:pPr>
      <w:r>
        <w:t>NDN IoT Content Distribution Model</w:t>
      </w:r>
      <w:bookmarkEnd w:id="1"/>
      <w:r>
        <w:t xml:space="preserve"> (2016)</w:t>
      </w:r>
    </w:p>
    <w:p w:rsidR="00B82766" w:rsidRDefault="00B82766" w:rsidP="00B82766">
      <w:r>
        <w:tab/>
      </w:r>
      <w:r w:rsidR="00F00C81">
        <w:t>An alternative solution to making content discoverable is through Name Data Networks (NDN). Under NDN, publishers create signed content under a namespace, and then consumers can request those resources through standardized names. Metadata about those resources can be cached and served directly from OpenFlow routing tables</w:t>
      </w:r>
      <w:sdt>
        <w:sdtPr>
          <w:id w:val="-1296450229"/>
          <w:citation/>
        </w:sdtPr>
        <w:sdtEndPr/>
        <w:sdtContent>
          <w:r w:rsidR="00F00C81">
            <w:fldChar w:fldCharType="begin"/>
          </w:r>
          <w:r w:rsidR="00F00C81">
            <w:instrText xml:space="preserve"> CITATION Shi16 \l 1033 </w:instrText>
          </w:r>
          <w:r w:rsidR="00F00C81">
            <w:fldChar w:fldCharType="separate"/>
          </w:r>
          <w:r w:rsidR="00F00C81">
            <w:rPr>
              <w:noProof/>
            </w:rPr>
            <w:t xml:space="preserve"> (Shilton, Burke, Caffy, &amp; Zhang, 2016)</w:t>
          </w:r>
          <w:r w:rsidR="00F00C81">
            <w:fldChar w:fldCharType="end"/>
          </w:r>
        </w:sdtContent>
      </w:sdt>
      <w:r w:rsidR="00F00C81">
        <w:t>.</w:t>
      </w:r>
    </w:p>
    <w:p w:rsidR="00D25DA5" w:rsidRDefault="00F00C81" w:rsidP="00F00C81">
      <w:r>
        <w:tab/>
        <w:t xml:space="preserve">The requested names can be relative and can leverage the shared context of the entities logical and physical features. For example, a smart car can ask for the status of the next stoplight by querying name </w:t>
      </w:r>
      <w:r w:rsidRPr="00F00C81">
        <w:rPr>
          <w:rStyle w:val="Emphasis"/>
        </w:rPr>
        <w:t>/local/route/stoplight/2</w:t>
      </w:r>
      <w:r>
        <w:rPr>
          <w:rStyle w:val="Emphasis"/>
        </w:rPr>
        <w:t xml:space="preserve">. </w:t>
      </w:r>
      <w:r w:rsidRPr="00F00C81">
        <w:t>The</w:t>
      </w:r>
      <w:r>
        <w:t xml:space="preserve"> software-defined network can response with route forwarding policy to the associated RESTful endpoint.</w:t>
      </w:r>
      <w:r w:rsidR="00D25DA5">
        <w:t xml:space="preserve"> </w:t>
      </w:r>
    </w:p>
    <w:p w:rsidR="00D25DA5" w:rsidRDefault="00D25DA5" w:rsidP="00D25DA5">
      <w:pPr>
        <w:ind w:firstLine="720"/>
      </w:pPr>
      <w:r>
        <w:t xml:space="preserve">In effect, the query name functions as a small internal domain-specific language. Integrating legacy systems is straight forward as the NDN maintains metadata and pointers. The caller could also encode their desired format, through additional child path annotations (e.g., </w:t>
      </w:r>
      <w:r w:rsidRPr="00D25DA5">
        <w:rPr>
          <w:rStyle w:val="Emphasis"/>
        </w:rPr>
        <w:t>stoplight/2/</w:t>
      </w:r>
      <w:proofErr w:type="spellStart"/>
      <w:r w:rsidRPr="00D25DA5">
        <w:rPr>
          <w:rStyle w:val="Emphasis"/>
        </w:rPr>
        <w:t>foo+xml</w:t>
      </w:r>
      <w:proofErr w:type="spellEnd"/>
      <w:r>
        <w:t>).</w:t>
      </w:r>
    </w:p>
    <w:p w:rsidR="00321AB3" w:rsidRDefault="00321AB3" w:rsidP="00321AB3">
      <w:pPr>
        <w:pStyle w:val="Heading2"/>
      </w:pPr>
      <w:r>
        <w:lastRenderedPageBreak/>
        <w:t>IoT over SDN for Smart City Applications (2016)</w:t>
      </w:r>
    </w:p>
    <w:p w:rsidR="00321AB3" w:rsidRDefault="00321AB3" w:rsidP="00321AB3">
      <w:r>
        <w:tab/>
        <w:t>In addition to the Name Data Network scenarios, software-defined networking is a requirement for smart cities as a mechanism to manage the IoT ecosystem. Users and devices need to move around the space</w:t>
      </w:r>
      <w:r w:rsidR="00F0558F">
        <w:t>,</w:t>
      </w:r>
      <w:r>
        <w:t xml:space="preserve"> and they expect the network </w:t>
      </w:r>
      <w:r w:rsidR="00F0558F">
        <w:t>to adapt to this movement</w:t>
      </w:r>
      <w:r w:rsidR="00F0558F" w:rsidRPr="00F0558F">
        <w:t xml:space="preserve"> </w:t>
      </w:r>
      <w:sdt>
        <w:sdtPr>
          <w:id w:val="-1107583837"/>
          <w:citation/>
        </w:sdtPr>
        <w:sdtContent>
          <w:r w:rsidR="00F0558F">
            <w:fldChar w:fldCharType="begin"/>
          </w:r>
          <w:r w:rsidR="00F0558F">
            <w:instrText xml:space="preserve"> CITATION Ogr16 \l 1033 </w:instrText>
          </w:r>
          <w:r w:rsidR="00F0558F">
            <w:fldChar w:fldCharType="separate"/>
          </w:r>
          <w:r w:rsidR="00F0558F">
            <w:rPr>
              <w:noProof/>
            </w:rPr>
            <w:t xml:space="preserve"> (Ogrodowczyk &amp; Belter, 2016)</w:t>
          </w:r>
          <w:r w:rsidR="00F0558F">
            <w:fldChar w:fldCharType="end"/>
          </w:r>
        </w:sdtContent>
      </w:sdt>
      <w:r>
        <w:t>.</w:t>
      </w:r>
    </w:p>
    <w:p w:rsidR="00F0558F" w:rsidRDefault="00F0558F" w:rsidP="00321AB3">
      <w:r>
        <w:tab/>
        <w:t>These dynamic networking environments cannot rely on simple static routes and instead use Policy-Based Routing.</w:t>
      </w:r>
    </w:p>
    <w:p w:rsidR="00F0558F" w:rsidRDefault="00F0558F" w:rsidP="00F0558F">
      <w:pPr>
        <w:pStyle w:val="Heading2"/>
      </w:pPr>
      <w:bookmarkStart w:id="2" w:name="_Toc12819053"/>
      <w:r>
        <w:t>Software</w:t>
      </w:r>
      <w:r>
        <w:t>-</w:t>
      </w:r>
      <w:r>
        <w:t>Defined Networks: State of the Art and Research Challenges (2014)</w:t>
      </w:r>
      <w:bookmarkEnd w:id="2"/>
    </w:p>
    <w:p w:rsidR="00F0558F" w:rsidRDefault="00F0558F" w:rsidP="00F0558F">
      <w:r>
        <w:tab/>
      </w:r>
      <w:r>
        <w:t>The de</w:t>
      </w:r>
      <w:r>
        <w:t>-</w:t>
      </w:r>
      <w:r>
        <w:t xml:space="preserve">facto protocol used </w:t>
      </w:r>
      <w:r>
        <w:t xml:space="preserve">for policy-based </w:t>
      </w:r>
      <w:r>
        <w:t>network</w:t>
      </w:r>
      <w:r>
        <w:t>ing</w:t>
      </w:r>
      <w:r>
        <w:t xml:space="preserve"> is called OpenFlow (OFP)</w:t>
      </w:r>
      <w:sdt>
        <w:sdtPr>
          <w:id w:val="1954898119"/>
          <w:citation/>
        </w:sdtPr>
        <w:sdtContent>
          <w:r>
            <w:fldChar w:fldCharType="begin"/>
          </w:r>
          <w:r>
            <w:instrText xml:space="preserve"> CITATION Jam141 \l 1033 </w:instrText>
          </w:r>
          <w:r>
            <w:fldChar w:fldCharType="separate"/>
          </w:r>
          <w:r>
            <w:rPr>
              <w:noProof/>
            </w:rPr>
            <w:t xml:space="preserve"> (Jammal, Singh, Shami, Asal, &amp; Li, 2014)</w:t>
          </w:r>
          <w:r>
            <w:fldChar w:fldCharType="end"/>
          </w:r>
        </w:sdtContent>
      </w:sdt>
      <w:r>
        <w:t xml:space="preserve">. Within OFP network traffic is partitioned into </w:t>
      </w:r>
      <w:r w:rsidRPr="00964568">
        <w:rPr>
          <w:i/>
        </w:rPr>
        <w:t>flows</w:t>
      </w:r>
      <w:r>
        <w:t>. A flow can have an arbitrary level of granularity such as a simple web request or all messages destined to a database cluster.</w:t>
      </w:r>
    </w:p>
    <w:p w:rsidR="00F0558F" w:rsidRDefault="00F0558F" w:rsidP="00F0558F">
      <w:pPr>
        <w:ind w:firstLine="720"/>
      </w:pPr>
      <w:r>
        <w:t xml:space="preserve">An </w:t>
      </w:r>
      <w:r>
        <w:rPr>
          <w:i/>
        </w:rPr>
        <w:t>OpenFlow Switch</w:t>
      </w:r>
      <w:r>
        <w:t xml:space="preserve"> has one or more </w:t>
      </w:r>
      <w:r>
        <w:rPr>
          <w:i/>
        </w:rPr>
        <w:t>flow tables</w:t>
      </w:r>
      <w:r>
        <w:t xml:space="preserve"> with each entry in the table mapping </w:t>
      </w:r>
      <w:r>
        <w:rPr>
          <w:i/>
        </w:rPr>
        <w:t xml:space="preserve">match criteria </w:t>
      </w:r>
      <w:r>
        <w:t xml:space="preserve">with zero or more </w:t>
      </w:r>
      <w:r>
        <w:rPr>
          <w:i/>
        </w:rPr>
        <w:t>actions.</w:t>
      </w:r>
      <w:r>
        <w:t xml:space="preserve"> A group table can also exist to associate match criteria with a collection of related flows. The </w:t>
      </w:r>
      <w:r>
        <w:rPr>
          <w:i/>
        </w:rPr>
        <w:t xml:space="preserve">OpenFlow Channel </w:t>
      </w:r>
      <w:r>
        <w:t xml:space="preserve">is responsible for distributing policy notifications from the </w:t>
      </w:r>
      <w:r>
        <w:rPr>
          <w:i/>
        </w:rPr>
        <w:t>OpenFlow</w:t>
      </w:r>
      <w:r>
        <w:t xml:space="preserve"> </w:t>
      </w:r>
      <w:r>
        <w:rPr>
          <w:i/>
        </w:rPr>
        <w:t xml:space="preserve">Controller </w:t>
      </w:r>
      <w:r>
        <w:t xml:space="preserve">to the </w:t>
      </w:r>
      <w:r w:rsidRPr="00964568">
        <w:rPr>
          <w:i/>
        </w:rPr>
        <w:t>OpenFlow Switch</w:t>
      </w:r>
      <w:r>
        <w:t xml:space="preserve">. This distribution takes place across the </w:t>
      </w:r>
      <w:r>
        <w:rPr>
          <w:i/>
        </w:rPr>
        <w:t>OpenFlow Protocol</w:t>
      </w:r>
      <w:r>
        <w:t xml:space="preserve"> (OFP), which standardizes the messages used to describe the policy operations.</w:t>
      </w:r>
    </w:p>
    <w:p w:rsidR="00F0558F" w:rsidRDefault="00F0558F" w:rsidP="00F0558F">
      <w:pPr>
        <w:pStyle w:val="Heading2"/>
      </w:pPr>
      <w:r>
        <w:t>Using PBR for Security Protections</w:t>
      </w:r>
    </w:p>
    <w:p w:rsidR="00F0558F" w:rsidRDefault="00F0558F" w:rsidP="00F0558F">
      <w:pPr>
        <w:ind w:firstLine="720"/>
      </w:pPr>
      <w:r>
        <w:t xml:space="preserve">For instance, a policy could specify that incoming traffic for a virtual IP is forward to one or more physical switch adapters. Perhaps one adapter goes to a backend service and the other to an Intrusion Detection and Prevention System (IDS/IPS). </w:t>
      </w:r>
    </w:p>
    <w:p w:rsidR="00F0558F" w:rsidRDefault="00F0558F" w:rsidP="00F0558F">
      <w:pPr>
        <w:ind w:firstLine="720"/>
      </w:pPr>
      <w:r>
        <w:lastRenderedPageBreak/>
        <w:t>If the traffic is determined to be malicious or misconfigured, then more policy can be created to block that device or provision additional virtual network functions</w:t>
      </w:r>
      <w:sdt>
        <w:sdtPr>
          <w:id w:val="1891535062"/>
          <w:citation/>
        </w:sdtPr>
        <w:sdtContent>
          <w:r>
            <w:fldChar w:fldCharType="begin"/>
          </w:r>
          <w:r>
            <w:instrText xml:space="preserve"> CITATION Lop151 \l 1033 </w:instrText>
          </w:r>
          <w:r>
            <w:fldChar w:fldCharType="separate"/>
          </w:r>
          <w:r>
            <w:rPr>
              <w:noProof/>
            </w:rPr>
            <w:t xml:space="preserve"> (Lopez, Caraguary, Villalba, &amp; Lopez, 2015)</w:t>
          </w:r>
          <w:r>
            <w:fldChar w:fldCharType="end"/>
          </w:r>
        </w:sdtContent>
      </w:sdt>
      <w:r>
        <w:t xml:space="preserve">. </w:t>
      </w:r>
    </w:p>
    <w:p w:rsidR="00F0558F" w:rsidRDefault="00F0558F" w:rsidP="00F0558F">
      <w:pPr>
        <w:ind w:firstLine="720"/>
      </w:pPr>
      <w:r>
        <w:t xml:space="preserve">Akamai Technologies is responsible for the management of Global Content Delivery Networks (CDN); have reported an annualized 60% increase in </w:t>
      </w:r>
      <w:r>
        <w:t xml:space="preserve">network </w:t>
      </w:r>
      <w:r>
        <w:t>attacks</w:t>
      </w:r>
      <w:sdt>
        <w:sdtPr>
          <w:id w:val="1306122722"/>
          <w:citation/>
        </w:sdtPr>
        <w:sdtContent>
          <w:r>
            <w:fldChar w:fldCharType="begin"/>
          </w:r>
          <w:r>
            <w:instrText xml:space="preserve"> CITATION Sin17 \l 1033 </w:instrText>
          </w:r>
          <w:r>
            <w:fldChar w:fldCharType="separate"/>
          </w:r>
          <w:r>
            <w:rPr>
              <w:noProof/>
            </w:rPr>
            <w:t xml:space="preserve"> (Singh, Singh, &amp; Kumar, 2017)</w:t>
          </w:r>
          <w:r>
            <w:fldChar w:fldCharType="end"/>
          </w:r>
        </w:sdtContent>
      </w:sdt>
      <w:r>
        <w:t>. Their figures suggest that network administrators should expect more policy in the future for IDS/IPS scenarios.</w:t>
      </w:r>
    </w:p>
    <w:p w:rsidR="00F0558F" w:rsidRDefault="00F0558F" w:rsidP="00F0558F">
      <w:pPr>
        <w:pStyle w:val="Heading2"/>
      </w:pPr>
      <w:r>
        <w:t>Additional PBR Scenarios</w:t>
      </w:r>
    </w:p>
    <w:p w:rsidR="00F0558F" w:rsidRDefault="00F0558F" w:rsidP="00F0558F">
      <w:r>
        <w:tab/>
      </w:r>
      <w:r>
        <w:t xml:space="preserve">Several existing systems, such as </w:t>
      </w:r>
      <w:proofErr w:type="spellStart"/>
      <w:r>
        <w:t>OpenQoS</w:t>
      </w:r>
      <w:proofErr w:type="spellEnd"/>
      <w:r>
        <w:t xml:space="preserve"> and </w:t>
      </w:r>
      <w:proofErr w:type="spellStart"/>
      <w:r>
        <w:t>FlowQoS</w:t>
      </w:r>
      <w:proofErr w:type="spellEnd"/>
      <w:r>
        <w:t>, encode the Quality of Service decisions, into policy-based routing tables. For instance, a video streaming service might reserve capacity to remove jittering. Another everyday use case is specifying how traffic to offline hosts needs to be rerouted</w:t>
      </w:r>
      <w:sdt>
        <w:sdtPr>
          <w:id w:val="982577594"/>
          <w:citation/>
        </w:sdtPr>
        <w:sdtContent>
          <w:r>
            <w:fldChar w:fldCharType="begin"/>
          </w:r>
          <w:r>
            <w:instrText xml:space="preserve"> CITATION Mir151 \l 1033 </w:instrText>
          </w:r>
          <w:r>
            <w:fldChar w:fldCharType="separate"/>
          </w:r>
          <w:r>
            <w:rPr>
              <w:noProof/>
            </w:rPr>
            <w:t xml:space="preserve"> (Mirchev, 2015)</w:t>
          </w:r>
          <w:r>
            <w:fldChar w:fldCharType="end"/>
          </w:r>
        </w:sdtContent>
      </w:sdt>
      <w:r>
        <w:t>.</w:t>
      </w:r>
    </w:p>
    <w:p w:rsidR="00F0558F" w:rsidRDefault="00F0558F" w:rsidP="00F0558F">
      <w:pPr>
        <w:rPr>
          <w:b/>
        </w:rPr>
      </w:pPr>
      <w:r w:rsidRPr="00321AB3">
        <w:rPr>
          <w:b/>
        </w:rPr>
        <w:t>From Raw Data to Smart Manufacturing: Things for Industry 4.0</w:t>
      </w:r>
      <w:r>
        <w:rPr>
          <w:b/>
        </w:rPr>
        <w:t xml:space="preserve"> (2018)</w:t>
      </w:r>
    </w:p>
    <w:p w:rsidR="00F0558F" w:rsidRDefault="00F0558F" w:rsidP="00DB5A50">
      <w:pPr>
        <w:ind w:firstLine="720"/>
      </w:pPr>
      <w:r>
        <w:t>The rise of Industrial Internet of Things (</w:t>
      </w:r>
      <w:proofErr w:type="spellStart"/>
      <w:r>
        <w:t>IIoT</w:t>
      </w:r>
      <w:proofErr w:type="spellEnd"/>
      <w:r>
        <w:t>) and 5G wireless are expected to cause a 1000-fold increase in the number of connected devices</w:t>
      </w:r>
      <w:sdt>
        <w:sdtPr>
          <w:id w:val="-815258438"/>
          <w:citation/>
        </w:sdtPr>
        <w:sdtContent>
          <w:r>
            <w:fldChar w:fldCharType="begin"/>
          </w:r>
          <w:r>
            <w:instrText xml:space="preserve"> CITATION Pet18 \l 1033 </w:instrText>
          </w:r>
          <w:r>
            <w:fldChar w:fldCharType="separate"/>
          </w:r>
          <w:r>
            <w:rPr>
              <w:noProof/>
            </w:rPr>
            <w:t xml:space="preserve"> (Petel, Ali, &amp; Sheth, 2018)</w:t>
          </w:r>
          <w:r>
            <w:fldChar w:fldCharType="end"/>
          </w:r>
        </w:sdtContent>
      </w:sdt>
      <w:sdt>
        <w:sdtPr>
          <w:id w:val="942739102"/>
          <w:citation/>
        </w:sdtPr>
        <w:sdtContent>
          <w:r>
            <w:fldChar w:fldCharType="begin"/>
          </w:r>
          <w:r>
            <w:instrText xml:space="preserve"> CITATION Fro181 \l 1033 </w:instrText>
          </w:r>
          <w:r>
            <w:fldChar w:fldCharType="separate"/>
          </w:r>
          <w:r>
            <w:rPr>
              <w:noProof/>
            </w:rPr>
            <w:t xml:space="preserve"> (Frodigh, 2018)</w:t>
          </w:r>
          <w:r>
            <w:fldChar w:fldCharType="end"/>
          </w:r>
        </w:sdtContent>
      </w:sdt>
      <w:r>
        <w:t>.</w:t>
      </w:r>
      <w:r w:rsidRPr="00321AB3">
        <w:rPr>
          <w:b/>
        </w:rPr>
        <w:tab/>
      </w:r>
      <w:r>
        <w:t xml:space="preserve">This </w:t>
      </w:r>
      <w:r>
        <w:t>multiplication</w:t>
      </w:r>
      <w:r>
        <w:t xml:space="preserve"> effect will </w:t>
      </w:r>
      <w:r w:rsidR="00DB5A50">
        <w:t xml:space="preserve">further </w:t>
      </w:r>
      <w:r>
        <w:t xml:space="preserve">grow the size of the policy-based routing tables, </w:t>
      </w:r>
      <w:r>
        <w:t>introduc</w:t>
      </w:r>
      <w:r>
        <w:t>ing</w:t>
      </w:r>
      <w:r>
        <w:t xml:space="preserve"> additional challenges for scaling software-defined networking systems</w:t>
      </w:r>
      <w:r>
        <w:t>.</w:t>
      </w:r>
    </w:p>
    <w:p w:rsidR="00F0558F" w:rsidRDefault="00F0558F" w:rsidP="00F0558F">
      <w:pPr>
        <w:ind w:firstLine="720"/>
      </w:pPr>
      <w:r>
        <w:t xml:space="preserve">Today, businesses address these limitations </w:t>
      </w:r>
      <w:proofErr w:type="gramStart"/>
      <w:r>
        <w:t>through the use of</w:t>
      </w:r>
      <w:proofErr w:type="gramEnd"/>
      <w:r>
        <w:t xml:space="preserve"> extra hardware. However, as the problem grows to the scale of large enterprises or smart cities the costs become prohibitively expensive</w:t>
      </w:r>
      <w:r w:rsidRPr="00F0558F">
        <w:t xml:space="preserve"> </w:t>
      </w:r>
      <w:sdt>
        <w:sdtPr>
          <w:id w:val="-277178810"/>
          <w:citation/>
        </w:sdtPr>
        <w:sdtContent>
          <w:r>
            <w:fldChar w:fldCharType="begin"/>
          </w:r>
          <w:r>
            <w:instrText xml:space="preserve">CITATION Jai13 \l 1033 </w:instrText>
          </w:r>
          <w:r>
            <w:fldChar w:fldCharType="separate"/>
          </w:r>
          <w:r>
            <w:rPr>
              <w:noProof/>
            </w:rPr>
            <w:t xml:space="preserve"> (Jain et al., 2013)</w:t>
          </w:r>
          <w:r>
            <w:fldChar w:fldCharType="end"/>
          </w:r>
        </w:sdtContent>
      </w:sdt>
      <w:r>
        <w:t>.</w:t>
      </w:r>
    </w:p>
    <w:p w:rsidR="00DB5A50" w:rsidRDefault="00DB5A50" w:rsidP="00DB5A50">
      <w:pPr>
        <w:rPr>
          <w:b/>
        </w:rPr>
      </w:pPr>
      <w:r>
        <w:rPr>
          <w:b/>
        </w:rPr>
        <w:t xml:space="preserve">SDWN </w:t>
      </w:r>
      <w:r w:rsidRPr="00DB5A50">
        <w:rPr>
          <w:b/>
        </w:rPr>
        <w:t xml:space="preserve">Opportunities and Challenges for </w:t>
      </w:r>
      <w:r>
        <w:rPr>
          <w:b/>
        </w:rPr>
        <w:t>IoT (2006)</w:t>
      </w:r>
    </w:p>
    <w:p w:rsidR="00DB5A50" w:rsidRDefault="00DB5A50" w:rsidP="00DB5A50">
      <w:pPr>
        <w:ind w:firstLine="720"/>
      </w:pPr>
      <w:r>
        <w:lastRenderedPageBreak/>
        <w:t xml:space="preserve">The success of smart cities relies on capabilities exposed through policy-based routing technologies, such as though provided by Software-Defined Wireless Networking. When running at scale, those needs will use enormous amounts of policy entries in the OpenFlow switches. </w:t>
      </w:r>
    </w:p>
    <w:p w:rsidR="00DB5A50" w:rsidRDefault="00DB5A50" w:rsidP="00DB5A50">
      <w:pPr>
        <w:ind w:firstLine="720"/>
      </w:pPr>
      <w:r>
        <w:t>An open research area within software-defined networks are mechanisms to increase the supportable size of Policy-Based Routing (PBR) in the Open Flow Tables. Ternary Content-Addressable Memory (TCAM) introduce these limits, as there is a finite amount on each physical networking device</w:t>
      </w:r>
      <w:sdt>
        <w:sdtPr>
          <w:id w:val="447364777"/>
          <w:citation/>
        </w:sdtPr>
        <w:sdtContent>
          <w:r>
            <w:fldChar w:fldCharType="begin"/>
          </w:r>
          <w:r>
            <w:instrText xml:space="preserve"> CITATION Sho06 \l 1033 </w:instrText>
          </w:r>
          <w:r>
            <w:fldChar w:fldCharType="separate"/>
          </w:r>
          <w:r>
            <w:rPr>
              <w:noProof/>
            </w:rPr>
            <w:t xml:space="preserve"> (Shood, Yu, &amp; Xiang, 2006)</w:t>
          </w:r>
          <w:r>
            <w:fldChar w:fldCharType="end"/>
          </w:r>
        </w:sdtContent>
      </w:sdt>
      <w:r>
        <w:t xml:space="preserve">. </w:t>
      </w:r>
    </w:p>
    <w:p w:rsidR="009F4A20" w:rsidRDefault="009F4A20" w:rsidP="009F4A20">
      <w:pPr>
        <w:pStyle w:val="Heading2"/>
      </w:pPr>
      <w:r w:rsidRPr="00DB5A50">
        <w:t>DURE: An Energy- and Resource-Efficient TCAM Architecture</w:t>
      </w:r>
      <w:r>
        <w:t xml:space="preserve"> (2019)</w:t>
      </w:r>
    </w:p>
    <w:p w:rsidR="00DB5A50" w:rsidRDefault="00DB5A50" w:rsidP="00DB5A50">
      <w:pPr>
        <w:ind w:firstLine="720"/>
      </w:pPr>
      <w:r>
        <w:t xml:space="preserve">A commodity workstation uses Random Access Memory (RAM) and requires the application to provide an </w:t>
      </w:r>
      <w:r w:rsidRPr="00A6642E">
        <w:rPr>
          <w:i/>
        </w:rPr>
        <w:t>address</w:t>
      </w:r>
      <w:r>
        <w:t xml:space="preserve"> to retrieve the </w:t>
      </w:r>
      <w:r>
        <w:rPr>
          <w:i/>
        </w:rPr>
        <w:t>content</w:t>
      </w:r>
      <w:r>
        <w:t xml:space="preserve">. Network packets </w:t>
      </w:r>
      <w:proofErr w:type="gramStart"/>
      <w:r>
        <w:t>entering into</w:t>
      </w:r>
      <w:proofErr w:type="gramEnd"/>
      <w:r>
        <w:t xml:space="preserve"> the OpenFlow switch have the opposite requirement; the destination’s virtual IP (content) needs mapping to a virtual switch port (address).</w:t>
      </w:r>
    </w:p>
    <w:p w:rsidR="00DB5A50" w:rsidRPr="00DB5A50" w:rsidRDefault="00DB5A50" w:rsidP="00DB5A50">
      <w:r>
        <w:tab/>
        <w:t>Ternary Content-Addressable Memory (TCAM) addresses this requirement by allowing each bit in the content to represent states (a) on, (b) off, or (c) doesn’t care about ‘x.’ In a single clock cycle, these wildcards are applied and queried across the entire routing table</w:t>
      </w:r>
      <w:sdt>
        <w:sdtPr>
          <w:id w:val="-541050318"/>
          <w:citation/>
        </w:sdtPr>
        <w:sdtContent>
          <w:r>
            <w:fldChar w:fldCharType="begin"/>
          </w:r>
          <w:r>
            <w:instrText xml:space="preserve"> CITATION DUR19 \l 1033 </w:instrText>
          </w:r>
          <w:r>
            <w:fldChar w:fldCharType="separate"/>
          </w:r>
          <w:r>
            <w:rPr>
              <w:noProof/>
            </w:rPr>
            <w:t xml:space="preserve"> (Ullah, Ullah, Afzaal, &amp; Lee, 2019)</w:t>
          </w:r>
          <w:r>
            <w:fldChar w:fldCharType="end"/>
          </w:r>
        </w:sdtContent>
      </w:sdt>
      <w:r>
        <w:t>.</w:t>
      </w:r>
    </w:p>
    <w:p w:rsidR="009F4A20" w:rsidRDefault="009F4A20" w:rsidP="009F4A20">
      <w:pPr>
        <w:ind w:firstLine="720"/>
      </w:pPr>
      <w:r>
        <w:t xml:space="preserve">A limited amount of TCAM memory is available on each device due to (1) the chips are expensive to produce; (2) requires significant power for complex circuits; (3) the power consumption emits large amounts of heat; and (4) the complex circuitry reduces amount of memory that can be placed per square centimeter. </w:t>
      </w:r>
    </w:p>
    <w:p w:rsidR="009F4A20" w:rsidRDefault="009F4A20" w:rsidP="009F4A20">
      <w:pPr>
        <w:ind w:firstLine="720"/>
      </w:pPr>
      <w:r>
        <w:t xml:space="preserve">According to Ullah et al., a typical chip contains on the order of 1000 x 144-bit words. The number of words does not directly map to the number of supported devices. Vendors can </w:t>
      </w:r>
      <w:r>
        <w:lastRenderedPageBreak/>
        <w:t>implement filter policies using multiple ‘allow’ and ‘drop’ actions requiring additional Flow Table entries.</w:t>
      </w:r>
    </w:p>
    <w:p w:rsidR="00321AB3" w:rsidRPr="009F4A20" w:rsidRDefault="009F4A20" w:rsidP="009F4A20">
      <w:pPr>
        <w:ind w:firstLine="720"/>
        <w:rPr>
          <w:rStyle w:val="Emphasis"/>
          <w:rFonts w:ascii="Times New Roman" w:hAnsi="Times New Roman" w:cs="Times New Roman"/>
          <w:sz w:val="24"/>
          <w:szCs w:val="24"/>
        </w:rPr>
      </w:pPr>
      <w:r>
        <w:t>To partially mitigate the scenario, vendors have introduced the notion of ‘Flow Groups’ as a mechanism to group multiple flows into the same policy entry.</w:t>
      </w:r>
      <w:r>
        <w:t xml:space="preserve"> However, the needs for more fine-grained control reduces the size of each group. Eventually, this size limitation will impede innovation within smart cities.</w:t>
      </w:r>
    </w:p>
    <w:p w:rsidR="008105FC" w:rsidRPr="008105FC" w:rsidRDefault="008105FC" w:rsidP="008105FC">
      <w:pPr>
        <w:pStyle w:val="Heading1"/>
      </w:pPr>
      <w:r>
        <w:t>Approach</w:t>
      </w:r>
    </w:p>
    <w:p w:rsidR="008105FC" w:rsidRDefault="008105FC" w:rsidP="008105FC"/>
    <w:p w:rsidR="008105FC" w:rsidRPr="008105FC" w:rsidRDefault="008105FC" w:rsidP="008105FC"/>
    <w:p w:rsidR="0082223F" w:rsidRDefault="0082223F" w:rsidP="0082223F"/>
    <w:p w:rsidR="0082223F" w:rsidRPr="0082223F" w:rsidRDefault="0082223F" w:rsidP="0082223F">
      <w:pPr>
        <w:pStyle w:val="Heading2"/>
      </w:pPr>
    </w:p>
    <w:sectPr w:rsidR="0082223F" w:rsidRPr="0082223F"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5667" w:rsidRDefault="00A25667" w:rsidP="0082223F">
      <w:pPr>
        <w:spacing w:line="240" w:lineRule="auto"/>
      </w:pPr>
      <w:r>
        <w:separator/>
      </w:r>
    </w:p>
  </w:endnote>
  <w:endnote w:type="continuationSeparator" w:id="0">
    <w:p w:rsidR="00A25667" w:rsidRDefault="00A2566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5667" w:rsidRDefault="00A25667" w:rsidP="0082223F">
      <w:pPr>
        <w:spacing w:line="240" w:lineRule="auto"/>
      </w:pPr>
      <w:r>
        <w:separator/>
      </w:r>
    </w:p>
  </w:footnote>
  <w:footnote w:type="continuationSeparator" w:id="0">
    <w:p w:rsidR="00A25667" w:rsidRDefault="00A2566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4A784B">
          <w:rPr>
            <w:color w:val="7F7F7F" w:themeColor="background1" w:themeShade="7F"/>
            <w:spacing w:val="60"/>
          </w:rPr>
          <w:t>7010</w:t>
        </w:r>
        <w:r>
          <w:rPr>
            <w:color w:val="7F7F7F" w:themeColor="background1" w:themeShade="7F"/>
            <w:spacing w:val="60"/>
          </w:rPr>
          <w:t xml:space="preserve">: </w:t>
        </w:r>
        <w:r w:rsidR="004A784B">
          <w:rPr>
            <w:color w:val="7F7F7F" w:themeColor="background1" w:themeShade="7F"/>
            <w:spacing w:val="60"/>
          </w:rPr>
          <w:t>NETWORKING &amp; MOBILE COMPUTING</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D2E4D"/>
    <w:multiLevelType w:val="hybridMultilevel"/>
    <w:tmpl w:val="3A16E4FC"/>
    <w:lvl w:ilvl="0" w:tplc="D728CCAA">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qQUAHHpkPywAAAA="/>
  </w:docVars>
  <w:rsids>
    <w:rsidRoot w:val="0082223F"/>
    <w:rsid w:val="00036708"/>
    <w:rsid w:val="00036F58"/>
    <w:rsid w:val="000A11D9"/>
    <w:rsid w:val="00183597"/>
    <w:rsid w:val="002806B7"/>
    <w:rsid w:val="00321AB3"/>
    <w:rsid w:val="00323C59"/>
    <w:rsid w:val="004223E8"/>
    <w:rsid w:val="004509B2"/>
    <w:rsid w:val="004A784B"/>
    <w:rsid w:val="00536C19"/>
    <w:rsid w:val="005A2F42"/>
    <w:rsid w:val="006156B3"/>
    <w:rsid w:val="00791E5C"/>
    <w:rsid w:val="008105FC"/>
    <w:rsid w:val="0082223F"/>
    <w:rsid w:val="008B5129"/>
    <w:rsid w:val="008F08CD"/>
    <w:rsid w:val="00935BAB"/>
    <w:rsid w:val="009F4A20"/>
    <w:rsid w:val="00A25667"/>
    <w:rsid w:val="00B82766"/>
    <w:rsid w:val="00C40E55"/>
    <w:rsid w:val="00C73692"/>
    <w:rsid w:val="00D25DA5"/>
    <w:rsid w:val="00D26313"/>
    <w:rsid w:val="00DB5A50"/>
    <w:rsid w:val="00DE2224"/>
    <w:rsid w:val="00E941D8"/>
    <w:rsid w:val="00F00C81"/>
    <w:rsid w:val="00F0558F"/>
    <w:rsid w:val="00FC3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15559"/>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character" w:styleId="Emphasis">
    <w:name w:val="Emphasis"/>
    <w:uiPriority w:val="20"/>
    <w:qFormat/>
    <w:rsid w:val="00F00C81"/>
    <w:rPr>
      <w:rFonts w:ascii="Courier New" w:hAnsi="Courier New" w:cs="Courier New"/>
      <w:sz w:val="20"/>
      <w:szCs w:val="20"/>
    </w:rPr>
  </w:style>
  <w:style w:type="paragraph" w:styleId="ListParagraph">
    <w:name w:val="List Paragraph"/>
    <w:basedOn w:val="Normal"/>
    <w:uiPriority w:val="34"/>
    <w:qFormat/>
    <w:rsid w:val="00321A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841380">
      <w:bodyDiv w:val="1"/>
      <w:marLeft w:val="0"/>
      <w:marRight w:val="0"/>
      <w:marTop w:val="0"/>
      <w:marBottom w:val="0"/>
      <w:divBdr>
        <w:top w:val="none" w:sz="0" w:space="0" w:color="auto"/>
        <w:left w:val="none" w:sz="0" w:space="0" w:color="auto"/>
        <w:bottom w:val="none" w:sz="0" w:space="0" w:color="auto"/>
        <w:right w:val="none" w:sz="0" w:space="0" w:color="auto"/>
      </w:divBdr>
    </w:div>
    <w:div w:id="219175453">
      <w:bodyDiv w:val="1"/>
      <w:marLeft w:val="0"/>
      <w:marRight w:val="0"/>
      <w:marTop w:val="0"/>
      <w:marBottom w:val="0"/>
      <w:divBdr>
        <w:top w:val="none" w:sz="0" w:space="0" w:color="auto"/>
        <w:left w:val="none" w:sz="0" w:space="0" w:color="auto"/>
        <w:bottom w:val="none" w:sz="0" w:space="0" w:color="auto"/>
        <w:right w:val="none" w:sz="0" w:space="0" w:color="auto"/>
      </w:divBdr>
    </w:div>
    <w:div w:id="228419311">
      <w:bodyDiv w:val="1"/>
      <w:marLeft w:val="0"/>
      <w:marRight w:val="0"/>
      <w:marTop w:val="0"/>
      <w:marBottom w:val="0"/>
      <w:divBdr>
        <w:top w:val="none" w:sz="0" w:space="0" w:color="auto"/>
        <w:left w:val="none" w:sz="0" w:space="0" w:color="auto"/>
        <w:bottom w:val="none" w:sz="0" w:space="0" w:color="auto"/>
        <w:right w:val="none" w:sz="0" w:space="0" w:color="auto"/>
      </w:divBdr>
    </w:div>
    <w:div w:id="902108372">
      <w:bodyDiv w:val="1"/>
      <w:marLeft w:val="0"/>
      <w:marRight w:val="0"/>
      <w:marTop w:val="0"/>
      <w:marBottom w:val="0"/>
      <w:divBdr>
        <w:top w:val="none" w:sz="0" w:space="0" w:color="auto"/>
        <w:left w:val="none" w:sz="0" w:space="0" w:color="auto"/>
        <w:bottom w:val="none" w:sz="0" w:space="0" w:color="auto"/>
        <w:right w:val="none" w:sz="0" w:space="0" w:color="auto"/>
      </w:divBdr>
    </w:div>
    <w:div w:id="1001661569">
      <w:bodyDiv w:val="1"/>
      <w:marLeft w:val="0"/>
      <w:marRight w:val="0"/>
      <w:marTop w:val="0"/>
      <w:marBottom w:val="0"/>
      <w:divBdr>
        <w:top w:val="none" w:sz="0" w:space="0" w:color="auto"/>
        <w:left w:val="none" w:sz="0" w:space="0" w:color="auto"/>
        <w:bottom w:val="none" w:sz="0" w:space="0" w:color="auto"/>
        <w:right w:val="none" w:sz="0" w:space="0" w:color="auto"/>
      </w:divBdr>
    </w:div>
    <w:div w:id="1069111008">
      <w:bodyDiv w:val="1"/>
      <w:marLeft w:val="0"/>
      <w:marRight w:val="0"/>
      <w:marTop w:val="0"/>
      <w:marBottom w:val="0"/>
      <w:divBdr>
        <w:top w:val="none" w:sz="0" w:space="0" w:color="auto"/>
        <w:left w:val="none" w:sz="0" w:space="0" w:color="auto"/>
        <w:bottom w:val="none" w:sz="0" w:space="0" w:color="auto"/>
        <w:right w:val="none" w:sz="0" w:space="0" w:color="auto"/>
      </w:divBdr>
    </w:div>
    <w:div w:id="1125807993">
      <w:bodyDiv w:val="1"/>
      <w:marLeft w:val="0"/>
      <w:marRight w:val="0"/>
      <w:marTop w:val="0"/>
      <w:marBottom w:val="0"/>
      <w:divBdr>
        <w:top w:val="none" w:sz="0" w:space="0" w:color="auto"/>
        <w:left w:val="none" w:sz="0" w:space="0" w:color="auto"/>
        <w:bottom w:val="none" w:sz="0" w:space="0" w:color="auto"/>
        <w:right w:val="none" w:sz="0" w:space="0" w:color="auto"/>
      </w:divBdr>
    </w:div>
    <w:div w:id="1154293191">
      <w:bodyDiv w:val="1"/>
      <w:marLeft w:val="0"/>
      <w:marRight w:val="0"/>
      <w:marTop w:val="0"/>
      <w:marBottom w:val="0"/>
      <w:divBdr>
        <w:top w:val="none" w:sz="0" w:space="0" w:color="auto"/>
        <w:left w:val="none" w:sz="0" w:space="0" w:color="auto"/>
        <w:bottom w:val="none" w:sz="0" w:space="0" w:color="auto"/>
        <w:right w:val="none" w:sz="0" w:space="0" w:color="auto"/>
      </w:divBdr>
    </w:div>
    <w:div w:id="1225019748">
      <w:bodyDiv w:val="1"/>
      <w:marLeft w:val="0"/>
      <w:marRight w:val="0"/>
      <w:marTop w:val="0"/>
      <w:marBottom w:val="0"/>
      <w:divBdr>
        <w:top w:val="none" w:sz="0" w:space="0" w:color="auto"/>
        <w:left w:val="none" w:sz="0" w:space="0" w:color="auto"/>
        <w:bottom w:val="none" w:sz="0" w:space="0" w:color="auto"/>
        <w:right w:val="none" w:sz="0" w:space="0" w:color="auto"/>
      </w:divBdr>
    </w:div>
    <w:div w:id="1342393360">
      <w:bodyDiv w:val="1"/>
      <w:marLeft w:val="0"/>
      <w:marRight w:val="0"/>
      <w:marTop w:val="0"/>
      <w:marBottom w:val="0"/>
      <w:divBdr>
        <w:top w:val="none" w:sz="0" w:space="0" w:color="auto"/>
        <w:left w:val="none" w:sz="0" w:space="0" w:color="auto"/>
        <w:bottom w:val="none" w:sz="0" w:space="0" w:color="auto"/>
        <w:right w:val="none" w:sz="0" w:space="0" w:color="auto"/>
      </w:divBdr>
    </w:div>
    <w:div w:id="1438285107">
      <w:bodyDiv w:val="1"/>
      <w:marLeft w:val="0"/>
      <w:marRight w:val="0"/>
      <w:marTop w:val="0"/>
      <w:marBottom w:val="0"/>
      <w:divBdr>
        <w:top w:val="none" w:sz="0" w:space="0" w:color="auto"/>
        <w:left w:val="none" w:sz="0" w:space="0" w:color="auto"/>
        <w:bottom w:val="none" w:sz="0" w:space="0" w:color="auto"/>
        <w:right w:val="none" w:sz="0" w:space="0" w:color="auto"/>
      </w:divBdr>
    </w:div>
    <w:div w:id="1751845792">
      <w:bodyDiv w:val="1"/>
      <w:marLeft w:val="0"/>
      <w:marRight w:val="0"/>
      <w:marTop w:val="0"/>
      <w:marBottom w:val="0"/>
      <w:divBdr>
        <w:top w:val="none" w:sz="0" w:space="0" w:color="auto"/>
        <w:left w:val="none" w:sz="0" w:space="0" w:color="auto"/>
        <w:bottom w:val="none" w:sz="0" w:space="0" w:color="auto"/>
        <w:right w:val="none" w:sz="0" w:space="0" w:color="auto"/>
      </w:divBdr>
    </w:div>
    <w:div w:id="1754475014">
      <w:bodyDiv w:val="1"/>
      <w:marLeft w:val="0"/>
      <w:marRight w:val="0"/>
      <w:marTop w:val="0"/>
      <w:marBottom w:val="0"/>
      <w:divBdr>
        <w:top w:val="none" w:sz="0" w:space="0" w:color="auto"/>
        <w:left w:val="none" w:sz="0" w:space="0" w:color="auto"/>
        <w:bottom w:val="none" w:sz="0" w:space="0" w:color="auto"/>
        <w:right w:val="none" w:sz="0" w:space="0" w:color="auto"/>
      </w:divBdr>
    </w:div>
    <w:div w:id="1766657509">
      <w:bodyDiv w:val="1"/>
      <w:marLeft w:val="0"/>
      <w:marRight w:val="0"/>
      <w:marTop w:val="0"/>
      <w:marBottom w:val="0"/>
      <w:divBdr>
        <w:top w:val="none" w:sz="0" w:space="0" w:color="auto"/>
        <w:left w:val="none" w:sz="0" w:space="0" w:color="auto"/>
        <w:bottom w:val="none" w:sz="0" w:space="0" w:color="auto"/>
        <w:right w:val="none" w:sz="0" w:space="0" w:color="auto"/>
      </w:divBdr>
    </w:div>
    <w:div w:id="2004817814">
      <w:bodyDiv w:val="1"/>
      <w:marLeft w:val="0"/>
      <w:marRight w:val="0"/>
      <w:marTop w:val="0"/>
      <w:marBottom w:val="0"/>
      <w:divBdr>
        <w:top w:val="none" w:sz="0" w:space="0" w:color="auto"/>
        <w:left w:val="none" w:sz="0" w:space="0" w:color="auto"/>
        <w:bottom w:val="none" w:sz="0" w:space="0" w:color="auto"/>
        <w:right w:val="none" w:sz="0" w:space="0" w:color="auto"/>
      </w:divBdr>
    </w:div>
    <w:div w:id="201603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Com09</b:Tag>
    <b:SourceType>InternetSite</b:SourceType>
    <b:Guid>{1BA20E4A-8DAC-4AAD-8EBC-DD2C6F9ABC06}</b:Guid>
    <b:Author>
      <b:Author>
        <b:Corporate>Commission of the European Communities</b:Corporate>
      </b:Author>
    </b:Author>
    <b:Title>Internet of Things — An action plan for Europe.</b:Title>
    <b:Year>2009</b:Year>
    <b:URL>http://eurlex.europa.eu/LexUriServ/site/en/com/2009/com2009_0278en01.pdf</b:URL>
    <b:RefOrder>1</b:RefOrder>
  </b:Source>
  <b:Source>
    <b:Tag>Kic97</b:Tag>
    <b:SourceType>JournalArticle</b:SourceType>
    <b:Guid>{E6F98181-2B52-46D1-864B-2E28E332464C}</b:Guid>
    <b:Author>
      <b:Author>
        <b:NameList>
          <b:Person>
            <b:Last>Kiczales</b:Last>
            <b:First>G</b:First>
          </b:Person>
        </b:NameList>
      </b:Author>
    </b:Author>
    <b:Title>Aspect Oriented Programming</b:Title>
    <b:Year>1997</b:Year>
    <b:RefOrder>3</b:RefOrder>
  </b:Source>
  <b:Source>
    <b:Tag>Fah18</b:Tag>
    <b:SourceType>JournalArticle</b:SourceType>
    <b:Guid>{437CA9C7-20FB-48C5-AA55-05EF5825A805}</b:Guid>
    <b:Author>
      <b:Author>
        <b:NameList>
          <b:Person>
            <b:Last>Fahmideh</b:Last>
            <b:First>M</b:First>
          </b:Person>
          <b:Person>
            <b:Last>Zowghi</b:Last>
            <b:First>D</b:First>
          </b:Person>
        </b:NameList>
      </b:Author>
    </b:Author>
    <b:Title>IoT Smart City Architectures: an Analytical</b:Title>
    <b:Year>2018</b:Year>
    <b:Pages>709-715</b:Pages>
    <b:RefOrder>4</b:RefOrder>
  </b:Source>
  <b:Source>
    <b:Tag>Cha18</b:Tag>
    <b:SourceType>JournalArticle</b:SourceType>
    <b:Guid>{EF380CA0-D38C-455D-8831-92B18A414A7E}</b:Guid>
    <b:Author>
      <b:Author>
        <b:NameList>
          <b:Person>
            <b:Last>Chatterjee</b:Last>
            <b:First>S</b:First>
          </b:Person>
          <b:Person>
            <b:Last>Kar</b:Last>
            <b:First>A</b:First>
          </b:Person>
          <b:Person>
            <b:Last>Gupta</b:Last>
            <b:First>M</b:First>
          </b:Person>
        </b:NameList>
      </b:Author>
    </b:Author>
    <b:Title>Success of IoT in Smart Cities of India: An empirical analysis</b:Title>
    <b:JournalName>Government Information Quarterly Volume 35, Issue 3, September 2018</b:JournalName>
    <b:Year>2018</b:Year>
    <b:Pages>349-361</b:Pages>
    <b:RefOrder>5</b:RefOrder>
  </b:Source>
  <b:Source>
    <b:Tag>Kaj18</b:Tag>
    <b:SourceType>JournalArticle</b:SourceType>
    <b:Guid>{39D1E6BF-560F-48DD-9A9A-896757E885E3}</b:Guid>
    <b:Author>
      <b:Author>
        <b:NameList>
          <b:Person>
            <b:Last>Kaja</b:Last>
            <b:First>P</b:First>
          </b:Person>
          <b:Person>
            <b:Last>Bostjan</b:Last>
            <b:First>S</b:First>
          </b:Person>
        </b:NameList>
      </b:Author>
    </b:Author>
    <b:Title>Analysis of the Relationship Between Smart Cities, Policing and Criminal Investigation</b:Title>
    <b:JournalName>Varstvoslovje: Journal of Criminal Justice &amp; Security. 2018, Vol. 20 Issue 4, p389-413. 25p.</b:JournalName>
    <b:Year>2018</b:Year>
    <b:Pages>389-413</b:Pages>
    <b:RefOrder>6</b:RefOrder>
  </b:Source>
  <b:Source>
    <b:Tag>Dra16</b:Tag>
    <b:SourceType>JournalArticle</b:SourceType>
    <b:Guid>{3F89D62C-B89D-477F-9A10-8AD18BC58AF9}</b:Guid>
    <b:Author>
      <b:Author>
        <b:NameList>
          <b:Person>
            <b:Last>Drange</b:Last>
            <b:First>M</b:First>
          </b:Person>
        </b:NameList>
      </b:Author>
    </b:Author>
    <b:Title>Shots Misfired: How Silicon Valley's Answer To Gun Violence Missed The Mark. By: Drange, Matt</b:Title>
    <b:JournalName>Forbes.com</b:JournalName>
    <b:Year>2016</b:Year>
    <b:RefOrder>7</b:RefOrder>
  </b:Source>
  <b:Source>
    <b:Tag>Lea14</b:Tag>
    <b:SourceType>JournalArticle</b:SourceType>
    <b:Guid>{05C21665-1087-4DD8-9F58-3F5494257BFD}</b:Guid>
    <b:Author>
      <b:Author>
        <b:NameList>
          <b:Person>
            <b:Last>Lea</b:Last>
            <b:First>R</b:First>
          </b:Person>
          <b:Person>
            <b:Last>Blackstock</b:Last>
            <b:First>M</b:First>
          </b:Person>
        </b:NameList>
      </b:Author>
    </b:Author>
    <b:Title>Smart Cities: an IoT-centric Approach</b:Title>
    <b:JournalName>IWWISS '14, September 01 - 02 2014, Saint Etienne, France</b:JournalName>
    <b:Year>2014</b:Year>
    <b:RefOrder>8</b:RefOrder>
  </b:Source>
  <b:Source>
    <b:Tag>Shi16</b:Tag>
    <b:SourceType>JournalArticle</b:SourceType>
    <b:Guid>{6FFC3DAD-7396-4F6B-A7B7-AACDFD2160F6}</b:Guid>
    <b:Author>
      <b:Author>
        <b:NameList>
          <b:Person>
            <b:Last>Shilton</b:Last>
            <b:First>K</b:First>
          </b:Person>
          <b:Person>
            <b:Last>Burke</b:Last>
            <b:First>J</b:First>
          </b:Person>
          <b:Person>
            <b:Last>Caffy</b:Last>
            <b:First>K</b:First>
          </b:Person>
          <b:Person>
            <b:Last>Zhang</b:Last>
            <b:First>L</b:First>
          </b:Person>
        </b:NameList>
      </b:Author>
    </b:Author>
    <b:Title>Anticipating Policy and Social Implications of Named Data Networking</b:Title>
    <b:JournalName>COMMUNICATIONS OF THE ACM | DECEMBER 2016 | VOL. 59 | NO. 12</b:JournalName>
    <b:Year>2016</b:Year>
    <b:RefOrder>9</b:RefOrder>
  </b:Source>
  <b:Source>
    <b:Tag>Bal18</b:Tag>
    <b:SourceType>JournalArticle</b:SourceType>
    <b:Guid>{BC3A6123-CD9A-4D73-8349-338783EF2CC2}</b:Guid>
    <b:Title>Reasoning about Smart City</b:Title>
    <b:Year>2018</b:Year>
    <b:Author>
      <b:Author>
        <b:Corporate>Balduccini et al.</b:Corporate>
      </b:Author>
    </b:Author>
    <b:JournalName>2018 IEEE International Conference on Smart Computing</b:JournalName>
    <b:Pages>381-386</b:Pages>
    <b:RefOrder>2</b:RefOrder>
  </b:Source>
  <b:Source>
    <b:Tag>Pet18</b:Tag>
    <b:SourceType>JournalArticle</b:SourceType>
    <b:Guid>{9BB1B116-536B-4CF8-A01A-B2AAF53EED25}</b:Guid>
    <b:Author>
      <b:Author>
        <b:NameList>
          <b:Person>
            <b:Last>Petel</b:Last>
            <b:First>P</b:First>
          </b:Person>
          <b:Person>
            <b:Last>Ali</b:Last>
            <b:First>M</b:First>
          </b:Person>
          <b:Person>
            <b:Last>Sheth</b:Last>
            <b:First>A</b:First>
          </b:Person>
        </b:NameList>
      </b:Author>
    </b:Author>
    <b:Title>From Raw Data to Smart Manufacturing: AI and Semantic Web of Things for Industry 4.0 </b:Title>
    <b:JournalName>IEEE INTELLIGENT SYSTEMS July/August  </b:JournalName>
    <b:Year>2018</b:Year>
    <b:Pages>79-85</b:Pages>
    <b:RefOrder>15</b:RefOrder>
  </b:Source>
  <b:Source>
    <b:Tag>Fro181</b:Tag>
    <b:SourceType>InternetSite</b:SourceType>
    <b:Guid>{3FE08FE9-4D24-4DC2-9689-A863E8F66478}</b:Guid>
    <b:Title>Live from ICSE: Conference Opening + Keynote from Magnus Frodigh</b:Title>
    <b:Year>2018</b:Year>
    <b:Author>
      <b:Author>
        <b:NameList>
          <b:Person>
            <b:Last>Frodigh</b:Last>
            <b:First>M</b:First>
          </b:Person>
        </b:NameList>
      </b:Author>
    </b:Author>
    <b:InternetSiteTitle>YouTube</b:InternetSiteTitle>
    <b:Month>May</b:Month>
    <b:Day>30</b:Day>
    <b:URL>https://www.youtube.com/watch?v=cpeMmMh7Syk</b:URL>
    <b:RefOrder>16</b:RefOrder>
  </b:Source>
  <b:Source>
    <b:Tag>Ogr16</b:Tag>
    <b:SourceType>JournalArticle</b:SourceType>
    <b:Guid>{055973C2-9935-493F-9063-4793049585EB}</b:Guid>
    <b:Author>
      <b:Author>
        <b:NameList>
          <b:Person>
            <b:Last>Ogrodowczyk</b:Last>
            <b:First>L</b:First>
          </b:Person>
          <b:Person>
            <b:Last>Belter</b:Last>
            <b:First>B</b:First>
          </b:Person>
        </b:NameList>
      </b:Author>
    </b:Author>
    <b:Title>IoT ecosystem over programmable SDN</b:Title>
    <b:JournalName>2016 Fifth European Workshop on Software-Defined Networks</b:JournalName>
    <b:Year>2016</b:Year>
    <b:Pages>49-51</b:Pages>
    <b:RefOrder>10</b:RefOrder>
  </b:Source>
  <b:Source>
    <b:Tag>Jam141</b:Tag>
    <b:SourceType>JournalArticle</b:SourceType>
    <b:Guid>{A97ECF5F-F9AC-4281-8683-9D79C586F8D4}</b:Guid>
    <b:Author>
      <b:Author>
        <b:NameList>
          <b:Person>
            <b:Last>Jammal</b:Last>
            <b:First>M</b:First>
          </b:Person>
          <b:Person>
            <b:Last>Singh</b:Last>
            <b:First>t</b:First>
          </b:Person>
          <b:Person>
            <b:Last>Shami</b:Last>
            <b:First>A</b:First>
          </b:Person>
          <b:Person>
            <b:Last>Asal</b:Last>
            <b:First>R</b:First>
          </b:Person>
          <b:Person>
            <b:Last>Li</b:Last>
            <b:First>Y</b:First>
          </b:Person>
        </b:NameList>
      </b:Author>
    </b:Author>
    <b:Title>Software-Defined Networking: State of the Art and Research Challenges </b:Title>
    <b:Year>2014</b:Year>
    <b:RefOrder>11</b:RefOrder>
  </b:Source>
  <b:Source>
    <b:Tag>Jai13</b:Tag>
    <b:SourceType>JournalArticle</b:SourceType>
    <b:Guid>{5E61881C-1395-4663-8812-D1947775C2FB}</b:Guid>
    <b:Author>
      <b:Author>
        <b:Corporate>Jain et al.</b:Corporate>
      </b:Author>
    </b:Author>
    <b:Title>B4: Experience with a Globally-Deployed Software Defined WAN</b:Title>
    <b:JournalName>SIGCOMM’13, August 12–16, 2013, Hong Kong, China.</b:JournalName>
    <b:Year>2013</b:Year>
    <b:RefOrder>17</b:RefOrder>
  </b:Source>
  <b:Source>
    <b:Tag>Lop151</b:Tag>
    <b:SourceType>JournalArticle</b:SourceType>
    <b:Guid>{213DD1A0-3420-49F1-AF13-5A03E63B32F6}</b:Guid>
    <b:Author>
      <b:Author>
        <b:NameList>
          <b:Person>
            <b:Last>Lopez</b:Last>
            <b:First>L</b:First>
          </b:Person>
          <b:Person>
            <b:Last>Caraguary</b:Last>
            <b:First>A</b:First>
          </b:Person>
          <b:Person>
            <b:Last>Villalba</b:Last>
            <b:First>L</b:First>
          </b:Person>
          <b:Person>
            <b:Last>Lopez</b:Last>
            <b:First>D</b:First>
          </b:Person>
        </b:NameList>
      </b:Author>
    </b:Author>
    <b:Title>Trends on virtualisation with software defined networking and network function virtualisation</b:Title>
    <b:JournalName>IET Journals</b:JournalName>
    <b:Year>2015</b:Year>
    <b:RefOrder>12</b:RefOrder>
  </b:Source>
  <b:Source>
    <b:Tag>Sin17</b:Tag>
    <b:SourceType>JournalArticle</b:SourceType>
    <b:Guid>{1C876C99-8A4A-43D7-9BBC-8D0446D29E1A}</b:Guid>
    <b:Author>
      <b:Author>
        <b:NameList>
          <b:Person>
            <b:Last>Singh</b:Last>
            <b:First>K</b:First>
          </b:Person>
          <b:Person>
            <b:Last>Singh</b:Last>
            <b:First>P</b:First>
          </b:Person>
          <b:Person>
            <b:Last>Kumar</b:Last>
            <b:First>K</b:First>
          </b:Person>
        </b:NameList>
      </b:Author>
    </b:Author>
    <b:Title>Application layer HTTP-GET flood DDoS attacks: Research landscape and challenges</b:Title>
    <b:JournalName>Computers &amp; Security 65</b:JournalName>
    <b:Year>2017</b:Year>
    <b:Pages>344-372</b:Pages>
    <b:RefOrder>13</b:RefOrder>
  </b:Source>
  <b:Source>
    <b:Tag>Mir151</b:Tag>
    <b:SourceType>JournalArticle</b:SourceType>
    <b:Guid>{E4D41DDA-A4A7-4941-AE90-D4FDD7474ED2}</b:Guid>
    <b:Author>
      <b:Author>
        <b:NameList>
          <b:Person>
            <b:Last>Mirchev</b:Last>
            <b:First>A</b:First>
          </b:Person>
        </b:NameList>
      </b:Author>
    </b:Author>
    <b:Title>Survey of Concepts for QoS improvements via SDN</b:Title>
    <b:Year>2015</b:Year>
    <b:RefOrder>14</b:RefOrder>
  </b:Source>
  <b:Source>
    <b:Tag>DUR19</b:Tag>
    <b:SourceType>JournalArticle</b:SourceType>
    <b:Guid>{7319E1BA-0739-4836-AA46-A1865A8DC554}</b:Guid>
    <b:Title>DURE: An Energy- and Resource-Efficient TCAM Architecture for FPGAs With Dynamic Updates</b:Title>
    <b:JournalName>IEEE TRANSACTIONS ON VERY LARGE SCALE INTEGRATION (VLSI) SYSTEMS, VOL. 27, NO. 6, JUNE 2019</b:JournalName>
    <b:Year>2019</b:Year>
    <b:Pages>1298-1307</b:Pages>
    <b:Author>
      <b:Author>
        <b:NameList>
          <b:Person>
            <b:Last>Ullah</b:Last>
            <b:First>I</b:First>
          </b:Person>
          <b:Person>
            <b:Last>Ullah</b:Last>
            <b:First>Z</b:First>
          </b:Person>
          <b:Person>
            <b:Last>Afzaal</b:Last>
            <b:First>U</b:First>
          </b:Person>
          <b:Person>
            <b:Last>Lee</b:Last>
            <b:First>J</b:First>
          </b:Person>
        </b:NameList>
      </b:Author>
    </b:Author>
    <b:RefOrder>2</b:RefOrder>
  </b:Source>
  <b:Source>
    <b:Tag>Sho06</b:Tag>
    <b:SourceType>JournalArticle</b:SourceType>
    <b:Guid>{03B6AF83-5886-4E41-9011-9C15706E31A7}</b:Guid>
    <b:Title>Software-Defined Wireless Networking Opportunities and Challenges for Internet-of-Things: A Review</b:Title>
    <b:Year>2006</b:Year>
    <b:Author>
      <b:Author>
        <b:NameList>
          <b:Person>
            <b:Last>Shood</b:Last>
            <b:First>K</b:First>
          </b:Person>
          <b:Person>
            <b:Last>Yu</b:Last>
            <b:First>S</b:First>
          </b:Person>
          <b:Person>
            <b:Last>Xiang</b:Last>
            <b:First>Y</b:First>
          </b:Person>
        </b:NameList>
      </b:Author>
    </b:Author>
    <b:JournalName>IEEE INTERNET OF THINGS JOURNAL, VOL. 3, NO. 4, AUGUST</b:JournalName>
    <b:Pages>453-463</b:Pages>
    <b:RefOrder>1</b:RefOrder>
  </b:Source>
</b:Sources>
</file>

<file path=customXml/itemProps1.xml><?xml version="1.0" encoding="utf-8"?>
<ds:datastoreItem xmlns:ds="http://schemas.openxmlformats.org/officeDocument/2006/customXml" ds:itemID="{7A88FA8E-AF1D-47D7-A8E9-C64AFF879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2429</TotalTime>
  <Pages>9</Pages>
  <Words>1919</Words>
  <Characters>10940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23</cp:revision>
  <dcterms:created xsi:type="dcterms:W3CDTF">2019-05-19T20:38:00Z</dcterms:created>
  <dcterms:modified xsi:type="dcterms:W3CDTF">2019-08-15T02:04:00Z</dcterms:modified>
</cp:coreProperties>
</file>