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E293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 xml:space="preserve">It can be expensive to operate large scale in-memory systems at scale, and this leads to information governance questions.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can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This procedural change extends the exploration into more advanced scenarios without sacrificing performance consistency.  Others have suggested using encoding and compression schemes to improve the efficiency of resource utilization</w:t>
      </w:r>
      <w:sdt>
        <w:sdtPr>
          <w:id w:val="-146056432"/>
          <w:citation/>
        </w:sdt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w:t>
      </w:r>
      <w:r w:rsidR="00CA0204">
        <w:t xml:space="preserve">and removing specific content </w:t>
      </w:r>
      <w:r w:rsidR="003E63D9">
        <w:t xml:space="preserve">might </w:t>
      </w:r>
      <w:r w:rsidR="009074EA">
        <w:t xml:space="preserve">be </w:t>
      </w:r>
      <w:r w:rsidR="00FE08D8">
        <w:t>more straightforward</w:t>
      </w:r>
      <w:r>
        <w:t>.</w:t>
      </w:r>
    </w:p>
    <w:p w:rsidR="00FC23D4" w:rsidRDefault="00FC23D4">
      <w:pPr>
        <w:rPr>
          <w:b/>
        </w:rPr>
      </w:pPr>
      <w:r>
        <w:br w:type="page"/>
      </w:r>
    </w:p>
    <w:p w:rsidR="00FC23D4" w:rsidRDefault="00FC23D4" w:rsidP="00FC23D4">
      <w:pPr>
        <w:pStyle w:val="Heading1"/>
      </w:pPr>
      <w:r>
        <w:lastRenderedPageBreak/>
        <w:t>Bringing SQL databases to key-based NoSQL databases (2019)</w:t>
      </w:r>
    </w:p>
    <w:p w:rsidR="00FC23D4" w:rsidRDefault="00FC23D4" w:rsidP="00FC23D4">
      <w:r>
        <w:tab/>
        <w:t>The disruption of ICBM data requires businesses to rethink their approach towards scalability with a transition from traditional Relational stores to NoSQL.  These new systems leverage distinct access patterns that introduce a learning curve for engineering teams</w:t>
      </w:r>
      <w:sdt>
        <w:sdtPr>
          <w:id w:val="1825230058"/>
          <w:citation/>
        </w:sdtPr>
        <w:sdtContent>
          <w:r>
            <w:fldChar w:fldCharType="begin"/>
          </w:r>
          <w:r>
            <w:instrText xml:space="preserve"> CITATION Sch19 \l 1033 </w:instrText>
          </w:r>
          <w:r>
            <w:fldChar w:fldCharType="separate"/>
          </w:r>
          <w:r>
            <w:rPr>
              <w:noProof/>
            </w:rPr>
            <w:t xml:space="preserve"> (Schreiner, Duarte, &amp; Santos Mello, 2019)</w:t>
          </w:r>
          <w:r>
            <w:fldChar w:fldCharType="end"/>
          </w:r>
        </w:sdtContent>
      </w:sdt>
      <w:r>
        <w:t>.  Schreiner et al. present a framework that is capable of automatically translating specific queries at runtime, minimizing the modifications to existing source code.  They accomplish this through a canonical model that maps the hierarchical document structure to the legacy table schema.  These models drive an algebraic decomposition process that converts the SQL statement into various primitive operations.  These primitives perform Create, Read, Update, and Delete (CRUD) actions, along with specific table join scenarios.</w:t>
      </w:r>
    </w:p>
    <w:p w:rsidR="00A624C1" w:rsidRPr="00A624C1" w:rsidRDefault="00FC23D4">
      <w:r>
        <w:tab/>
        <w:t xml:space="preserve">Schreiner et al. provide performance comparisons of their tooling against alternative implementations.  Their solution was faster, though aspects of the test can be misleading.  For instance, Amazon’s </w:t>
      </w:r>
      <w:proofErr w:type="spellStart"/>
      <w:r>
        <w:t>SimpleDB</w:t>
      </w:r>
      <w:proofErr w:type="spellEnd"/>
      <w:r>
        <w:t xml:space="preserve"> is slower due to not locally caching the schema and doubling network transactions.  Also, their dataset could use Mongo’s </w:t>
      </w:r>
      <w:proofErr w:type="spellStart"/>
      <w:r>
        <w:t>BulkGetItems</w:t>
      </w:r>
      <w:proofErr w:type="spellEnd"/>
      <w:r>
        <w:t xml:space="preserve"> function, which is a </w:t>
      </w:r>
      <w:r w:rsidRPr="00FC23D4">
        <w:rPr>
          <w:i/>
        </w:rPr>
        <w:t>product-specific</w:t>
      </w:r>
      <w:r>
        <w:t xml:space="preserve"> feature in a </w:t>
      </w:r>
      <w:r w:rsidRPr="00FC23D4">
        <w:rPr>
          <w:i/>
        </w:rPr>
        <w:t>product-agnostic</w:t>
      </w:r>
      <w:r>
        <w:t xml:space="preserve"> framework.  Other configurations could have different performance characteristics and not be representative of these specific results.  Despite these nuances, their tool</w:t>
      </w:r>
      <w:r w:rsidR="00A624C1">
        <w:t xml:space="preserve"> is </w:t>
      </w:r>
      <w:r>
        <w:t>an impressive innovation that removes a tight dependency from the storage technology stack.</w:t>
      </w:r>
    </w:p>
    <w:p w:rsidR="00A624C1" w:rsidRDefault="00A624C1">
      <w:pPr>
        <w:rPr>
          <w:b/>
        </w:rPr>
      </w:pPr>
      <w:r>
        <w:br w:type="page"/>
      </w:r>
    </w:p>
    <w:p w:rsidR="00A624C1" w:rsidRDefault="00A624C1" w:rsidP="00A624C1">
      <w:pPr>
        <w:pStyle w:val="Heading1"/>
      </w:pPr>
      <w:r>
        <w:lastRenderedPageBreak/>
        <w:t>Document-Oriented Data Schema for Relational Migration to NoSQL (2017)</w:t>
      </w:r>
    </w:p>
    <w:p w:rsidR="00A624C1" w:rsidRDefault="00A624C1" w:rsidP="00A624C1">
      <w:r>
        <w:tab/>
        <w:t xml:space="preserve">Schreiner et al. discussed the importance of constructing the canonical model, though they did not provide any guidance on best-practices or process.  </w:t>
      </w:r>
      <w:proofErr w:type="spellStart"/>
      <w:r>
        <w:t>Hamouda</w:t>
      </w:r>
      <w:proofErr w:type="spellEnd"/>
      <w:r>
        <w:t xml:space="preserve"> et al. provide various ‘rules of thumb’ that engineers can follow during the storage conversion.  They state that the </w:t>
      </w:r>
      <w:r w:rsidR="00411A8E">
        <w:t xml:space="preserve">critical </w:t>
      </w:r>
      <w:r>
        <w:t>step is to identify the hierarchi</w:t>
      </w:r>
      <w:r w:rsidR="00A94B98">
        <w:t>c</w:t>
      </w:r>
      <w:r>
        <w:t>al structure and entity boundaries.  Relational storage models blur these lines through table normalization.  However, join operations do not natively exist in NoSQL implementations, so these dimensional aspects need to become part of the native entity document</w:t>
      </w:r>
      <w:r w:rsidR="00A94B98" w:rsidRPr="00A94B98">
        <w:t xml:space="preserve"> </w:t>
      </w:r>
      <w:sdt>
        <w:sdtPr>
          <w:id w:val="428243928"/>
          <w:citation/>
        </w:sdtPr>
        <w:sdtContent>
          <w:r w:rsidR="00A94B98">
            <w:fldChar w:fldCharType="begin"/>
          </w:r>
          <w:r w:rsidR="00A94B98">
            <w:instrText xml:space="preserve"> CITATION Ham17 \l 1033 </w:instrText>
          </w:r>
          <w:r w:rsidR="00A94B98">
            <w:fldChar w:fldCharType="separate"/>
          </w:r>
          <w:r w:rsidR="00A94B98">
            <w:rPr>
              <w:noProof/>
            </w:rPr>
            <w:t xml:space="preserve"> (Hamouda &amp; Zainol, 2017)</w:t>
          </w:r>
          <w:r w:rsidR="00A94B98">
            <w:fldChar w:fldCharType="end"/>
          </w:r>
        </w:sdtContent>
      </w:sdt>
      <w:r>
        <w:t xml:space="preserve">.  For instance, a relation called </w:t>
      </w:r>
      <w:r w:rsidRPr="00A94B98">
        <w:rPr>
          <w:i/>
        </w:rPr>
        <w:t>students</w:t>
      </w:r>
      <w:r>
        <w:t xml:space="preserve"> </w:t>
      </w:r>
      <w:r w:rsidR="00A94B98">
        <w:t xml:space="preserve">references a </w:t>
      </w:r>
      <w:r w:rsidR="00A94B98" w:rsidRPr="006A14E9">
        <w:rPr>
          <w:i/>
        </w:rPr>
        <w:t>demographic</w:t>
      </w:r>
      <w:r w:rsidR="00A94B98">
        <w:t xml:space="preserve"> </w:t>
      </w:r>
      <w:r>
        <w:t>table.  A document-oriented schema would collapse these properties into a child array of the student document.</w:t>
      </w:r>
    </w:p>
    <w:p w:rsidR="00411A8E" w:rsidRDefault="00411A8E" w:rsidP="00A624C1">
      <w:r>
        <w:tab/>
      </w:r>
      <w:r w:rsidR="006A14E9">
        <w:t xml:space="preserve">The article continues with a combination of Unified Modeling Language (UML) and Entity-Relationship diagrams.  While they covered many core competencies, there was little discussion around many-to-many relationships.  Consider the model for </w:t>
      </w:r>
      <w:r w:rsidR="006A14E9">
        <w:rPr>
          <w:i/>
        </w:rPr>
        <w:t xml:space="preserve">students </w:t>
      </w:r>
      <w:r w:rsidR="006A14E9">
        <w:t xml:space="preserve">and their </w:t>
      </w:r>
      <w:r w:rsidR="006A14E9">
        <w:rPr>
          <w:i/>
        </w:rPr>
        <w:t>class memberships</w:t>
      </w:r>
      <w:r w:rsidR="006A14E9">
        <w:t xml:space="preserve"> and the challenges around these associations.  In these scenarios, a naïve solution would be to repeat portions of the dataset inside of both objects.  However, this approach can be complex to propagate changes reliably across multiple objects.  Specific systems, such as Amazon’s DynamoDB, offer a transactional commit mode that encapsulates updating groups of records at the same time.  There are limitations to transactions across NoSQL and NewSQL systems, such as alignment at partition boundaries (e.g., Microsoft SQL Azure) </w:t>
      </w:r>
      <w:r w:rsidR="00CE4498">
        <w:t>or</w:t>
      </w:r>
      <w:r w:rsidR="006A14E9">
        <w:t xml:space="preserve"> </w:t>
      </w:r>
      <w:r w:rsidR="00CE4498">
        <w:t>small collections of</w:t>
      </w:r>
      <w:r w:rsidR="006A14E9">
        <w:t xml:space="preserve"> items within the operation (e.g., Amazon’s DynamoDB)</w:t>
      </w:r>
      <w:sdt>
        <w:sdtPr>
          <w:id w:val="-1611575478"/>
          <w:citation/>
        </w:sdtPr>
        <w:sdtContent>
          <w:r w:rsidR="006A14E9">
            <w:fldChar w:fldCharType="begin"/>
          </w:r>
          <w:r w:rsidR="006A14E9">
            <w:instrText xml:space="preserve"> CITATION Man172 \l 1033 </w:instrText>
          </w:r>
          <w:r w:rsidR="006A14E9">
            <w:fldChar w:fldCharType="separate"/>
          </w:r>
          <w:r w:rsidR="006A14E9">
            <w:rPr>
              <w:noProof/>
            </w:rPr>
            <w:t xml:space="preserve"> (Mansouri, Nadjaran, &amp; Buyya, 2017)</w:t>
          </w:r>
          <w:r w:rsidR="006A14E9">
            <w:fldChar w:fldCharType="end"/>
          </w:r>
        </w:sdtContent>
      </w:sdt>
      <w:r w:rsidR="006A14E9">
        <w:t>.</w:t>
      </w:r>
    </w:p>
    <w:p w:rsidR="00F67E13" w:rsidRDefault="00F67E13">
      <w:pPr>
        <w:rPr>
          <w:b/>
        </w:rPr>
      </w:pPr>
      <w:r>
        <w:br w:type="page"/>
      </w:r>
    </w:p>
    <w:p w:rsidR="00F67E13" w:rsidRDefault="00F67E13" w:rsidP="00F67E13">
      <w:pPr>
        <w:pStyle w:val="Heading1"/>
      </w:pPr>
      <w:r w:rsidRPr="00F67E13">
        <w:lastRenderedPageBreak/>
        <w:t>Implementation of a performance</w:t>
      </w:r>
      <w:r>
        <w:t>-</w:t>
      </w:r>
      <w:r w:rsidRPr="00F67E13">
        <w:t>optimized database join operation on FPGA-GPU</w:t>
      </w:r>
      <w:r>
        <w:t xml:space="preserve"> (201</w:t>
      </w:r>
      <w:r w:rsidR="00181258">
        <w:t>7</w:t>
      </w:r>
      <w:r>
        <w:t>)</w:t>
      </w:r>
    </w:p>
    <w:p w:rsidR="00181258" w:rsidRPr="00181258" w:rsidRDefault="00181258" w:rsidP="00181258">
      <w:r>
        <w:tab/>
        <w:t xml:space="preserve">A relational join attempts to combine two or more data sets using a </w:t>
      </w:r>
      <w:bookmarkStart w:id="0" w:name="_GoBack"/>
      <w:r>
        <w:t>par</w:t>
      </w:r>
      <w:bookmarkEnd w:id="0"/>
    </w:p>
    <w:sectPr w:rsidR="00181258" w:rsidRPr="0018125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934" w:rsidRDefault="007E2934" w:rsidP="0082223F">
      <w:pPr>
        <w:spacing w:line="240" w:lineRule="auto"/>
      </w:pPr>
      <w:r>
        <w:separator/>
      </w:r>
    </w:p>
  </w:endnote>
  <w:endnote w:type="continuationSeparator" w:id="0">
    <w:p w:rsidR="007E2934" w:rsidRDefault="007E29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934" w:rsidRDefault="007E2934" w:rsidP="0082223F">
      <w:pPr>
        <w:spacing w:line="240" w:lineRule="auto"/>
      </w:pPr>
      <w:r>
        <w:separator/>
      </w:r>
    </w:p>
  </w:footnote>
  <w:footnote w:type="continuationSeparator" w:id="0">
    <w:p w:rsidR="007E2934" w:rsidRDefault="007E29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55895"/>
    <w:rsid w:val="00181258"/>
    <w:rsid w:val="00183597"/>
    <w:rsid w:val="001854B4"/>
    <w:rsid w:val="001B16A2"/>
    <w:rsid w:val="002806B7"/>
    <w:rsid w:val="002D4A27"/>
    <w:rsid w:val="003E63D9"/>
    <w:rsid w:val="00401D65"/>
    <w:rsid w:val="004104DA"/>
    <w:rsid w:val="00411A8E"/>
    <w:rsid w:val="004223E8"/>
    <w:rsid w:val="004316A2"/>
    <w:rsid w:val="00431DE4"/>
    <w:rsid w:val="00463AB5"/>
    <w:rsid w:val="004640E7"/>
    <w:rsid w:val="004A784B"/>
    <w:rsid w:val="00544FDE"/>
    <w:rsid w:val="0054747B"/>
    <w:rsid w:val="00584E41"/>
    <w:rsid w:val="005E4FF8"/>
    <w:rsid w:val="006A14E9"/>
    <w:rsid w:val="007646E5"/>
    <w:rsid w:val="007E2934"/>
    <w:rsid w:val="007F7064"/>
    <w:rsid w:val="0082223F"/>
    <w:rsid w:val="008447DA"/>
    <w:rsid w:val="00890DFD"/>
    <w:rsid w:val="008B5129"/>
    <w:rsid w:val="009074EA"/>
    <w:rsid w:val="00983863"/>
    <w:rsid w:val="00A14C2F"/>
    <w:rsid w:val="00A43DA4"/>
    <w:rsid w:val="00A624C1"/>
    <w:rsid w:val="00A94B98"/>
    <w:rsid w:val="00B30E0B"/>
    <w:rsid w:val="00B6544B"/>
    <w:rsid w:val="00B90003"/>
    <w:rsid w:val="00BE22D8"/>
    <w:rsid w:val="00BE7716"/>
    <w:rsid w:val="00C117C0"/>
    <w:rsid w:val="00C57711"/>
    <w:rsid w:val="00C73692"/>
    <w:rsid w:val="00C93BB7"/>
    <w:rsid w:val="00CA0204"/>
    <w:rsid w:val="00CE4498"/>
    <w:rsid w:val="00D70AD0"/>
    <w:rsid w:val="00D822FF"/>
    <w:rsid w:val="00DE2224"/>
    <w:rsid w:val="00E6297E"/>
    <w:rsid w:val="00E7167C"/>
    <w:rsid w:val="00E9476F"/>
    <w:rsid w:val="00F47F2A"/>
    <w:rsid w:val="00F67E13"/>
    <w:rsid w:val="00F81EAB"/>
    <w:rsid w:val="00FC23D4"/>
    <w:rsid w:val="00FE08D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339233797">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728842793">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05342333">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18</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19</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20</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21</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22</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23</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
    <b:Tag>Sch19</b:Tag>
    <b:SourceType>JournalArticle</b:SourceType>
    <b:Guid>{53197B09-556B-410E-808E-B95F7DE5B2DD}</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16</b:RefOrder>
  </b:Source>
  <b:Source>
    <b:Tag>Ham17</b:Tag>
    <b:SourceType>JournalArticle</b:SourceType>
    <b:Guid>{6B482B11-B30D-417C-8556-791CD8FDA6A5}</b:Guid>
    <b:Author>
      <b:Author>
        <b:NameList>
          <b:Person>
            <b:Last>Hamouda</b:Last>
            <b:First>S</b:First>
          </b:Person>
          <b:Person>
            <b:Last>Zainol</b:Last>
            <b:First>Z</b:First>
          </b:Person>
        </b:NameList>
      </b:Author>
    </b:Author>
    <b:Title>Document-Oriented Data Schema for Relational Database Migration to NoSQL</b:Title>
    <b:Year>2017</b:Year>
    <b:RefOrder>17</b:RefOrder>
  </b:Source>
</b:Sources>
</file>

<file path=customXml/itemProps1.xml><?xml version="1.0" encoding="utf-8"?>
<ds:datastoreItem xmlns:ds="http://schemas.openxmlformats.org/officeDocument/2006/customXml" ds:itemID="{53B49486-A05C-4137-AF89-123A882D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6670</TotalTime>
  <Pages>11</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2019-12-12T21:00:00Z</dcterms:modified>
</cp:coreProperties>
</file>