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97B5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I/O, or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Their approach is similar to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exposed through RESTful endpoints and consumed by other enterprise applications.  Through the use of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languages, but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Similar to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Pr="00E6297E" w:rsidRDefault="00E6297E" w:rsidP="00E6297E">
      <w:r>
        <w:tab/>
        <w:t xml:space="preserve">Data lakes are massive </w:t>
      </w:r>
      <w:proofErr w:type="spellStart"/>
      <w:r>
        <w:t>respositories</w:t>
      </w:r>
      <w:proofErr w:type="spellEnd"/>
      <w:r>
        <w:t xml:space="preserve"> of semi-structured and unstructured big data.</w:t>
      </w:r>
      <w:bookmarkStart w:id="0" w:name="_GoBack"/>
      <w:bookmarkEnd w:id="0"/>
    </w:p>
    <w:p w:rsidR="005E4FF8" w:rsidRDefault="00D70AD0" w:rsidP="00D70AD0">
      <w:r>
        <w:t xml:space="preserve"> </w:t>
      </w:r>
    </w:p>
    <w:sectPr w:rsidR="005E4FF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B57" w:rsidRDefault="00497B57" w:rsidP="0082223F">
      <w:pPr>
        <w:spacing w:line="240" w:lineRule="auto"/>
      </w:pPr>
      <w:r>
        <w:separator/>
      </w:r>
    </w:p>
  </w:endnote>
  <w:endnote w:type="continuationSeparator" w:id="0">
    <w:p w:rsidR="00497B57" w:rsidRDefault="00497B5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B57" w:rsidRDefault="00497B57" w:rsidP="0082223F">
      <w:pPr>
        <w:spacing w:line="240" w:lineRule="auto"/>
      </w:pPr>
      <w:r>
        <w:separator/>
      </w:r>
    </w:p>
  </w:footnote>
  <w:footnote w:type="continuationSeparator" w:id="0">
    <w:p w:rsidR="00497B57" w:rsidRDefault="00497B5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83597"/>
    <w:rsid w:val="001B16A2"/>
    <w:rsid w:val="002806B7"/>
    <w:rsid w:val="002D4A27"/>
    <w:rsid w:val="00401D65"/>
    <w:rsid w:val="004104DA"/>
    <w:rsid w:val="004223E8"/>
    <w:rsid w:val="004316A2"/>
    <w:rsid w:val="00431DE4"/>
    <w:rsid w:val="00463AB5"/>
    <w:rsid w:val="004640E7"/>
    <w:rsid w:val="00497B57"/>
    <w:rsid w:val="004A784B"/>
    <w:rsid w:val="00544FDE"/>
    <w:rsid w:val="0054747B"/>
    <w:rsid w:val="00584E41"/>
    <w:rsid w:val="005E4FF8"/>
    <w:rsid w:val="007646E5"/>
    <w:rsid w:val="0082223F"/>
    <w:rsid w:val="008447DA"/>
    <w:rsid w:val="00890DFD"/>
    <w:rsid w:val="008B5129"/>
    <w:rsid w:val="00983863"/>
    <w:rsid w:val="00A14C2F"/>
    <w:rsid w:val="00A43DA4"/>
    <w:rsid w:val="00B30E0B"/>
    <w:rsid w:val="00B6544B"/>
    <w:rsid w:val="00BE22D8"/>
    <w:rsid w:val="00BE7716"/>
    <w:rsid w:val="00C117C0"/>
    <w:rsid w:val="00C57711"/>
    <w:rsid w:val="00C73692"/>
    <w:rsid w:val="00C93BB7"/>
    <w:rsid w:val="00D70AD0"/>
    <w:rsid w:val="00D822FF"/>
    <w:rsid w:val="00DE2224"/>
    <w:rsid w:val="00E6297E"/>
    <w:rsid w:val="00E7167C"/>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11</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12</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14</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15</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16</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s>
</file>

<file path=customXml/itemProps1.xml><?xml version="1.0" encoding="utf-8"?>
<ds:datastoreItem xmlns:ds="http://schemas.openxmlformats.org/officeDocument/2006/customXml" ds:itemID="{1D08BFB8-0E07-444E-A518-78AD8129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2019-12-10T03:17:00Z</dcterms:modified>
</cp:coreProperties>
</file>