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D23A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w:t>
      </w:r>
      <w:bookmarkStart w:id="0" w:name="_GoBack"/>
      <w:r>
        <w:t xml:space="preserve">into the data lake.  Next, information governance policies need to classify and annotate the data </w:t>
      </w:r>
      <w:bookmarkEnd w:id="0"/>
      <w:r>
        <w:t xml:space="preserve">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Pr="00E6297E"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p>
    <w:p w:rsidR="005E4FF8" w:rsidRDefault="00D70AD0" w:rsidP="00D70AD0">
      <w:r>
        <w:t xml:space="preserve"> </w:t>
      </w:r>
    </w:p>
    <w:sectPr w:rsidR="005E4FF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3A9" w:rsidRDefault="00CD23A9" w:rsidP="0082223F">
      <w:pPr>
        <w:spacing w:line="240" w:lineRule="auto"/>
      </w:pPr>
      <w:r>
        <w:separator/>
      </w:r>
    </w:p>
  </w:endnote>
  <w:endnote w:type="continuationSeparator" w:id="0">
    <w:p w:rsidR="00CD23A9" w:rsidRDefault="00CD23A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3A9" w:rsidRDefault="00CD23A9" w:rsidP="0082223F">
      <w:pPr>
        <w:spacing w:line="240" w:lineRule="auto"/>
      </w:pPr>
      <w:r>
        <w:separator/>
      </w:r>
    </w:p>
  </w:footnote>
  <w:footnote w:type="continuationSeparator" w:id="0">
    <w:p w:rsidR="00CD23A9" w:rsidRDefault="00CD23A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55895"/>
    <w:rsid w:val="00183597"/>
    <w:rsid w:val="001B16A2"/>
    <w:rsid w:val="002806B7"/>
    <w:rsid w:val="002D4A27"/>
    <w:rsid w:val="00401D65"/>
    <w:rsid w:val="004104DA"/>
    <w:rsid w:val="004223E8"/>
    <w:rsid w:val="004316A2"/>
    <w:rsid w:val="00431DE4"/>
    <w:rsid w:val="00463AB5"/>
    <w:rsid w:val="004640E7"/>
    <w:rsid w:val="004A784B"/>
    <w:rsid w:val="00544FDE"/>
    <w:rsid w:val="0054747B"/>
    <w:rsid w:val="00584E41"/>
    <w:rsid w:val="005E4FF8"/>
    <w:rsid w:val="007646E5"/>
    <w:rsid w:val="007F7064"/>
    <w:rsid w:val="0082223F"/>
    <w:rsid w:val="008447DA"/>
    <w:rsid w:val="00890DFD"/>
    <w:rsid w:val="008B5129"/>
    <w:rsid w:val="00983863"/>
    <w:rsid w:val="00A14C2F"/>
    <w:rsid w:val="00A43DA4"/>
    <w:rsid w:val="00B30E0B"/>
    <w:rsid w:val="00B6544B"/>
    <w:rsid w:val="00BE22D8"/>
    <w:rsid w:val="00BE7716"/>
    <w:rsid w:val="00C117C0"/>
    <w:rsid w:val="00C57711"/>
    <w:rsid w:val="00C73692"/>
    <w:rsid w:val="00C93BB7"/>
    <w:rsid w:val="00CD23A9"/>
    <w:rsid w:val="00D70AD0"/>
    <w:rsid w:val="00D822FF"/>
    <w:rsid w:val="00DE2224"/>
    <w:rsid w:val="00E6297E"/>
    <w:rsid w:val="00E7167C"/>
    <w:rsid w:val="00E9476F"/>
    <w:rsid w:val="00F47F2A"/>
    <w:rsid w:val="00F81EAB"/>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14</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15</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16</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17</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18</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19</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s>
</file>

<file path=customXml/itemProps1.xml><?xml version="1.0" encoding="utf-8"?>
<ds:datastoreItem xmlns:ds="http://schemas.openxmlformats.org/officeDocument/2006/customXml" ds:itemID="{0A49F054-556A-45A1-AF4A-1E9652BE1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TotalTime>
  <Pages>8</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2019-12-10T14:28:00Z</dcterms:modified>
</cp:coreProperties>
</file>