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B585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w:t>
      </w:r>
      <w:r w:rsidR="00517CEB">
        <w:t>,</w:t>
      </w:r>
      <w:r w:rsidR="009C2D91">
        <w:t xml:space="preserve">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 xml:space="preserve">These notifications started life as proprietary unstructured messages that lacked a focus on interoperability.  The Instructional Management Solutions (IMS), an international standards organization, has proposed </w:t>
      </w:r>
      <w:proofErr w:type="spellStart"/>
      <w:r w:rsidR="00AC49A2">
        <w:t>OneRoster</w:t>
      </w:r>
      <w:proofErr w:type="spellEnd"/>
      <w:r w:rsidR="00AC49A2">
        <w:t xml:space="preserve"> to standardize the communication protocol</w:t>
      </w:r>
      <w:sdt>
        <w:sdtPr>
          <w:id w:val="1139846853"/>
          <w:citation/>
        </w:sdtPr>
        <w:sdtEndPr/>
        <w:sdtContent>
          <w:r w:rsidR="00834380">
            <w:fldChar w:fldCharType="begin"/>
          </w:r>
          <w:r w:rsidR="00834380">
            <w:instrText xml:space="preserve"> CITATION IMS19 \l 1033 </w:instrText>
          </w:r>
          <w:r w:rsidR="00834380">
            <w:fldChar w:fldCharType="separate"/>
          </w:r>
          <w:r w:rsidR="00834380">
            <w:rPr>
              <w:noProof/>
            </w:rPr>
            <w:t xml:space="preserve"> (IMS, 2019)</w:t>
          </w:r>
          <w:r w:rsidR="00834380">
            <w:fldChar w:fldCharType="end"/>
          </w:r>
        </w:sdtContent>
      </w:sdt>
      <w:r w:rsidR="00AC49A2">
        <w:t xml:space="preserve">.  However, these efforts need broader adoption by the tool ecosystem and more strict enforcement of data </w:t>
      </w:r>
      <w:r w:rsidR="00834380">
        <w:t>values</w:t>
      </w:r>
      <w:r w:rsidR="00AC49A2">
        <w:t xml:space="preserve">.  </w:t>
      </w:r>
      <w:r w:rsidR="00834380">
        <w:t xml:space="preserve">Many schools degrade the protocol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End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Smith, and James.  </w:t>
      </w:r>
      <w:r w:rsidR="000D0405">
        <w:lastRenderedPageBreak/>
        <w:t xml:space="preserve">Another 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Parents, administrators, and legislatures have concerns around their privacy of student’s information</w:t>
      </w:r>
      <w:sdt>
        <w:sdtPr>
          <w:id w:val="-684511768"/>
          <w:citation/>
        </w:sdtPr>
        <w:sdtEnd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in </w:t>
      </w:r>
      <w:proofErr w:type="spellStart"/>
      <w:r w:rsidR="008B54BB">
        <w:t>Edtech</w:t>
      </w:r>
      <w:proofErr w:type="spellEnd"/>
      <w:r w:rsidR="008B54BB">
        <w:t xml:space="preserve"> is between the need to protect student data privacy on the one hand, and </w:t>
      </w:r>
      <w:proofErr w:type="spellStart"/>
      <w:r w:rsidR="008B54BB">
        <w:t>Edtech</w:t>
      </w:r>
      <w:proofErr w:type="spellEnd"/>
      <w:r w:rsidR="008B54BB">
        <w:t xml:space="preserve"> companies’ ability to innovate on the other</w:t>
      </w:r>
      <w:sdt>
        <w:sdtPr>
          <w:id w:val="1568379927"/>
          <w:citation/>
        </w:sdtPr>
        <w:sdtEnd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xml:space="preserve">.”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w:t>
      </w:r>
      <w:proofErr w:type="gramStart"/>
      <w:r w:rsidR="008B54BB">
        <w:t>coarse</w:t>
      </w:r>
      <w:proofErr w:type="gramEnd"/>
      <w:r w:rsidR="008B54BB">
        <w:t xml:space="preserve"> (e.g., entity filters) and fine-grained (e.g., attribute filters) level of control.</w:t>
      </w:r>
    </w:p>
    <w:p w:rsidR="00AA2285" w:rsidRDefault="00AA2285" w:rsidP="00AA2285">
      <w:pPr>
        <w:pStyle w:val="Heading2"/>
      </w:pPr>
      <w:r>
        <w:t>Inefficient Synchronization Protocols</w:t>
      </w:r>
    </w:p>
    <w:p w:rsidR="00AA5E60"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End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End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p>
    <w:p w:rsidR="004B433F" w:rsidRDefault="004B433F" w:rsidP="008B54BB">
      <w:pPr>
        <w:ind w:firstLine="720"/>
      </w:pPr>
    </w:p>
    <w:p w:rsidR="004B433F" w:rsidRDefault="004B433F" w:rsidP="004B433F">
      <w:pPr>
        <w:pStyle w:val="Heading1"/>
      </w:pPr>
      <w:r>
        <w:lastRenderedPageBreak/>
        <w:t>Evaluating Solutions</w:t>
      </w:r>
    </w:p>
    <w:p w:rsidR="00F50671" w:rsidRDefault="00517CEB" w:rsidP="00517CEB">
      <w:r>
        <w:tab/>
      </w:r>
      <w:proofErr w:type="gramStart"/>
      <w:r>
        <w:t>Similar to</w:t>
      </w:r>
      <w:proofErr w:type="gramEnd"/>
      <w:r>
        <w:t xml:space="preserve"> other brick and mortar establishments, school districts are slow to adopt change, and EdTech businesses need to find solutions that minimize these data management constraints.</w:t>
      </w:r>
    </w:p>
    <w:p w:rsidR="00517CEB" w:rsidRDefault="00517CEB" w:rsidP="00517CEB">
      <w:pPr>
        <w:pStyle w:val="Heading2"/>
      </w:pPr>
      <w:r>
        <w:t>Data Store Selection</w:t>
      </w:r>
    </w:p>
    <w:p w:rsidR="00517CEB" w:rsidRDefault="00517CEB" w:rsidP="00517CEB">
      <w:r>
        <w:tab/>
        <w:t>There are several different Storage as a Service (</w:t>
      </w:r>
      <w:proofErr w:type="spellStart"/>
      <w:r>
        <w:t>StaaS</w:t>
      </w:r>
      <w:proofErr w:type="spellEnd"/>
      <w:r>
        <w:t>) solutions available to host the student data, each with a unique workload optimization point</w:t>
      </w:r>
      <w:sdt>
        <w:sdtPr>
          <w:id w:val="960071826"/>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Due to a lack of schema standardization between organizations, a NoSQL </w:t>
      </w:r>
      <w:r w:rsidR="00E75CB0">
        <w:t>store</w:t>
      </w:r>
      <w:r>
        <w:t xml:space="preserve"> would be more appropriate than a traditional Relational store.</w:t>
      </w:r>
      <w:r w:rsidR="00E75CB0">
        <w:t xml:space="preserve">  In a relational system, such as Postgres or Microsoft SQL Server, rely on ‘schema on write’ protocols, which would work for a subset of organizations</w:t>
      </w:r>
      <w:sdt>
        <w:sdtPr>
          <w:id w:val="2125878845"/>
          <w:citation/>
        </w:sdtPr>
        <w:sdtContent>
          <w:r w:rsidR="00E75CB0">
            <w:fldChar w:fldCharType="begin"/>
          </w:r>
          <w:r w:rsidR="00E75CB0">
            <w:instrText xml:space="preserve"> CITATION Zam19 \l 1033 </w:instrText>
          </w:r>
          <w:r w:rsidR="00E75CB0">
            <w:fldChar w:fldCharType="separate"/>
          </w:r>
          <w:r w:rsidR="00E75CB0">
            <w:rPr>
              <w:noProof/>
            </w:rPr>
            <w:t xml:space="preserve"> (Zambetti, Pinto, &amp; Pezzotta, 2019)</w:t>
          </w:r>
          <w:r w:rsidR="00E75CB0">
            <w:fldChar w:fldCharType="end"/>
          </w:r>
        </w:sdtContent>
      </w:sdt>
      <w:r w:rsidR="00E75CB0">
        <w:t>.  Instead, key-value and document stores can accept the opaque third-party payloads and leverage ‘schema on reading’ strategies at a later stage in the pipeline.</w:t>
      </w:r>
    </w:p>
    <w:p w:rsidR="00E46AEC" w:rsidRDefault="00E46AEC" w:rsidP="00D4226D">
      <w:r>
        <w:tab/>
        <w:t xml:space="preserve">Different abstraction layers exist across NoSQL stores for simplification of data modeling and access patterns.  If the business questions start from </w:t>
      </w:r>
      <w:r>
        <w:rPr>
          <w:i/>
        </w:rPr>
        <w:t>known</w:t>
      </w:r>
      <w:r>
        <w:t xml:space="preserve"> entities</w:t>
      </w:r>
      <w:r>
        <w:rPr>
          <w:i/>
        </w:rPr>
        <w:t>,</w:t>
      </w:r>
      <w:r>
        <w:t xml:space="preserve"> then a graph database might be the right choice</w:t>
      </w:r>
      <w:sdt>
        <w:sdtPr>
          <w:id w:val="143631414"/>
          <w:citation/>
        </w:sdtPr>
        <w:sdtContent>
          <w:r>
            <w:fldChar w:fldCharType="begin"/>
          </w:r>
          <w:r>
            <w:instrText xml:space="preserve"> CITATION Kro18 \l 1033 </w:instrText>
          </w:r>
          <w:r>
            <w:fldChar w:fldCharType="separate"/>
          </w:r>
          <w:r>
            <w:rPr>
              <w:noProof/>
            </w:rPr>
            <w:t xml:space="preserve"> (Kronmueller, Chang, Hu, &amp; and Desoky, 2018)</w:t>
          </w:r>
          <w:r>
            <w:fldChar w:fldCharType="end"/>
          </w:r>
        </w:sdtContent>
      </w:sdt>
      <w:r>
        <w:t xml:space="preserve">.  However, a more exploratory system that begins from </w:t>
      </w:r>
      <w:r>
        <w:rPr>
          <w:i/>
        </w:rPr>
        <w:t xml:space="preserve">unknown </w:t>
      </w:r>
      <w:r w:rsidRPr="00D4226D">
        <w:t>objects</w:t>
      </w:r>
      <w:r>
        <w:t xml:space="preserve"> might select an in-memory store instead</w:t>
      </w:r>
      <w:sdt>
        <w:sdtPr>
          <w:id w:val="283858928"/>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w:t>
      </w:r>
      <w:r w:rsidR="00D4226D">
        <w:t xml:space="preserve">  Consider the difference between (a) find all students in Ms. Allen’s math class and (b) all third-grader girls with a low grade in history.  </w:t>
      </w:r>
      <w:r w:rsidR="00D4226D" w:rsidRPr="00D4226D">
        <w:rPr>
          <w:b/>
        </w:rPr>
        <w:t>Scenario (a)</w:t>
      </w:r>
      <w:r w:rsidR="00D4226D">
        <w:t xml:space="preserve"> begins at Ms. Allen (vertex) and then traverses a relationship (edge) to their students (vertices).  While a relational store would need to use globalized table indexes, a graph database can efficiently use local vertex indexes to find the related objects</w:t>
      </w:r>
      <w:sdt>
        <w:sdtPr>
          <w:id w:val="541640311"/>
          <w:citation/>
        </w:sdtPr>
        <w:sdtContent>
          <w:r w:rsidR="00D4226D">
            <w:fldChar w:fldCharType="begin"/>
          </w:r>
          <w:r w:rsidR="00D4226D">
            <w:instrText xml:space="preserve"> CITATION Pat18 \l 1033 </w:instrText>
          </w:r>
          <w:r w:rsidR="00D4226D">
            <w:fldChar w:fldCharType="separate"/>
          </w:r>
          <w:r w:rsidR="00D4226D">
            <w:rPr>
              <w:noProof/>
            </w:rPr>
            <w:t xml:space="preserve"> (Patil, Kiran, Kavya, &amp; Naresh, 2018)</w:t>
          </w:r>
          <w:r w:rsidR="00D4226D">
            <w:fldChar w:fldCharType="end"/>
          </w:r>
        </w:sdtContent>
      </w:sdt>
      <w:r w:rsidR="00D4226D">
        <w:t xml:space="preserve">.  These optimizations enable the system to scale to higher degrees of complexity and more massive data </w:t>
      </w:r>
      <w:r w:rsidR="00D4226D">
        <w:lastRenderedPageBreak/>
        <w:t>sets.  However, these local indexes can introduce additional costs when the starting point is unknown</w:t>
      </w:r>
      <w:r w:rsidR="00F228F4">
        <w:t>,</w:t>
      </w:r>
      <w:r w:rsidR="00D4226D">
        <w:t xml:space="preserve"> and many teachers (initial vertices) considered.  </w:t>
      </w:r>
      <w:r w:rsidR="00D4226D" w:rsidRPr="00D4226D">
        <w:rPr>
          <w:b/>
        </w:rPr>
        <w:t>Scenario (b)</w:t>
      </w:r>
      <w:r w:rsidR="00D4226D">
        <w:t xml:space="preserve"> addresses these challenges by reversing the index and mapping keyword terms to documents.  Now, the query ‘all third-grade girls’ decomposes into the union of record identifiers that are associated with the terms ‘gender=female’ and ‘grade=3.’  Then each item can be efficiently retrieved using their primary-key value.</w:t>
      </w:r>
    </w:p>
    <w:p w:rsidR="00F228F4" w:rsidRDefault="00F228F4" w:rsidP="00F228F4">
      <w:pPr>
        <w:pStyle w:val="Heading2"/>
      </w:pPr>
      <w:r>
        <w:t>Information Governance</w:t>
      </w:r>
    </w:p>
    <w:p w:rsidR="00B54DA0" w:rsidRDefault="00F228F4" w:rsidP="00F228F4">
      <w:r>
        <w:tab/>
      </w:r>
      <w:r w:rsidR="00984A87">
        <w:t>Administrators, parents, and students expect their data remains private and secure on third-party systems.  These assurances require information governance policies that focus on security and access control</w:t>
      </w:r>
      <w:sdt>
        <w:sdtPr>
          <w:id w:val="821469708"/>
          <w:citation/>
        </w:sdtPr>
        <w:sdtContent>
          <w:r w:rsidR="00984A87">
            <w:fldChar w:fldCharType="begin"/>
          </w:r>
          <w:r w:rsidR="00984A87">
            <w:instrText xml:space="preserve"> CITATION Tal181 \l 1033 </w:instrText>
          </w:r>
          <w:r w:rsidR="00984A87">
            <w:fldChar w:fldCharType="separate"/>
          </w:r>
          <w:r w:rsidR="00984A87">
            <w:rPr>
              <w:noProof/>
            </w:rPr>
            <w:t xml:space="preserve"> (Taleb et al., 2018)</w:t>
          </w:r>
          <w:r w:rsidR="00984A87">
            <w:fldChar w:fldCharType="end"/>
          </w:r>
        </w:sdtContent>
      </w:sdt>
      <w:sdt>
        <w:sdtPr>
          <w:id w:val="-23633850"/>
          <w:citation/>
        </w:sdtPr>
        <w:sdtContent>
          <w:r w:rsidR="00984A87">
            <w:fldChar w:fldCharType="begin"/>
          </w:r>
          <w:r w:rsidR="00E84541">
            <w:instrText xml:space="preserve">CITATION McK19 \l 1033 </w:instrText>
          </w:r>
          <w:r w:rsidR="00984A87">
            <w:fldChar w:fldCharType="separate"/>
          </w:r>
          <w:r w:rsidR="00E84541">
            <w:rPr>
              <w:noProof/>
            </w:rPr>
            <w:t xml:space="preserve"> (McKendrick, 2019)</w:t>
          </w:r>
          <w:r w:rsidR="00984A87">
            <w:fldChar w:fldCharType="end"/>
          </w:r>
        </w:sdtContent>
      </w:sdt>
      <w:r w:rsidR="00984A87">
        <w:t xml:space="preserve">.  </w:t>
      </w:r>
      <w:proofErr w:type="spellStart"/>
      <w:r w:rsidR="00984A87">
        <w:t>Taleb</w:t>
      </w:r>
      <w:proofErr w:type="spellEnd"/>
      <w:r w:rsidR="00984A87">
        <w:t xml:space="preserve"> et al. propose process-driven strategies that clean incoming data and remove sensitive details.  Consider the scenario where XYZ school includes student email and physical addresses in their roster.  If ABC EdTech does not support physical mail, then those attributes should be truncated.</w:t>
      </w:r>
      <w:r w:rsidR="0011306F">
        <w:t xml:space="preserve">  Governance should also consider data retention periods and remove data that not needed, to further reduce the attack surface.</w:t>
      </w:r>
      <w:r w:rsidR="00B54DA0">
        <w:t xml:space="preserve">  </w:t>
      </w:r>
      <w:r w:rsidR="00E84541">
        <w:t xml:space="preserve"> </w:t>
      </w:r>
    </w:p>
    <w:p w:rsidR="0029026A" w:rsidRDefault="00E84541" w:rsidP="00B54DA0">
      <w:pPr>
        <w:ind w:firstLine="720"/>
      </w:pPr>
      <w:r>
        <w:t xml:space="preserve">McKendrick expands on these ideas by demarcating the technology stack into a Data Lake and Data Warehouse. </w:t>
      </w:r>
      <w:r w:rsidR="00984A87">
        <w:t xml:space="preserve">  </w:t>
      </w:r>
      <w:r>
        <w:t xml:space="preserve">They propose leaving the source data inside of the Data Lake and then constructing Extract Transform and Load (ETL) workflows to move normalized structure into the </w:t>
      </w:r>
      <w:r w:rsidR="0091471E">
        <w:t xml:space="preserve">Online Analytical Processing (OLAP) </w:t>
      </w:r>
      <w:r>
        <w:t xml:space="preserve">Data Warehouse.  </w:t>
      </w:r>
      <w:r w:rsidR="0091471E">
        <w:t xml:space="preserve">Afterward, industry-standard patterns exist for employing </w:t>
      </w:r>
      <w:r w:rsidR="00F306EB">
        <w:t xml:space="preserve">explicit </w:t>
      </w:r>
      <w:r w:rsidR="0091471E">
        <w:t xml:space="preserve">row and column level security across OLAP </w:t>
      </w:r>
      <w:r w:rsidR="00F306EB">
        <w:t>technologies</w:t>
      </w:r>
      <w:sdt>
        <w:sdtPr>
          <w:id w:val="-497580920"/>
          <w:citation/>
        </w:sdtPr>
        <w:sdtContent>
          <w:r w:rsidR="00AE5728">
            <w:fldChar w:fldCharType="begin"/>
          </w:r>
          <w:r w:rsidR="00AE5728">
            <w:instrText xml:space="preserve"> CITATION Ama191 \l 1033 </w:instrText>
          </w:r>
          <w:r w:rsidR="00AE5728">
            <w:fldChar w:fldCharType="separate"/>
          </w:r>
          <w:r w:rsidR="00AE5728">
            <w:rPr>
              <w:noProof/>
            </w:rPr>
            <w:t xml:space="preserve"> (Amazon, 2019)</w:t>
          </w:r>
          <w:r w:rsidR="00AE5728">
            <w:fldChar w:fldCharType="end"/>
          </w:r>
        </w:sdtContent>
      </w:sdt>
      <w:sdt>
        <w:sdtPr>
          <w:id w:val="-566117519"/>
          <w:citation/>
        </w:sdtPr>
        <w:sdtContent>
          <w:r w:rsidR="00AE5728">
            <w:fldChar w:fldCharType="begin"/>
          </w:r>
          <w:r w:rsidR="00AE5728">
            <w:instrText xml:space="preserve"> CITATION Mic191 \l 1033 </w:instrText>
          </w:r>
          <w:r w:rsidR="00AE5728">
            <w:fldChar w:fldCharType="separate"/>
          </w:r>
          <w:r w:rsidR="00AE5728">
            <w:rPr>
              <w:noProof/>
            </w:rPr>
            <w:t xml:space="preserve"> (Microsoft, 2019)</w:t>
          </w:r>
          <w:r w:rsidR="00AE5728">
            <w:fldChar w:fldCharType="end"/>
          </w:r>
        </w:sdtContent>
      </w:sdt>
      <w:sdt>
        <w:sdtPr>
          <w:id w:val="-1729763917"/>
          <w:citation/>
        </w:sdtPr>
        <w:sdtContent>
          <w:r w:rsidR="00AE5728">
            <w:fldChar w:fldCharType="begin"/>
          </w:r>
          <w:r w:rsidR="00AE5728">
            <w:instrText xml:space="preserve"> CITATION Ora17 \l 1033 </w:instrText>
          </w:r>
          <w:r w:rsidR="00AE5728">
            <w:fldChar w:fldCharType="separate"/>
          </w:r>
          <w:r w:rsidR="00AE5728">
            <w:rPr>
              <w:noProof/>
            </w:rPr>
            <w:t xml:space="preserve"> (Oracle, 2017)</w:t>
          </w:r>
          <w:r w:rsidR="00AE5728">
            <w:fldChar w:fldCharType="end"/>
          </w:r>
        </w:sdtContent>
      </w:sdt>
      <w:r w:rsidR="0091471E">
        <w:t>.</w:t>
      </w:r>
      <w:r w:rsidR="00B54DA0">
        <w:t xml:space="preserve">  </w:t>
      </w:r>
    </w:p>
    <w:p w:rsidR="00F228F4" w:rsidRDefault="00B54DA0" w:rsidP="00B54DA0">
      <w:pPr>
        <w:ind w:firstLine="720"/>
      </w:pPr>
      <w:r>
        <w:t xml:space="preserve">While </w:t>
      </w:r>
      <w:r w:rsidR="0029026A">
        <w:t xml:space="preserve">McKendrick’s </w:t>
      </w:r>
      <w:r>
        <w:t xml:space="preserve">strategy provides a clear separation of </w:t>
      </w:r>
      <w:r>
        <w:rPr>
          <w:i/>
        </w:rPr>
        <w:t xml:space="preserve">internal </w:t>
      </w:r>
      <w:r>
        <w:t xml:space="preserve">and </w:t>
      </w:r>
      <w:r>
        <w:rPr>
          <w:i/>
        </w:rPr>
        <w:t>external</w:t>
      </w:r>
      <w:r>
        <w:t xml:space="preserve"> data, it trades explicit security decisions for an increase in complexity.  Exposing new attributes through </w:t>
      </w:r>
      <w:r>
        <w:lastRenderedPageBreak/>
        <w:t xml:space="preserve">the OLAP system requires changes to multiple aspects of the data pipeline.  It can be problematic to scale the access management policy as the </w:t>
      </w:r>
      <w:r w:rsidR="00C948D1">
        <w:t xml:space="preserve">(a) </w:t>
      </w:r>
      <w:r>
        <w:t xml:space="preserve">number of partners and </w:t>
      </w:r>
      <w:r w:rsidR="00C948D1">
        <w:t xml:space="preserve">(b) </w:t>
      </w:r>
      <w:r>
        <w:t>the level of granularity increases.</w:t>
      </w:r>
      <w:r w:rsidR="0029026A">
        <w:t xml:space="preserve">  Another critical concern is this approach requires moving to a relational model that does not align with the business use cases.  Instead, a security solution needs to exist across the NoSQL store directly.  Network administrators on the Amazon Web Service (AWS) cloud can configure such a model using DynamoDB and IAM Security Roles for similar document and attribute level protections</w:t>
      </w:r>
      <w:sdt>
        <w:sdtPr>
          <w:id w:val="1967387998"/>
          <w:citation/>
        </w:sdtPr>
        <w:sdtContent>
          <w:r w:rsidR="0029026A">
            <w:fldChar w:fldCharType="begin"/>
          </w:r>
          <w:r w:rsidR="0029026A">
            <w:instrText xml:space="preserve"> CITATION Ama192 \l 1033 </w:instrText>
          </w:r>
          <w:r w:rsidR="0029026A">
            <w:fldChar w:fldCharType="separate"/>
          </w:r>
          <w:r w:rsidR="0029026A">
            <w:rPr>
              <w:noProof/>
            </w:rPr>
            <w:t xml:space="preserve"> (Amazon, 2019)</w:t>
          </w:r>
          <w:r w:rsidR="0029026A">
            <w:fldChar w:fldCharType="end"/>
          </w:r>
        </w:sdtContent>
      </w:sdt>
      <w:r w:rsidR="0029026A">
        <w:t xml:space="preserve">.  Microsoft Azure offers the same experience through its </w:t>
      </w:r>
      <w:proofErr w:type="spellStart"/>
      <w:r w:rsidR="0029026A">
        <w:t>CosmoDB</w:t>
      </w:r>
      <w:proofErr w:type="spellEnd"/>
      <w:r w:rsidR="0029026A">
        <w:t xml:space="preserve"> and </w:t>
      </w:r>
      <w:proofErr w:type="spellStart"/>
      <w:r w:rsidR="0029026A">
        <w:t>DocumentDb</w:t>
      </w:r>
      <w:proofErr w:type="spellEnd"/>
      <w:r w:rsidR="0029026A">
        <w:t xml:space="preserve"> products.</w:t>
      </w:r>
      <w:r w:rsidR="00BA3753">
        <w:t xml:space="preserve">  Both Public Cloud Solution Providers (CSP) also have integrated solutions for encryption and access auditing.</w:t>
      </w:r>
    </w:p>
    <w:p w:rsidR="00560B75" w:rsidRDefault="0011306F" w:rsidP="0011306F">
      <w:pPr>
        <w:pStyle w:val="Heading2"/>
      </w:pPr>
      <w:r>
        <w:t>Heterogeneous Replication</w:t>
      </w:r>
    </w:p>
    <w:p w:rsidR="00D742DE" w:rsidRDefault="0011306F" w:rsidP="004B433F">
      <w:r>
        <w:tab/>
        <w:t>An interesting problem arises with the need to keep disjoined organizations in sync across various technology stacks</w:t>
      </w:r>
      <w:r w:rsidR="00D742DE">
        <w:t xml:space="preserve"> that partially trust each other</w:t>
      </w:r>
      <w:r>
        <w:t xml:space="preserve">.  </w:t>
      </w:r>
      <w:r w:rsidR="00D742DE">
        <w:t xml:space="preserve">When </w:t>
      </w:r>
      <w:r>
        <w:t>a remote replica is missing a segment of student data, then those students are impaired and unaccounted in reporting platforms.</w:t>
      </w:r>
      <w:r w:rsidR="00D742DE">
        <w:t xml:space="preserve">  </w:t>
      </w:r>
      <w:r w:rsidR="00D742DE">
        <w:t xml:space="preserve">The naïve solution is to perform a full synchronization on a configured cadence.  </w:t>
      </w:r>
      <w:r w:rsidR="00D742DE">
        <w:t>However, for specific scenarios, such as freemium models, these discrepancies are unacceptable delays to the business model</w:t>
      </w:r>
      <w:sdt>
        <w:sdtPr>
          <w:id w:val="195666842"/>
          <w:citation/>
        </w:sdtPr>
        <w:sdtContent>
          <w:r w:rsidR="00D742DE">
            <w:fldChar w:fldCharType="begin"/>
          </w:r>
          <w:r w:rsidR="00D742DE">
            <w:instrText xml:space="preserve"> CITATION Eat12 \l 1033 </w:instrText>
          </w:r>
          <w:r w:rsidR="00D742DE">
            <w:fldChar w:fldCharType="separate"/>
          </w:r>
          <w:r w:rsidR="00D742DE">
            <w:rPr>
              <w:noProof/>
            </w:rPr>
            <w:t xml:space="preserve"> (Eaton, 2012)</w:t>
          </w:r>
          <w:r w:rsidR="00D742DE">
            <w:fldChar w:fldCharType="end"/>
          </w:r>
        </w:sdtContent>
      </w:sdt>
      <w:r w:rsidR="00D742DE">
        <w:t>.</w:t>
      </w:r>
    </w:p>
    <w:p w:rsidR="00D742DE" w:rsidRDefault="0011306F" w:rsidP="00D742DE">
      <w:pPr>
        <w:ind w:firstLine="720"/>
      </w:pPr>
      <w:r>
        <w:t>An alternative mechanism could pull data during a lifecycle event, such as when a user authenticates into the system</w:t>
      </w:r>
      <w:sdt>
        <w:sdtPr>
          <w:id w:val="-1679188886"/>
          <w:citation/>
        </w:sdtPr>
        <w:sdtContent>
          <w:r w:rsidR="00D742DE">
            <w:fldChar w:fldCharType="begin"/>
          </w:r>
          <w:r w:rsidR="00D742DE">
            <w:instrText xml:space="preserve"> CITATION Fre19 \l 1033 </w:instrText>
          </w:r>
          <w:r w:rsidR="00D742DE">
            <w:fldChar w:fldCharType="separate"/>
          </w:r>
          <w:r w:rsidR="00D742DE">
            <w:rPr>
              <w:noProof/>
            </w:rPr>
            <w:t xml:space="preserve"> (Freckle, 2019)</w:t>
          </w:r>
          <w:r w:rsidR="00D742DE">
            <w:fldChar w:fldCharType="end"/>
          </w:r>
        </w:sdtContent>
      </w:sdt>
      <w:r>
        <w:t>.  This approach can lead to questions from administrators why aggregate entity counts are inconsistent and fluctuate across the school year.</w:t>
      </w:r>
      <w:r w:rsidR="00D742DE">
        <w:t xml:space="preserve">  A more efficient strategy can send push notifications between the systems when a change has occurred.  H</w:t>
      </w:r>
      <w:r w:rsidR="00D742DE">
        <w:t>ierarchical</w:t>
      </w:r>
      <w:r w:rsidR="00D742DE">
        <w:t xml:space="preserve"> structures should align these announcements with the branch structure</w:t>
      </w:r>
      <w:sdt>
        <w:sdtPr>
          <w:id w:val="-859197440"/>
          <w:citation/>
        </w:sdtPr>
        <w:sdtContent>
          <w:r w:rsidR="00D742DE">
            <w:fldChar w:fldCharType="begin"/>
          </w:r>
          <w:r w:rsidR="00D742DE">
            <w:instrText xml:space="preserve"> CITATION Kve19 \l 1033 </w:instrText>
          </w:r>
          <w:r w:rsidR="00D742DE">
            <w:fldChar w:fldCharType="separate"/>
          </w:r>
          <w:r w:rsidR="00D742DE">
            <w:rPr>
              <w:noProof/>
            </w:rPr>
            <w:t xml:space="preserve"> (Kvet &amp; Matiasko, 2019)</w:t>
          </w:r>
          <w:r w:rsidR="00D742DE">
            <w:fldChar w:fldCharType="end"/>
          </w:r>
        </w:sdtContent>
      </w:sdt>
      <w:r w:rsidR="00D742DE">
        <w:t>.  For example, when a student enrolls in a course, then subscribers should receive notifications for that object in addition to the associated school.</w:t>
      </w:r>
      <w:r w:rsidR="001F3964">
        <w:t xml:space="preserve">  This strategy </w:t>
      </w:r>
      <w:r w:rsidR="001F3964">
        <w:lastRenderedPageBreak/>
        <w:t>allows for third-parties to register for events at the level of granularity that is relevant to their product.</w:t>
      </w:r>
      <w:r w:rsidR="00456C31">
        <w:t xml:space="preserve">  The message to the receiver should contain object pointers, instead of the value directly to conserve network resources between org</w:t>
      </w:r>
      <w:r w:rsidR="00E06089">
        <w:t>an</w:t>
      </w:r>
      <w:r w:rsidR="00456C31">
        <w:t>izations</w:t>
      </w:r>
      <w:sdt>
        <w:sdtPr>
          <w:id w:val="1208375204"/>
          <w:citation/>
        </w:sdtPr>
        <w:sdtContent>
          <w:r w:rsidR="00E06089">
            <w:fldChar w:fldCharType="begin"/>
          </w:r>
          <w:r w:rsidR="00E06089">
            <w:instrText xml:space="preserve"> CITATION Ste16 \l 1033 </w:instrText>
          </w:r>
          <w:r w:rsidR="00E06089">
            <w:fldChar w:fldCharType="separate"/>
          </w:r>
          <w:r w:rsidR="00E06089">
            <w:rPr>
              <w:noProof/>
            </w:rPr>
            <w:t xml:space="preserve"> (Steen &amp; Tanenbaum, 2016)</w:t>
          </w:r>
          <w:r w:rsidR="00E06089">
            <w:fldChar w:fldCharType="end"/>
          </w:r>
        </w:sdtContent>
      </w:sdt>
      <w:r w:rsidR="00456C31">
        <w:t>.</w:t>
      </w:r>
    </w:p>
    <w:p w:rsidR="00E06089" w:rsidRDefault="00E06089" w:rsidP="00D742DE">
      <w:pPr>
        <w:ind w:firstLine="720"/>
      </w:pPr>
      <w:r>
        <w:t xml:space="preserve">An assumption with notification strategies is </w:t>
      </w:r>
      <w:r w:rsidR="00D77820">
        <w:t xml:space="preserve">the </w:t>
      </w:r>
      <w:r>
        <w:t xml:space="preserve">subscriber is highly-available and highly-reliable.  </w:t>
      </w:r>
      <w:r w:rsidR="00D77820">
        <w:t>I</w:t>
      </w:r>
      <w:r>
        <w:t xml:space="preserve">f </w:t>
      </w:r>
      <w:r w:rsidR="00D77820">
        <w:t xml:space="preserve">(a) </w:t>
      </w:r>
      <w:r>
        <w:t xml:space="preserve">an extended outage occurs or </w:t>
      </w:r>
      <w:r w:rsidR="00D77820">
        <w:t xml:space="preserve">(b) </w:t>
      </w:r>
      <w:r>
        <w:t xml:space="preserve">an event that </w:t>
      </w:r>
      <w:r w:rsidR="00D77820">
        <w:t>resulted in data corruption</w:t>
      </w:r>
      <w:r>
        <w:t xml:space="preserve">, then the two organizations </w:t>
      </w:r>
      <w:r w:rsidR="00D77820">
        <w:t xml:space="preserve">will be out </w:t>
      </w:r>
      <w:r>
        <w:t>of sync.</w:t>
      </w:r>
      <w:r w:rsidR="000A1096">
        <w:t xml:space="preserve">  After restoring to an arbitrary point in time, a process needs to verify each segment of the local replica</w:t>
      </w:r>
      <w:r w:rsidR="00D77820">
        <w:t>s</w:t>
      </w:r>
      <w:r w:rsidR="00BE7C5A">
        <w:t xml:space="preserve"> is </w:t>
      </w:r>
      <w:r w:rsidR="00D77820">
        <w:t>consistent</w:t>
      </w:r>
      <w:r w:rsidR="00BE7C5A">
        <w:t xml:space="preserve">.  </w:t>
      </w:r>
      <w:r w:rsidR="00D77820">
        <w:t>A novel management strategy could rely on Merkle trees to provide checksums over the hierarchical rostering data, similar to solutions found in peer-to-peer networks</w:t>
      </w:r>
      <w:sdt>
        <w:sdtPr>
          <w:id w:val="1452442437"/>
          <w:citation/>
        </w:sdtPr>
        <w:sdtContent>
          <w:r w:rsidR="004F2F92">
            <w:fldChar w:fldCharType="begin"/>
          </w:r>
          <w:r w:rsidR="004F2F92">
            <w:instrText xml:space="preserve"> CITATION Kan19 \l 1033 </w:instrText>
          </w:r>
          <w:r w:rsidR="004F2F92">
            <w:fldChar w:fldCharType="separate"/>
          </w:r>
          <w:r w:rsidR="004F2F92">
            <w:rPr>
              <w:noProof/>
            </w:rPr>
            <w:t xml:space="preserve"> (Kan &amp; Kim, 2019)</w:t>
          </w:r>
          <w:r w:rsidR="004F2F92">
            <w:fldChar w:fldCharType="end"/>
          </w:r>
        </w:sdtContent>
      </w:sdt>
      <w:sdt>
        <w:sdtPr>
          <w:id w:val="674852147"/>
          <w:citation/>
        </w:sdtPr>
        <w:sdtContent>
          <w:r w:rsidR="00D77820">
            <w:fldChar w:fldCharType="begin"/>
          </w:r>
          <w:r w:rsidR="00D77820">
            <w:instrText xml:space="preserve"> CITATION Fur05 \l 1033 </w:instrText>
          </w:r>
          <w:r w:rsidR="00D77820">
            <w:fldChar w:fldCharType="separate"/>
          </w:r>
          <w:r w:rsidR="00D77820">
            <w:rPr>
              <w:noProof/>
            </w:rPr>
            <w:t xml:space="preserve"> (Furtado, 2005)</w:t>
          </w:r>
          <w:r w:rsidR="00D77820">
            <w:fldChar w:fldCharType="end"/>
          </w:r>
        </w:sdtContent>
      </w:sdt>
      <w:r w:rsidR="00D77820">
        <w:t xml:space="preserve">.  For instance, the validation checksum for a school equals </w:t>
      </w:r>
      <w:r w:rsidR="00D77820" w:rsidRPr="004F2F92">
        <w:rPr>
          <w:rFonts w:ascii="Courier New" w:hAnsi="Courier New" w:cs="Courier New"/>
          <w:sz w:val="20"/>
          <w:szCs w:val="20"/>
        </w:rPr>
        <w:t>hash(hash(courses))</w:t>
      </w:r>
      <w:r w:rsidR="00D77820">
        <w:t xml:space="preserve">, with the </w:t>
      </w:r>
      <w:r w:rsidR="00D77820" w:rsidRPr="004F2F92">
        <w:rPr>
          <w:rFonts w:ascii="Courier New" w:hAnsi="Courier New" w:cs="Courier New"/>
          <w:sz w:val="20"/>
          <w:szCs w:val="20"/>
        </w:rPr>
        <w:t>hash(course)</w:t>
      </w:r>
      <w:r w:rsidR="00D77820">
        <w:t xml:space="preserve"> equal to </w:t>
      </w:r>
      <w:r w:rsidR="00D77820" w:rsidRPr="004F2F92">
        <w:rPr>
          <w:rFonts w:ascii="Courier New" w:hAnsi="Courier New" w:cs="Courier New"/>
          <w:sz w:val="20"/>
          <w:szCs w:val="20"/>
        </w:rPr>
        <w:t>hash(hash(associated users</w:t>
      </w:r>
      <w:r w:rsidR="004F2F92" w:rsidRPr="004F2F92">
        <w:rPr>
          <w:rFonts w:ascii="Courier New" w:hAnsi="Courier New" w:cs="Courier New"/>
          <w:sz w:val="20"/>
          <w:szCs w:val="20"/>
        </w:rPr>
        <w:t>)</w:t>
      </w:r>
      <w:r w:rsidR="00D77820" w:rsidRPr="004F2F92">
        <w:rPr>
          <w:rFonts w:ascii="Courier New" w:hAnsi="Courier New" w:cs="Courier New"/>
          <w:sz w:val="20"/>
          <w:szCs w:val="20"/>
        </w:rPr>
        <w:t>)</w:t>
      </w:r>
      <w:r w:rsidR="00D77820">
        <w:t>.  This protocol has very low overhead and is capable of scaling to enormous datasets, allowing for fine-grained detection of errors.</w:t>
      </w:r>
    </w:p>
    <w:p w:rsidR="00150C7B" w:rsidRDefault="00150C7B" w:rsidP="00150C7B">
      <w:bookmarkStart w:id="0" w:name="_GoBack"/>
      <w:bookmarkEnd w:id="0"/>
    </w:p>
    <w:p w:rsidR="00150C7B" w:rsidRDefault="00150C7B">
      <w:r>
        <w:br w:type="page"/>
      </w:r>
    </w:p>
    <w:sdt>
      <w:sdtPr>
        <w:id w:val="-1819027688"/>
        <w:docPartObj>
          <w:docPartGallery w:val="Bibliographies"/>
          <w:docPartUnique/>
        </w:docPartObj>
      </w:sdtPr>
      <w:sdtEndPr>
        <w:rPr>
          <w:b w:val="0"/>
        </w:rPr>
      </w:sdtEndPr>
      <w:sdtContent>
        <w:p w:rsidR="00150C7B" w:rsidRDefault="00150C7B">
          <w:pPr>
            <w:pStyle w:val="Heading1"/>
          </w:pPr>
          <w:r>
            <w:t>References</w:t>
          </w:r>
        </w:p>
        <w:sdt>
          <w:sdtPr>
            <w:id w:val="-573587230"/>
            <w:bibliography/>
          </w:sdtPr>
          <w:sdtContent>
            <w:p w:rsidR="00150C7B" w:rsidRDefault="00150C7B" w:rsidP="00150C7B">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Restricting Access to a Data Set by Using Row-Level Security</w:t>
              </w:r>
              <w:r>
                <w:rPr>
                  <w:noProof/>
                </w:rPr>
                <w:t>. Retrieved from AWS Documentation: https://docs.aws.amazon.com/quicksight/latest/user/restrict-access-to-a-data-set-using-row-level-security.html</w:t>
              </w:r>
            </w:p>
            <w:p w:rsidR="00150C7B" w:rsidRDefault="00150C7B" w:rsidP="00150C7B">
              <w:pPr>
                <w:pStyle w:val="Bibliography"/>
                <w:ind w:left="720" w:hanging="720"/>
                <w:rPr>
                  <w:noProof/>
                </w:rPr>
              </w:pPr>
              <w:r>
                <w:rPr>
                  <w:noProof/>
                </w:rPr>
                <w:t xml:space="preserve">Amazon. (2019). </w:t>
              </w:r>
              <w:r>
                <w:rPr>
                  <w:i/>
                  <w:iCs/>
                  <w:noProof/>
                </w:rPr>
                <w:t>Using IAM Policy Conditions for Fine-Grained Access Control</w:t>
              </w:r>
              <w:r>
                <w:rPr>
                  <w:noProof/>
                </w:rPr>
                <w:t>. Retrieved from Amazon DynamoDB: https://docs.aws.amazon.com/amazondynamodb/latest/developerguide/specifying-conditions.html</w:t>
              </w:r>
            </w:p>
            <w:p w:rsidR="00150C7B" w:rsidRDefault="00150C7B" w:rsidP="00150C7B">
              <w:pPr>
                <w:pStyle w:val="Bibliography"/>
                <w:ind w:left="720" w:hanging="720"/>
                <w:rPr>
                  <w:noProof/>
                </w:rPr>
              </w:pPr>
              <w:r>
                <w:rPr>
                  <w:noProof/>
                </w:rPr>
                <w:t xml:space="preserve">ClassLink. (2018, May 14). </w:t>
              </w:r>
              <w:r>
                <w:rPr>
                  <w:i/>
                  <w:iCs/>
                  <w:noProof/>
                </w:rPr>
                <w:t>ClassLink OneSync</w:t>
              </w:r>
              <w:r>
                <w:rPr>
                  <w:noProof/>
                </w:rPr>
                <w:t>. Retrieved from YouTube: https://www.youtube.com/watch?v=HdxfEgqaS-w</w:t>
              </w:r>
            </w:p>
            <w:p w:rsidR="00150C7B" w:rsidRDefault="00150C7B" w:rsidP="00150C7B">
              <w:pPr>
                <w:pStyle w:val="Bibliography"/>
                <w:ind w:left="720" w:hanging="720"/>
                <w:rPr>
                  <w:noProof/>
                </w:rPr>
              </w:pPr>
              <w:r>
                <w:rPr>
                  <w:noProof/>
                </w:rPr>
                <w:t xml:space="preserve">Clever. (2019, December). </w:t>
              </w:r>
              <w:r>
                <w:rPr>
                  <w:i/>
                  <w:iCs/>
                  <w:noProof/>
                </w:rPr>
                <w:t>Clever Secure Sync</w:t>
              </w:r>
              <w:r>
                <w:rPr>
                  <w:noProof/>
                </w:rPr>
                <w:t>. Retrieved from Clever: https://clever.com/products/rostering</w:t>
              </w:r>
            </w:p>
            <w:p w:rsidR="00150C7B" w:rsidRDefault="00150C7B" w:rsidP="00150C7B">
              <w:pPr>
                <w:pStyle w:val="Bibliography"/>
                <w:ind w:left="720" w:hanging="720"/>
                <w:rPr>
                  <w:noProof/>
                </w:rPr>
              </w:pPr>
              <w:r>
                <w:rPr>
                  <w:noProof/>
                </w:rPr>
                <w:t xml:space="preserve">Eaton, K. (2012, March 15). </w:t>
              </w:r>
              <w:r>
                <w:rPr>
                  <w:i/>
                  <w:iCs/>
                  <w:noProof/>
                </w:rPr>
                <w:t>How One Second Could Cost Amazon $1.6B In Sales</w:t>
              </w:r>
              <w:r>
                <w:rPr>
                  <w:noProof/>
                </w:rPr>
                <w:t>. Retrieved from Fast Company: https://www.fastcompany.com/1825005/how-one-second-could-cost-amazon-16-billion-sales</w:t>
              </w:r>
            </w:p>
            <w:p w:rsidR="00150C7B" w:rsidRDefault="00150C7B" w:rsidP="00150C7B">
              <w:pPr>
                <w:pStyle w:val="Bibliography"/>
                <w:ind w:left="720" w:hanging="720"/>
                <w:rPr>
                  <w:noProof/>
                </w:rPr>
              </w:pPr>
              <w:r>
                <w:rPr>
                  <w:noProof/>
                </w:rPr>
                <w:t xml:space="preserve">Freckle. (2019). </w:t>
              </w:r>
              <w:r>
                <w:rPr>
                  <w:i/>
                  <w:iCs/>
                  <w:noProof/>
                </w:rPr>
                <w:t>Freckle Plans</w:t>
              </w:r>
              <w:r>
                <w:rPr>
                  <w:noProof/>
                </w:rPr>
                <w:t>. Retrieved from Freckle EdTech: https://www.freckle.com/plans/</w:t>
              </w:r>
            </w:p>
            <w:p w:rsidR="00150C7B" w:rsidRDefault="00150C7B" w:rsidP="00150C7B">
              <w:pPr>
                <w:pStyle w:val="Bibliography"/>
                <w:ind w:left="720" w:hanging="720"/>
                <w:rPr>
                  <w:noProof/>
                </w:rPr>
              </w:pPr>
              <w:r>
                <w:rPr>
                  <w:noProof/>
                </w:rPr>
                <w:t xml:space="preserve">Furtado, P. (2005). Flexible Networked Data Management on P2P. </w:t>
              </w:r>
              <w:r>
                <w:rPr>
                  <w:i/>
                  <w:iCs/>
                  <w:noProof/>
                </w:rPr>
                <w:t>16th International Workshop on Database and Expert Systems Applications (DEXA'05)</w:t>
              </w:r>
              <w:r>
                <w:rPr>
                  <w:noProof/>
                </w:rPr>
                <w:t>.</w:t>
              </w:r>
            </w:p>
            <w:p w:rsidR="00150C7B" w:rsidRDefault="00150C7B" w:rsidP="00150C7B">
              <w:pPr>
                <w:pStyle w:val="Bibliography"/>
                <w:ind w:left="720" w:hanging="720"/>
                <w:rPr>
                  <w:noProof/>
                </w:rPr>
              </w:pPr>
              <w:r>
                <w:rPr>
                  <w:noProof/>
                </w:rPr>
                <w:t xml:space="preserve">Herald, B. (2016). New Tech Standard Aims to Ease Sharing Of Digital Roster Data. </w:t>
              </w:r>
              <w:r>
                <w:rPr>
                  <w:i/>
                  <w:iCs/>
                  <w:noProof/>
                </w:rPr>
                <w:t>Education Week Volume 35, Issue 19</w:t>
              </w:r>
              <w:r>
                <w:rPr>
                  <w:noProof/>
                </w:rPr>
                <w:t>, 8.</w:t>
              </w:r>
            </w:p>
            <w:p w:rsidR="00150C7B" w:rsidRDefault="00150C7B" w:rsidP="00150C7B">
              <w:pPr>
                <w:pStyle w:val="Bibliography"/>
                <w:ind w:left="720" w:hanging="720"/>
                <w:rPr>
                  <w:noProof/>
                </w:rPr>
              </w:pPr>
              <w:r>
                <w:rPr>
                  <w:noProof/>
                </w:rPr>
                <w:t xml:space="preserve">IMS. (2019, December 14). </w:t>
              </w:r>
              <w:r>
                <w:rPr>
                  <w:i/>
                  <w:iCs/>
                  <w:noProof/>
                </w:rPr>
                <w:t>Introduction to OneRoster 1.1</w:t>
              </w:r>
              <w:r>
                <w:rPr>
                  <w:noProof/>
                </w:rPr>
                <w:t>. Retrieved from IMS Global: https://www.imsglobal.org/oneroster-11-introduction</w:t>
              </w:r>
            </w:p>
            <w:p w:rsidR="00150C7B" w:rsidRDefault="00150C7B" w:rsidP="00150C7B">
              <w:pPr>
                <w:pStyle w:val="Bibliography"/>
                <w:ind w:left="720" w:hanging="720"/>
                <w:rPr>
                  <w:noProof/>
                </w:rPr>
              </w:pPr>
              <w:r>
                <w:rPr>
                  <w:noProof/>
                </w:rPr>
                <w:lastRenderedPageBreak/>
                <w:t xml:space="preserve">Kan, J., &amp; Kim, K. (2019). MTFS: Merkle-Tree-Based File System. </w:t>
              </w:r>
              <w:r>
                <w:rPr>
                  <w:i/>
                  <w:iCs/>
                  <w:noProof/>
                </w:rPr>
                <w:t>2019 IEEE International Conference on Blockchain and Cryptocurrency (ICBC) Blockchain and Cryptocurrency (ICBC), 2019 IEEE International</w:t>
              </w:r>
              <w:r>
                <w:rPr>
                  <w:noProof/>
                </w:rPr>
                <w:t>.</w:t>
              </w:r>
            </w:p>
            <w:p w:rsidR="00150C7B" w:rsidRDefault="00150C7B" w:rsidP="00150C7B">
              <w:pPr>
                <w:pStyle w:val="Bibliography"/>
                <w:ind w:left="720" w:hanging="720"/>
                <w:rPr>
                  <w:noProof/>
                </w:rPr>
              </w:pPr>
              <w:r>
                <w:rPr>
                  <w:noProof/>
                </w:rPr>
                <w:t>Knabke, T., &amp; Olbrich, S. (2018). Building novel capabilities to enable business intelligence agility.</w:t>
              </w:r>
            </w:p>
            <w:p w:rsidR="00150C7B" w:rsidRDefault="00150C7B" w:rsidP="00150C7B">
              <w:pPr>
                <w:pStyle w:val="Bibliography"/>
                <w:ind w:left="720" w:hanging="720"/>
                <w:rPr>
                  <w:noProof/>
                </w:rPr>
              </w:pPr>
              <w:r>
                <w:rPr>
                  <w:noProof/>
                </w:rPr>
                <w:t>Kronmueller, M., Chang, D., Hu, H., &amp; and Desoky, A. (2018). A Graph Database of Yelp Dataset Challenge and Using Cypher for Basic Statistics and Graph Pattern Exploration.</w:t>
              </w:r>
            </w:p>
            <w:p w:rsidR="00150C7B" w:rsidRDefault="00150C7B" w:rsidP="00150C7B">
              <w:pPr>
                <w:pStyle w:val="Bibliography"/>
                <w:ind w:left="720" w:hanging="720"/>
                <w:rPr>
                  <w:noProof/>
                </w:rPr>
              </w:pPr>
              <w:r>
                <w:rPr>
                  <w:noProof/>
                </w:rPr>
                <w:t xml:space="preserve">Kvet, M., &amp; Matiasko, K. (2019). Data Management in Hierarchical Database - Branches Notification. </w:t>
              </w:r>
              <w:r>
                <w:rPr>
                  <w:i/>
                  <w:iCs/>
                  <w:noProof/>
                </w:rPr>
                <w:t>PROCEEDING OF THE 24TH CONFERENCE OF FRUCT ASSOCIATION</w:t>
              </w:r>
              <w:r>
                <w:rPr>
                  <w:noProof/>
                </w:rPr>
                <w:t>, 206-214.</w:t>
              </w:r>
            </w:p>
            <w:p w:rsidR="00150C7B" w:rsidRDefault="00150C7B" w:rsidP="00150C7B">
              <w:pPr>
                <w:pStyle w:val="Bibliography"/>
                <w:ind w:left="720" w:hanging="720"/>
                <w:rPr>
                  <w:noProof/>
                </w:rPr>
              </w:pPr>
              <w:r>
                <w:rPr>
                  <w:noProof/>
                </w:rPr>
                <w:t>Mansouri, Y., Nadjaran, T., &amp; Buyya, R. (2017). Data Storage Management in Cloud Environments: Taxonomy, Survey, and Future Directions.</w:t>
              </w:r>
            </w:p>
            <w:p w:rsidR="00150C7B" w:rsidRDefault="00150C7B" w:rsidP="00150C7B">
              <w:pPr>
                <w:pStyle w:val="Bibliography"/>
                <w:ind w:left="720" w:hanging="720"/>
                <w:rPr>
                  <w:noProof/>
                </w:rPr>
              </w:pPr>
              <w:r>
                <w:rPr>
                  <w:noProof/>
                </w:rPr>
                <w:t xml:space="preserve">McKendrick, J. (2019). Data Lakes and Data Warehouses, Working Tandom. </w:t>
              </w:r>
              <w:r>
                <w:rPr>
                  <w:i/>
                  <w:iCs/>
                  <w:noProof/>
                </w:rPr>
                <w:t>Database Trends and Applications, October/November</w:t>
              </w:r>
              <w:r>
                <w:rPr>
                  <w:noProof/>
                </w:rPr>
                <w:t>, 4-8.</w:t>
              </w:r>
            </w:p>
            <w:p w:rsidR="00150C7B" w:rsidRDefault="00150C7B" w:rsidP="00150C7B">
              <w:pPr>
                <w:pStyle w:val="Bibliography"/>
                <w:ind w:left="720" w:hanging="720"/>
                <w:rPr>
                  <w:noProof/>
                </w:rPr>
              </w:pPr>
              <w:r>
                <w:rPr>
                  <w:noProof/>
                </w:rPr>
                <w:t xml:space="preserve">Microsoft. (2019). </w:t>
              </w:r>
              <w:r>
                <w:rPr>
                  <w:i/>
                  <w:iCs/>
                  <w:noProof/>
                </w:rPr>
                <w:t>Dynamic row-level security with Analysis services tabular model</w:t>
              </w:r>
              <w:r>
                <w:rPr>
                  <w:noProof/>
                </w:rPr>
                <w:t>. Retrieved from Microsoft Documentation: https://docs.microsoft.com/en-us/power-bi/desktop-tutorial-row-level-security-onprem-ssas-tabular</w:t>
              </w:r>
            </w:p>
            <w:p w:rsidR="00150C7B" w:rsidRDefault="00150C7B" w:rsidP="00150C7B">
              <w:pPr>
                <w:pStyle w:val="Bibliography"/>
                <w:ind w:left="720" w:hanging="720"/>
                <w:rPr>
                  <w:noProof/>
                </w:rPr>
              </w:pPr>
              <w:r>
                <w:rPr>
                  <w:noProof/>
                </w:rPr>
                <w:t xml:space="preserve">Oracle. (2017). </w:t>
              </w:r>
              <w:r>
                <w:rPr>
                  <w:i/>
                  <w:iCs/>
                  <w:noProof/>
                </w:rPr>
                <w:t>Enforcing Row-Level Security with Oracle Label Security</w:t>
              </w:r>
              <w:r>
                <w:rPr>
                  <w:noProof/>
                </w:rPr>
                <w:t>. Retrieved from Oracle Help Center: https://docs.oracle.com/database/121/TDPSG/GUID-72D524FF-5A86-495A-9D12-14CB13819D42.htm#TDPSG94446</w:t>
              </w:r>
            </w:p>
            <w:p w:rsidR="00150C7B" w:rsidRDefault="00150C7B" w:rsidP="00150C7B">
              <w:pPr>
                <w:pStyle w:val="Bibliography"/>
                <w:ind w:left="720" w:hanging="720"/>
                <w:rPr>
                  <w:noProof/>
                </w:rPr>
              </w:pPr>
              <w:r>
                <w:rPr>
                  <w:noProof/>
                </w:rPr>
                <w:t>Patil, N., Kiran, P., Kavya, P., &amp; Naresh, K. (2018). A Survey on Graph Database Management Techniques for Huge Unstructured Data.</w:t>
              </w:r>
            </w:p>
            <w:p w:rsidR="00150C7B" w:rsidRDefault="00150C7B" w:rsidP="00150C7B">
              <w:pPr>
                <w:pStyle w:val="Bibliography"/>
                <w:ind w:left="720" w:hanging="720"/>
                <w:rPr>
                  <w:noProof/>
                </w:rPr>
              </w:pPr>
              <w:r>
                <w:rPr>
                  <w:noProof/>
                </w:rPr>
                <w:lastRenderedPageBreak/>
                <w:t xml:space="preserve">Peterson, D. (2016). EdTech and Student Privacy: California Law As a Model. </w:t>
              </w:r>
              <w:r>
                <w:rPr>
                  <w:i/>
                  <w:iCs/>
                  <w:noProof/>
                </w:rPr>
                <w:t>Berkeley Technology Law Journal Volume 31</w:t>
              </w:r>
              <w:r>
                <w:rPr>
                  <w:noProof/>
                </w:rPr>
                <w:t>, 961-997.</w:t>
              </w:r>
            </w:p>
            <w:p w:rsidR="00150C7B" w:rsidRDefault="00150C7B" w:rsidP="00150C7B">
              <w:pPr>
                <w:pStyle w:val="Bibliography"/>
                <w:ind w:left="720" w:hanging="720"/>
                <w:rPr>
                  <w:noProof/>
                </w:rPr>
              </w:pPr>
              <w:r>
                <w:rPr>
                  <w:noProof/>
                </w:rPr>
                <w:t xml:space="preserve">Regan, P., &amp; Jesse, J. (2019). Ethical challenges of Edtech, big data, and personalized learning. </w:t>
              </w:r>
              <w:r>
                <w:rPr>
                  <w:i/>
                  <w:iCs/>
                  <w:noProof/>
                </w:rPr>
                <w:t>Ethics and Information Technology Volume 21</w:t>
              </w:r>
              <w:r>
                <w:rPr>
                  <w:noProof/>
                </w:rPr>
                <w:t>, 167-179.</w:t>
              </w:r>
            </w:p>
            <w:p w:rsidR="00150C7B" w:rsidRDefault="00150C7B" w:rsidP="00150C7B">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rsidR="00150C7B" w:rsidRDefault="00150C7B" w:rsidP="00150C7B">
              <w:pPr>
                <w:pStyle w:val="Bibliography"/>
                <w:ind w:left="720" w:hanging="720"/>
                <w:rPr>
                  <w:noProof/>
                </w:rPr>
              </w:pPr>
              <w:r>
                <w:rPr>
                  <w:noProof/>
                </w:rPr>
                <w:t>Taleb et al. (2018). Big Data Quality: A Survey.</w:t>
              </w:r>
            </w:p>
            <w:p w:rsidR="00150C7B" w:rsidRDefault="00150C7B" w:rsidP="00150C7B">
              <w:pPr>
                <w:pStyle w:val="Bibliography"/>
                <w:ind w:left="720" w:hanging="720"/>
                <w:rPr>
                  <w:noProof/>
                </w:rPr>
              </w:pPr>
              <w:r>
                <w:rPr>
                  <w:noProof/>
                </w:rPr>
                <w:t>Zambetti, M., Pinto, R., &amp; Pezzotta, G. (2019). Data lifecycle and technology-based opportunities in the new Product Service System.</w:t>
              </w:r>
            </w:p>
            <w:p w:rsidR="00150C7B" w:rsidRDefault="00150C7B" w:rsidP="00150C7B">
              <w:r>
                <w:rPr>
                  <w:b/>
                  <w:bCs/>
                  <w:noProof/>
                </w:rPr>
                <w:fldChar w:fldCharType="end"/>
              </w:r>
            </w:p>
          </w:sdtContent>
        </w:sdt>
      </w:sdtContent>
    </w:sdt>
    <w:p w:rsidR="00150C7B" w:rsidRPr="004B433F" w:rsidRDefault="00150C7B" w:rsidP="00150C7B"/>
    <w:sectPr w:rsidR="00150C7B" w:rsidRPr="004B43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855" w:rsidRDefault="009B5855" w:rsidP="0082223F">
      <w:pPr>
        <w:spacing w:line="240" w:lineRule="auto"/>
      </w:pPr>
      <w:r>
        <w:separator/>
      </w:r>
    </w:p>
  </w:endnote>
  <w:endnote w:type="continuationSeparator" w:id="0">
    <w:p w:rsidR="009B5855" w:rsidRDefault="009B58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855" w:rsidRDefault="009B5855" w:rsidP="0082223F">
      <w:pPr>
        <w:spacing w:line="240" w:lineRule="auto"/>
      </w:pPr>
      <w:r>
        <w:separator/>
      </w:r>
    </w:p>
  </w:footnote>
  <w:footnote w:type="continuationSeparator" w:id="0">
    <w:p w:rsidR="009B5855" w:rsidRDefault="009B58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096"/>
    <w:rsid w:val="000D0405"/>
    <w:rsid w:val="0011306F"/>
    <w:rsid w:val="00150C7B"/>
    <w:rsid w:val="00160CF5"/>
    <w:rsid w:val="00183597"/>
    <w:rsid w:val="001F3964"/>
    <w:rsid w:val="002806B7"/>
    <w:rsid w:val="0029026A"/>
    <w:rsid w:val="002E208A"/>
    <w:rsid w:val="002F579E"/>
    <w:rsid w:val="0037088A"/>
    <w:rsid w:val="003B24C8"/>
    <w:rsid w:val="00401D65"/>
    <w:rsid w:val="004223E8"/>
    <w:rsid w:val="00456C31"/>
    <w:rsid w:val="004A784B"/>
    <w:rsid w:val="004B433F"/>
    <w:rsid w:val="004E1662"/>
    <w:rsid w:val="004F2F92"/>
    <w:rsid w:val="00504287"/>
    <w:rsid w:val="00517CEB"/>
    <w:rsid w:val="00560B75"/>
    <w:rsid w:val="00717A95"/>
    <w:rsid w:val="00726B80"/>
    <w:rsid w:val="00736F8D"/>
    <w:rsid w:val="00805B89"/>
    <w:rsid w:val="0082223F"/>
    <w:rsid w:val="00834380"/>
    <w:rsid w:val="008764A0"/>
    <w:rsid w:val="008B5129"/>
    <w:rsid w:val="008B54BB"/>
    <w:rsid w:val="0091471E"/>
    <w:rsid w:val="0097188A"/>
    <w:rsid w:val="00984A87"/>
    <w:rsid w:val="009B5855"/>
    <w:rsid w:val="009C2D91"/>
    <w:rsid w:val="00A57B4C"/>
    <w:rsid w:val="00AA2285"/>
    <w:rsid w:val="00AA5E60"/>
    <w:rsid w:val="00AC49A2"/>
    <w:rsid w:val="00AE5728"/>
    <w:rsid w:val="00B54DA0"/>
    <w:rsid w:val="00B845FE"/>
    <w:rsid w:val="00BA3753"/>
    <w:rsid w:val="00BE7C5A"/>
    <w:rsid w:val="00C73692"/>
    <w:rsid w:val="00C75C9C"/>
    <w:rsid w:val="00C93BB7"/>
    <w:rsid w:val="00C948D1"/>
    <w:rsid w:val="00CB25E9"/>
    <w:rsid w:val="00CD2D74"/>
    <w:rsid w:val="00D4050F"/>
    <w:rsid w:val="00D4226D"/>
    <w:rsid w:val="00D742DE"/>
    <w:rsid w:val="00D77820"/>
    <w:rsid w:val="00DE2224"/>
    <w:rsid w:val="00DF4C31"/>
    <w:rsid w:val="00E06089"/>
    <w:rsid w:val="00E46AEC"/>
    <w:rsid w:val="00E75CB0"/>
    <w:rsid w:val="00E84541"/>
    <w:rsid w:val="00EC6FC6"/>
    <w:rsid w:val="00EE2DFE"/>
    <w:rsid w:val="00F228F4"/>
    <w:rsid w:val="00F25A04"/>
    <w:rsid w:val="00F306EB"/>
    <w:rsid w:val="00F50671"/>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15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413">
      <w:bodyDiv w:val="1"/>
      <w:marLeft w:val="0"/>
      <w:marRight w:val="0"/>
      <w:marTop w:val="0"/>
      <w:marBottom w:val="0"/>
      <w:divBdr>
        <w:top w:val="none" w:sz="0" w:space="0" w:color="auto"/>
        <w:left w:val="none" w:sz="0" w:space="0" w:color="auto"/>
        <w:bottom w:val="none" w:sz="0" w:space="0" w:color="auto"/>
        <w:right w:val="none" w:sz="0" w:space="0" w:color="auto"/>
      </w:divBdr>
    </w:div>
    <w:div w:id="88042633">
      <w:bodyDiv w:val="1"/>
      <w:marLeft w:val="0"/>
      <w:marRight w:val="0"/>
      <w:marTop w:val="0"/>
      <w:marBottom w:val="0"/>
      <w:divBdr>
        <w:top w:val="none" w:sz="0" w:space="0" w:color="auto"/>
        <w:left w:val="none" w:sz="0" w:space="0" w:color="auto"/>
        <w:bottom w:val="none" w:sz="0" w:space="0" w:color="auto"/>
        <w:right w:val="none" w:sz="0" w:space="0" w:color="auto"/>
      </w:divBdr>
    </w:div>
    <w:div w:id="293028251">
      <w:bodyDiv w:val="1"/>
      <w:marLeft w:val="0"/>
      <w:marRight w:val="0"/>
      <w:marTop w:val="0"/>
      <w:marBottom w:val="0"/>
      <w:divBdr>
        <w:top w:val="none" w:sz="0" w:space="0" w:color="auto"/>
        <w:left w:val="none" w:sz="0" w:space="0" w:color="auto"/>
        <w:bottom w:val="none" w:sz="0" w:space="0" w:color="auto"/>
        <w:right w:val="none" w:sz="0" w:space="0" w:color="auto"/>
      </w:divBdr>
    </w:div>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507333119">
      <w:bodyDiv w:val="1"/>
      <w:marLeft w:val="0"/>
      <w:marRight w:val="0"/>
      <w:marTop w:val="0"/>
      <w:marBottom w:val="0"/>
      <w:divBdr>
        <w:top w:val="none" w:sz="0" w:space="0" w:color="auto"/>
        <w:left w:val="none" w:sz="0" w:space="0" w:color="auto"/>
        <w:bottom w:val="none" w:sz="0" w:space="0" w:color="auto"/>
        <w:right w:val="none" w:sz="0" w:space="0" w:color="auto"/>
      </w:divBdr>
    </w:div>
    <w:div w:id="663322228">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64114953">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3521529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005786709">
      <w:bodyDiv w:val="1"/>
      <w:marLeft w:val="0"/>
      <w:marRight w:val="0"/>
      <w:marTop w:val="0"/>
      <w:marBottom w:val="0"/>
      <w:divBdr>
        <w:top w:val="none" w:sz="0" w:space="0" w:color="auto"/>
        <w:left w:val="none" w:sz="0" w:space="0" w:color="auto"/>
        <w:bottom w:val="none" w:sz="0" w:space="0" w:color="auto"/>
        <w:right w:val="none" w:sz="0" w:space="0" w:color="auto"/>
      </w:divBdr>
    </w:div>
    <w:div w:id="1057362016">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116756990">
      <w:bodyDiv w:val="1"/>
      <w:marLeft w:val="0"/>
      <w:marRight w:val="0"/>
      <w:marTop w:val="0"/>
      <w:marBottom w:val="0"/>
      <w:divBdr>
        <w:top w:val="none" w:sz="0" w:space="0" w:color="auto"/>
        <w:left w:val="none" w:sz="0" w:space="0" w:color="auto"/>
        <w:bottom w:val="none" w:sz="0" w:space="0" w:color="auto"/>
        <w:right w:val="none" w:sz="0" w:space="0" w:color="auto"/>
      </w:divBdr>
    </w:div>
    <w:div w:id="1216426061">
      <w:bodyDiv w:val="1"/>
      <w:marLeft w:val="0"/>
      <w:marRight w:val="0"/>
      <w:marTop w:val="0"/>
      <w:marBottom w:val="0"/>
      <w:divBdr>
        <w:top w:val="none" w:sz="0" w:space="0" w:color="auto"/>
        <w:left w:val="none" w:sz="0" w:space="0" w:color="auto"/>
        <w:bottom w:val="none" w:sz="0" w:space="0" w:color="auto"/>
        <w:right w:val="none" w:sz="0" w:space="0" w:color="auto"/>
      </w:divBdr>
    </w:div>
    <w:div w:id="1257129022">
      <w:bodyDiv w:val="1"/>
      <w:marLeft w:val="0"/>
      <w:marRight w:val="0"/>
      <w:marTop w:val="0"/>
      <w:marBottom w:val="0"/>
      <w:divBdr>
        <w:top w:val="none" w:sz="0" w:space="0" w:color="auto"/>
        <w:left w:val="none" w:sz="0" w:space="0" w:color="auto"/>
        <w:bottom w:val="none" w:sz="0" w:space="0" w:color="auto"/>
        <w:right w:val="none" w:sz="0" w:space="0" w:color="auto"/>
      </w:divBdr>
    </w:div>
    <w:div w:id="1287196657">
      <w:bodyDiv w:val="1"/>
      <w:marLeft w:val="0"/>
      <w:marRight w:val="0"/>
      <w:marTop w:val="0"/>
      <w:marBottom w:val="0"/>
      <w:divBdr>
        <w:top w:val="none" w:sz="0" w:space="0" w:color="auto"/>
        <w:left w:val="none" w:sz="0" w:space="0" w:color="auto"/>
        <w:bottom w:val="none" w:sz="0" w:space="0" w:color="auto"/>
        <w:right w:val="none" w:sz="0" w:space="0" w:color="auto"/>
      </w:divBdr>
    </w:div>
    <w:div w:id="1345134160">
      <w:bodyDiv w:val="1"/>
      <w:marLeft w:val="0"/>
      <w:marRight w:val="0"/>
      <w:marTop w:val="0"/>
      <w:marBottom w:val="0"/>
      <w:divBdr>
        <w:top w:val="none" w:sz="0" w:space="0" w:color="auto"/>
        <w:left w:val="none" w:sz="0" w:space="0" w:color="auto"/>
        <w:bottom w:val="none" w:sz="0" w:space="0" w:color="auto"/>
        <w:right w:val="none" w:sz="0" w:space="0" w:color="auto"/>
      </w:divBdr>
    </w:div>
    <w:div w:id="1422068454">
      <w:bodyDiv w:val="1"/>
      <w:marLeft w:val="0"/>
      <w:marRight w:val="0"/>
      <w:marTop w:val="0"/>
      <w:marBottom w:val="0"/>
      <w:divBdr>
        <w:top w:val="none" w:sz="0" w:space="0" w:color="auto"/>
        <w:left w:val="none" w:sz="0" w:space="0" w:color="auto"/>
        <w:bottom w:val="none" w:sz="0" w:space="0" w:color="auto"/>
        <w:right w:val="none" w:sz="0" w:space="0" w:color="auto"/>
      </w:divBdr>
    </w:div>
    <w:div w:id="1434936628">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 w:id="1517574877">
      <w:bodyDiv w:val="1"/>
      <w:marLeft w:val="0"/>
      <w:marRight w:val="0"/>
      <w:marTop w:val="0"/>
      <w:marBottom w:val="0"/>
      <w:divBdr>
        <w:top w:val="none" w:sz="0" w:space="0" w:color="auto"/>
        <w:left w:val="none" w:sz="0" w:space="0" w:color="auto"/>
        <w:bottom w:val="none" w:sz="0" w:space="0" w:color="auto"/>
        <w:right w:val="none" w:sz="0" w:space="0" w:color="auto"/>
      </w:divBdr>
    </w:div>
    <w:div w:id="1530408420">
      <w:bodyDiv w:val="1"/>
      <w:marLeft w:val="0"/>
      <w:marRight w:val="0"/>
      <w:marTop w:val="0"/>
      <w:marBottom w:val="0"/>
      <w:divBdr>
        <w:top w:val="none" w:sz="0" w:space="0" w:color="auto"/>
        <w:left w:val="none" w:sz="0" w:space="0" w:color="auto"/>
        <w:bottom w:val="none" w:sz="0" w:space="0" w:color="auto"/>
        <w:right w:val="none" w:sz="0" w:space="0" w:color="auto"/>
      </w:divBdr>
    </w:div>
    <w:div w:id="1803304651">
      <w:bodyDiv w:val="1"/>
      <w:marLeft w:val="0"/>
      <w:marRight w:val="0"/>
      <w:marTop w:val="0"/>
      <w:marBottom w:val="0"/>
      <w:divBdr>
        <w:top w:val="none" w:sz="0" w:space="0" w:color="auto"/>
        <w:left w:val="none" w:sz="0" w:space="0" w:color="auto"/>
        <w:bottom w:val="none" w:sz="0" w:space="0" w:color="auto"/>
        <w:right w:val="none" w:sz="0" w:space="0" w:color="auto"/>
      </w:divBdr>
    </w:div>
    <w:div w:id="1888637502">
      <w:bodyDiv w:val="1"/>
      <w:marLeft w:val="0"/>
      <w:marRight w:val="0"/>
      <w:marTop w:val="0"/>
      <w:marBottom w:val="0"/>
      <w:divBdr>
        <w:top w:val="none" w:sz="0" w:space="0" w:color="auto"/>
        <w:left w:val="none" w:sz="0" w:space="0" w:color="auto"/>
        <w:bottom w:val="none" w:sz="0" w:space="0" w:color="auto"/>
        <w:right w:val="none" w:sz="0" w:space="0" w:color="auto"/>
      </w:divBdr>
    </w:div>
    <w:div w:id="1888839128">
      <w:bodyDiv w:val="1"/>
      <w:marLeft w:val="0"/>
      <w:marRight w:val="0"/>
      <w:marTop w:val="0"/>
      <w:marBottom w:val="0"/>
      <w:divBdr>
        <w:top w:val="none" w:sz="0" w:space="0" w:color="auto"/>
        <w:left w:val="none" w:sz="0" w:space="0" w:color="auto"/>
        <w:bottom w:val="none" w:sz="0" w:space="0" w:color="auto"/>
        <w:right w:val="none" w:sz="0" w:space="0" w:color="auto"/>
      </w:divBdr>
    </w:div>
    <w:div w:id="2111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7</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8</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9</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10</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11</b:RefOrder>
  </b:Source>
  <b:Source>
    <b:Tag>Tal181</b:Tag>
    <b:SourceType>JournalArticle</b:SourceType>
    <b:Guid>{2725111F-E06D-49AE-A4BA-0EC9E021F287}</b:Guid>
    <b:Author>
      <b:Author>
        <b:Corporate>Taleb et al.</b:Corporate>
      </b:Author>
    </b:Author>
    <b:Title>Big Data Quality: A Survey</b:Title>
    <b:Year>2018</b:Year>
    <b:RefOrder>12</b:RefOrder>
  </b:Source>
  <b:Source>
    <b:Tag>McK19</b:Tag>
    <b:SourceType>JournalArticle</b:SourceType>
    <b:Guid>{7BC820B5-D898-474D-9904-1672BD17CB0B}</b:Guid>
    <b:Author>
      <b:Author>
        <b:NameList>
          <b:Person>
            <b:Last>McKendrick</b:Last>
            <b:First>J</b:First>
          </b:Person>
        </b:NameList>
      </b:Author>
    </b:Author>
    <b:Title>Data Lakes and Data Warehouses, Working Tandom</b:Title>
    <b:Year>2019</b:Year>
    <b:JournalName>Database Trends and Applications, October/November</b:JournalName>
    <b:Pages>4-8</b:Pages>
    <b:RefOrder>13</b:RefOrder>
  </b:Source>
  <b:Source>
    <b:Tag>Ama191</b:Tag>
    <b:SourceType>InternetSite</b:SourceType>
    <b:Guid>{B86F5986-3E45-43AD-B7BE-8962D90CE165}</b:Guid>
    <b:Title>Restricting Access to a Data Set by Using Row-Level Security</b:Title>
    <b:Year>2019</b:Year>
    <b:Author>
      <b:Author>
        <b:Corporate>Amazon</b:Corporate>
      </b:Author>
    </b:Author>
    <b:InternetSiteTitle>AWS Documentation</b:InternetSiteTitle>
    <b:URL>https://docs.aws.amazon.com/quicksight/latest/user/restrict-access-to-a-data-set-using-row-level-security.html</b:URL>
    <b:RefOrder>14</b:RefOrder>
  </b:Source>
  <b:Source>
    <b:Tag>Mic191</b:Tag>
    <b:SourceType>InternetSite</b:SourceType>
    <b:Guid>{4291BC58-FA63-4BAC-9608-154E3479CA27}</b:Guid>
    <b:Author>
      <b:Author>
        <b:Corporate>Microsoft</b:Corporate>
      </b:Author>
    </b:Author>
    <b:Title>Dynamic row level security with Analysis services tabular model</b:Title>
    <b:InternetSiteTitle>Microsoft Documentation</b:InternetSiteTitle>
    <b:Year>2019</b:Year>
    <b:URL>https://docs.microsoft.com/en-us/power-bi/desktop-tutorial-row-level-security-onprem-ssas-tabular</b:URL>
    <b:RefOrder>15</b:RefOrder>
  </b:Source>
  <b:Source>
    <b:Tag>Ora17</b:Tag>
    <b:SourceType>InternetSite</b:SourceType>
    <b:Guid>{0D4D63E4-C9B8-4A42-8B82-7F1572C5A867}</b:Guid>
    <b:Author>
      <b:Author>
        <b:Corporate>Oracle</b:Corporate>
      </b:Author>
    </b:Author>
    <b:Title>Enforcing Row-Level Security with Oracle Label Security</b:Title>
    <b:InternetSiteTitle>Oracle Help Center</b:InternetSiteTitle>
    <b:Year>2017</b:Year>
    <b:URL>https://docs.oracle.com/database/121/TDPSG/GUID-72D524FF-5A86-495A-9D12-14CB13819D42.htm#TDPSG94446</b:URL>
    <b:RefOrder>16</b:RefOrder>
  </b:Source>
  <b:Source>
    <b:Tag>Ama192</b:Tag>
    <b:SourceType>InternetSite</b:SourceType>
    <b:Guid>{E78EABCF-D437-45B0-9AFA-83F25251EC23}</b:Guid>
    <b:Author>
      <b:Author>
        <b:Corporate>Amazon</b:Corporate>
      </b:Author>
    </b:Author>
    <b:Title>Using IAM Policy Conditions for Fine-Grained Access Control</b:Title>
    <b:InternetSiteTitle>Amazon DynamoDB</b:InternetSiteTitle>
    <b:Year>2019</b:Year>
    <b:URL>https://docs.aws.amazon.com/amazondynamodb/latest/developerguide/specifying-conditions.html</b:URL>
    <b:RefOrder>17</b:RefOrder>
  </b:Source>
  <b:Source>
    <b:Tag>Eat12</b:Tag>
    <b:SourceType>InternetSite</b:SourceType>
    <b:Guid>{8C8F155D-23B8-4EED-B6FE-4BEE604096FC}</b:Guid>
    <b:Author>
      <b:Author>
        <b:NameList>
          <b:Person>
            <b:Last>Eaton</b:Last>
            <b:First>K</b:First>
          </b:Person>
        </b:NameList>
      </b:Author>
    </b:Author>
    <b:Title>How One Second Could Cost Amazon $1.6B In Sales</b:Title>
    <b:InternetSiteTitle>Fast Company</b:InternetSiteTitle>
    <b:Year>2012</b:Year>
    <b:Month>March</b:Month>
    <b:Day>15</b:Day>
    <b:URL>https://www.fastcompany.com/1825005/how-one-second-could-cost-amazon-16-billion-sales</b:URL>
    <b:RefOrder>18</b:RefOrder>
  </b:Source>
  <b:Source>
    <b:Tag>Fre19</b:Tag>
    <b:SourceType>InternetSite</b:SourceType>
    <b:Guid>{38069095-1D01-44FA-81B4-3257D8A8CEAE}</b:Guid>
    <b:Author>
      <b:Author>
        <b:Corporate>Freckle</b:Corporate>
      </b:Author>
    </b:Author>
    <b:Title>Freckle Plans</b:Title>
    <b:InternetSiteTitle>Freckle EdTech</b:InternetSiteTitle>
    <b:Year>2019</b:Year>
    <b:URL>https://www.freckle.com/plans/</b:URL>
    <b:RefOrder>19</b:RefOrder>
  </b:Source>
  <b:Source>
    <b:Tag>Kve19</b:Tag>
    <b:SourceType>JournalArticle</b:SourceType>
    <b:Guid>{28C67366-D0A4-4870-A72B-3A9FC0871910}</b:Guid>
    <b:Title>Data Management in Hierarchical Database - Branches Notification</b:Title>
    <b:Year>2019</b:Year>
    <b:Author>
      <b:Author>
        <b:NameList>
          <b:Person>
            <b:Last>Kvet</b:Last>
            <b:First>M</b:First>
          </b:Person>
          <b:Person>
            <b:Last>Matiasko</b:Last>
            <b:First>K</b:First>
          </b:Person>
        </b:NameList>
      </b:Author>
    </b:Author>
    <b:JournalName>PROCEEDING OF THE 24TH CONFERENCE OF FRUCT ASSOCIATION</b:JournalName>
    <b:Pages>206-214</b:Pages>
    <b:RefOrder>20</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21</b:RefOrder>
  </b:Source>
  <b:Source>
    <b:Tag>Fur05</b:Tag>
    <b:SourceType>JournalArticle</b:SourceType>
    <b:Guid>{34D89476-794A-43F7-BA84-56ACA04A7C84}</b:Guid>
    <b:Author>
      <b:Author>
        <b:NameList>
          <b:Person>
            <b:Last>Furtado</b:Last>
            <b:First>P</b:First>
          </b:Person>
        </b:NameList>
      </b:Author>
    </b:Author>
    <b:Title>Flexible Networked Data Management on P2P </b:Title>
    <b:JournalName>16th International Workshop on Database and Expert Systems Applications (DEXA'05)</b:JournalName>
    <b:Year>2005</b:Year>
    <b:RefOrder>23</b:RefOrder>
  </b:Source>
  <b:Source>
    <b:Tag>Kan19</b:Tag>
    <b:SourceType>JournalArticle</b:SourceType>
    <b:Guid>{9B8D50F4-12AC-453B-9CD1-CDCC36D8EC7F}</b:Guid>
    <b:Author>
      <b:Author>
        <b:NameList>
          <b:Person>
            <b:Last>Kan</b:Last>
            <b:First>J</b:First>
          </b:Person>
          <b:Person>
            <b:Last>Kim</b:Last>
            <b:First>K</b:First>
          </b:Person>
        </b:NameList>
      </b:Author>
    </b:Author>
    <b:Title>MTFS: Merkle-Tree-Based File System</b:Title>
    <b:JournalName>2019 IEEE International Conference on Blockchain and Cryptocurrency (ICBC) Blockchain and Cryptocurrency (ICBC), 2019 IEEE International</b:JournalName>
    <b:Year>2019</b:Year>
    <b:RefOrder>22</b:RefOrder>
  </b:Source>
</b:Sources>
</file>

<file path=customXml/itemProps1.xml><?xml version="1.0" encoding="utf-8"?>
<ds:datastoreItem xmlns:ds="http://schemas.openxmlformats.org/officeDocument/2006/customXml" ds:itemID="{5478BC4F-5FCD-459E-B524-4F44B401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10</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2019-12-15T20:00:00Z</dcterms:modified>
</cp:coreProperties>
</file>