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267A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AA2285">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Pr="00AA2285" w:rsidRDefault="008B54BB" w:rsidP="00AA2285">
      <w:pPr>
        <w:pStyle w:val="Title"/>
      </w:pPr>
      <w:r w:rsidRPr="00AA2285">
        <w:lastRenderedPageBreak/>
        <w:t>EdTech Data Management</w:t>
      </w:r>
    </w:p>
    <w:p w:rsidR="00F25A04"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ecosystem of</w:t>
      </w:r>
      <w:r w:rsidR="009C2D91">
        <w:t xml:space="preserve"> personalized student learning</w:t>
      </w:r>
      <w:r w:rsidR="008B54BB">
        <w:t>,</w:t>
      </w:r>
      <w:r w:rsidR="009C2D91">
        <w:t xml:space="preserve"> teacher dashboarding and classroom analytical </w:t>
      </w:r>
      <w:r w:rsidR="00C75C9C">
        <w:t>tooling</w:t>
      </w:r>
      <w:r w:rsidR="002F579E">
        <w:t>.</w:t>
      </w:r>
    </w:p>
    <w:p w:rsidR="008B54BB" w:rsidRDefault="008B54BB" w:rsidP="00AA2285">
      <w:pPr>
        <w:pStyle w:val="Heading1"/>
      </w:pPr>
      <w:r>
        <w:t>Challenges of Data Sharing</w:t>
      </w:r>
    </w:p>
    <w:p w:rsidR="00AA2285" w:rsidRPr="00AA2285" w:rsidRDefault="00AA2285" w:rsidP="00AA2285">
      <w:r>
        <w:tab/>
        <w:t>Innovating within the Education Technology (EdTech) ecosystem is challenging because of non-uniform exchange protocols, insufficient information governance, and inefficient synchronization strategies.  These issues complicate data management solutions and force businesses to design solutions that operate in a heterogeneous environment that cannot adequately address the needs of its audience.</w:t>
      </w:r>
    </w:p>
    <w:p w:rsidR="00AA2285" w:rsidRDefault="00AA2285" w:rsidP="00AA2285">
      <w:pPr>
        <w:pStyle w:val="Heading2"/>
      </w:pPr>
      <w:r>
        <w:t>Use of Proprietary Protocols</w:t>
      </w:r>
    </w:p>
    <w:p w:rsidR="009C2D91" w:rsidRDefault="00B845FE" w:rsidP="009C2D91">
      <w:pPr>
        <w:ind w:firstLine="720"/>
      </w:pPr>
      <w:r>
        <w:t>Student enrollments are not static</w:t>
      </w:r>
      <w:r w:rsidR="009C2D91">
        <w:t>,</w:t>
      </w:r>
      <w:r>
        <w:t xml:space="preserve"> and mechanisms need to exist for notifying partners of these changes.</w:t>
      </w:r>
      <w:r w:rsidR="00EE2DFE">
        <w:t xml:space="preserve">  </w:t>
      </w:r>
      <w:r w:rsidR="00AC49A2">
        <w:t>T</w:t>
      </w:r>
      <w:r w:rsidR="00AC49A2">
        <w:t xml:space="preserve">hese notifications </w:t>
      </w:r>
      <w:r w:rsidR="00AC49A2">
        <w:t xml:space="preserve">started life as proprietary </w:t>
      </w:r>
      <w:r w:rsidR="00AC49A2">
        <w:t xml:space="preserve">unstructured </w:t>
      </w:r>
      <w:r w:rsidR="00AC49A2">
        <w:t xml:space="preserve">messages that lacked a focus on interoperability.  </w:t>
      </w:r>
      <w:r w:rsidR="00AC49A2">
        <w:t>The Instructional Management Solutions (IMS)</w:t>
      </w:r>
      <w:r w:rsidR="00AC49A2">
        <w:t>, an international standards organization,</w:t>
      </w:r>
      <w:r w:rsidR="00AC49A2">
        <w:t xml:space="preserve"> has proposed </w:t>
      </w:r>
      <w:proofErr w:type="spellStart"/>
      <w:r w:rsidR="00AC49A2">
        <w:t>OneRoster</w:t>
      </w:r>
      <w:proofErr w:type="spellEnd"/>
      <w:r w:rsidR="00AC49A2">
        <w:t xml:space="preserve"> to </w:t>
      </w:r>
      <w:r w:rsidR="00AC49A2">
        <w:t>standard</w:t>
      </w:r>
      <w:r w:rsidR="00AC49A2">
        <w:t>ize</w:t>
      </w:r>
      <w:r w:rsidR="00AC49A2">
        <w:t xml:space="preserve"> </w:t>
      </w:r>
      <w:r w:rsidR="00AC49A2">
        <w:t xml:space="preserve">the communication </w:t>
      </w:r>
      <w:r w:rsidR="00AC49A2">
        <w:t>protocol</w:t>
      </w:r>
      <w:sdt>
        <w:sdtPr>
          <w:id w:val="1139846853"/>
          <w:citation/>
        </w:sdtPr>
        <w:sdtContent>
          <w:r w:rsidR="00834380">
            <w:fldChar w:fldCharType="begin"/>
          </w:r>
          <w:r w:rsidR="00834380">
            <w:instrText xml:space="preserve"> CITATION IMS19 \l 1033 </w:instrText>
          </w:r>
          <w:r w:rsidR="00834380">
            <w:fldChar w:fldCharType="separate"/>
          </w:r>
          <w:r w:rsidR="00834380">
            <w:rPr>
              <w:noProof/>
            </w:rPr>
            <w:t xml:space="preserve"> (IMS, 2019)</w:t>
          </w:r>
          <w:r w:rsidR="00834380">
            <w:fldChar w:fldCharType="end"/>
          </w:r>
        </w:sdtContent>
      </w:sdt>
      <w:r w:rsidR="00AC49A2">
        <w:t xml:space="preserve">.  </w:t>
      </w:r>
      <w:r w:rsidR="00AC49A2">
        <w:t>However, t</w:t>
      </w:r>
      <w:r w:rsidR="00AC49A2">
        <w:t xml:space="preserve">hese efforts </w:t>
      </w:r>
      <w:r w:rsidR="00AC49A2">
        <w:t xml:space="preserve">need broader adoption by the tool ecosystem and more strict enforcement of data </w:t>
      </w:r>
      <w:r w:rsidR="00834380">
        <w:t>values</w:t>
      </w:r>
      <w:r w:rsidR="00AC49A2">
        <w:t xml:space="preserve">.  </w:t>
      </w:r>
      <w:r w:rsidR="00834380">
        <w:t xml:space="preserve">Many schools degrade the protocol to semi-structured messages because they lack </w:t>
      </w:r>
      <w:r w:rsidR="002F579E" w:rsidRPr="002F579E">
        <w:t>sophisticated</w:t>
      </w:r>
      <w:r w:rsidR="002F579E">
        <w:t xml:space="preserve"> </w:t>
      </w:r>
      <w:r w:rsidR="00834380">
        <w:t xml:space="preserve">data quality </w:t>
      </w:r>
      <w:r w:rsidR="002F579E">
        <w:t>processes</w:t>
      </w:r>
      <w:sdt>
        <w:sdtPr>
          <w:id w:val="239991818"/>
          <w:citation/>
        </w:sdtPr>
        <w:sdtContent>
          <w:r w:rsidR="00717A95">
            <w:fldChar w:fldCharType="begin"/>
          </w:r>
          <w:r w:rsidR="00717A95">
            <w:instrText xml:space="preserve"> CITATION Her16 \l 1033 </w:instrText>
          </w:r>
          <w:r w:rsidR="00717A95">
            <w:fldChar w:fldCharType="separate"/>
          </w:r>
          <w:r w:rsidR="00717A95">
            <w:rPr>
              <w:noProof/>
            </w:rPr>
            <w:t xml:space="preserve"> (Herald, 2016)</w:t>
          </w:r>
          <w:r w:rsidR="00717A95">
            <w:fldChar w:fldCharType="end"/>
          </w:r>
        </w:sdtContent>
      </w:sdt>
      <w:r w:rsidR="002F579E">
        <w:t>.</w:t>
      </w:r>
      <w:r w:rsidR="00AC49A2">
        <w:t xml:space="preserve">  </w:t>
      </w:r>
      <w:r w:rsidR="000D0405">
        <w:t xml:space="preserve">Herald provides an example that different systems might know the same student as </w:t>
      </w:r>
      <w:r w:rsidR="00DF4C31">
        <w:t xml:space="preserve">Jim, Jimmy Smith, and James.  </w:t>
      </w:r>
      <w:r w:rsidR="000D0405">
        <w:lastRenderedPageBreak/>
        <w:t xml:space="preserve">Another challenge arises from the reuse of </w:t>
      </w:r>
      <w:r w:rsidR="00DF4C31">
        <w:t xml:space="preserve">student </w:t>
      </w:r>
      <w:r w:rsidR="000D0405">
        <w:t>numbers</w:t>
      </w:r>
      <w:r w:rsidR="00DF4C31">
        <w:t xml:space="preserve"> (primary key) </w:t>
      </w:r>
      <w:r w:rsidR="000D0405">
        <w:t xml:space="preserve">that </w:t>
      </w:r>
      <w:r w:rsidR="00DF4C31">
        <w:t xml:space="preserve">might be unique within a given school (local context) but overlap at </w:t>
      </w:r>
      <w:r w:rsidR="000D0405">
        <w:t>the district</w:t>
      </w:r>
      <w:r w:rsidR="00DF4C31">
        <w:t xml:space="preserve"> level (global context).</w:t>
      </w:r>
    </w:p>
    <w:p w:rsidR="00AA2285" w:rsidRDefault="00AA2285" w:rsidP="00AA2285">
      <w:pPr>
        <w:pStyle w:val="Heading2"/>
      </w:pPr>
      <w:r>
        <w:t>Insufficient Privacy and Security Controls</w:t>
      </w:r>
    </w:p>
    <w:p w:rsidR="008B54BB" w:rsidRDefault="009C2D91" w:rsidP="008B54BB">
      <w:pPr>
        <w:ind w:firstLine="720"/>
      </w:pPr>
      <w:r>
        <w:t>Parents, administrators, and l</w:t>
      </w:r>
      <w:r>
        <w:t>egislatures</w:t>
      </w:r>
      <w:r>
        <w:t xml:space="preserve"> have concerns around their privacy of student’s information</w:t>
      </w:r>
      <w:sdt>
        <w:sdtPr>
          <w:id w:val="-684511768"/>
          <w:citation/>
        </w:sdtPr>
        <w:sdtContent>
          <w:r w:rsidR="00717A95">
            <w:fldChar w:fldCharType="begin"/>
          </w:r>
          <w:r w:rsidR="00717A95">
            <w:instrText xml:space="preserve"> CITATION Reg19 \l 1033 </w:instrText>
          </w:r>
          <w:r w:rsidR="00717A95">
            <w:fldChar w:fldCharType="separate"/>
          </w:r>
          <w:r w:rsidR="00717A95">
            <w:rPr>
              <w:noProof/>
            </w:rPr>
            <w:t xml:space="preserve"> (Regan &amp; Jesse, 2019)</w:t>
          </w:r>
          <w:r w:rsidR="00717A95">
            <w:fldChar w:fldCharType="end"/>
          </w:r>
        </w:sdtContent>
      </w:sdt>
      <w:r>
        <w:t xml:space="preserve">.  </w:t>
      </w:r>
      <w:r w:rsidR="00717A95">
        <w:t>Regan and Jesse state that f</w:t>
      </w:r>
      <w:r>
        <w:t>ederal regulators oversee sharing between organizations</w:t>
      </w:r>
      <w:r w:rsidR="00717A95">
        <w:t xml:space="preserve"> using </w:t>
      </w:r>
      <w:r>
        <w:t>powers granted under the Family Educational Rights and Privacy Act of 1974 (FERPA), Children’s Online Privacy Protection Act of 1998 (COPPA), and related laws.</w:t>
      </w:r>
      <w:r w:rsidR="00717A95">
        <w:t xml:space="preserve">  </w:t>
      </w:r>
      <w:r w:rsidR="008B54BB">
        <w:t xml:space="preserve">“The central tension </w:t>
      </w:r>
      <w:r w:rsidR="008B54BB">
        <w:t xml:space="preserve">in </w:t>
      </w:r>
      <w:proofErr w:type="spellStart"/>
      <w:r w:rsidR="008B54BB">
        <w:t>E</w:t>
      </w:r>
      <w:r w:rsidR="008B54BB">
        <w:t>dtech</w:t>
      </w:r>
      <w:proofErr w:type="spellEnd"/>
      <w:r w:rsidR="008B54BB">
        <w:t xml:space="preserve"> is between the need to protect student data privacy on the one hand, and </w:t>
      </w:r>
      <w:proofErr w:type="spellStart"/>
      <w:r w:rsidR="008B54BB">
        <w:t>E</w:t>
      </w:r>
      <w:r w:rsidR="008B54BB">
        <w:t>dtech</w:t>
      </w:r>
      <w:proofErr w:type="spellEnd"/>
      <w:r w:rsidR="008B54BB">
        <w:t xml:space="preserve"> companies</w:t>
      </w:r>
      <w:r w:rsidR="008B54BB">
        <w:t>’</w:t>
      </w:r>
      <w:r w:rsidR="008B54BB">
        <w:t xml:space="preserve"> ability to innovate on the other</w:t>
      </w:r>
      <w:sdt>
        <w:sdtPr>
          <w:id w:val="1568379927"/>
          <w:citation/>
        </w:sdtPr>
        <w:sdtContent>
          <w:r w:rsidR="008B54BB">
            <w:fldChar w:fldCharType="begin"/>
          </w:r>
          <w:r w:rsidR="008B54BB">
            <w:instrText xml:space="preserve">CITATION Pet16 \p 962 \l 1033 </w:instrText>
          </w:r>
          <w:r w:rsidR="008B54BB">
            <w:fldChar w:fldCharType="separate"/>
          </w:r>
          <w:r w:rsidR="008B54BB">
            <w:rPr>
              <w:noProof/>
            </w:rPr>
            <w:t xml:space="preserve"> (Peterson, 2016, p. 962)</w:t>
          </w:r>
          <w:r w:rsidR="008B54BB">
            <w:fldChar w:fldCharType="end"/>
          </w:r>
        </w:sdtContent>
      </w:sdt>
      <w:r w:rsidR="008B54BB">
        <w:t>.”  Peterson’s statement is missing the critical point that students have entrusted their data to their schools explicitly, and the EdTech implicitly.  These additional protections necessitate an information governance policy that is natively part of the roster sync protocols, at both a coarse (e.g., entity filters) and fine-grained (e.g., attribute filters) level of control.</w:t>
      </w:r>
    </w:p>
    <w:p w:rsidR="00AA2285" w:rsidRDefault="00AA2285" w:rsidP="00AA2285">
      <w:pPr>
        <w:pStyle w:val="Heading2"/>
      </w:pPr>
      <w:r>
        <w:t>Inefficient Synchronization Protocols</w:t>
      </w:r>
    </w:p>
    <w:p w:rsidR="00AA5E60" w:rsidRPr="004E1662" w:rsidRDefault="00AA5E60" w:rsidP="008B54BB">
      <w:pPr>
        <w:ind w:firstLine="720"/>
      </w:pPr>
      <w:r>
        <w:t>A third aspect of the problem is an inability to perform data integrity checks and efficiently remediate in real-time.  Many third-party consumers handle this drift through a full periodic synchronization with the source of truth.  However, this can be challenging to scale across large customer bases with millions of students.  The delays also reduce the customer experience, as students cannot immediately enjoy the third-party products</w:t>
      </w:r>
      <w:sdt>
        <w:sdtPr>
          <w:id w:val="-2026470974"/>
          <w:citation/>
        </w:sdtPr>
        <w:sdtContent>
          <w:r w:rsidR="00504287">
            <w:fldChar w:fldCharType="begin"/>
          </w:r>
          <w:r w:rsidR="00504287">
            <w:instrText xml:space="preserve"> CITATION Cla18 \l 1033 </w:instrText>
          </w:r>
          <w:r w:rsidR="00504287">
            <w:fldChar w:fldCharType="separate"/>
          </w:r>
          <w:r w:rsidR="00504287">
            <w:rPr>
              <w:noProof/>
            </w:rPr>
            <w:t xml:space="preserve"> (ClassLink, 2018)</w:t>
          </w:r>
          <w:r w:rsidR="00504287">
            <w:fldChar w:fldCharType="end"/>
          </w:r>
        </w:sdtContent>
      </w:sdt>
      <w:r>
        <w:t>.</w:t>
      </w:r>
      <w:r w:rsidR="003B24C8">
        <w:t xml:space="preserve">  Specific sources of truth providers expose proprietary protocols for streaming update deltas</w:t>
      </w:r>
      <w:sdt>
        <w:sdtPr>
          <w:id w:val="678547641"/>
          <w:citation/>
        </w:sdtPr>
        <w:sdtContent>
          <w:r w:rsidR="003B24C8">
            <w:fldChar w:fldCharType="begin"/>
          </w:r>
          <w:r w:rsidR="003B24C8">
            <w:instrText xml:space="preserve"> CITATION Cle19 \l 1033 </w:instrText>
          </w:r>
          <w:r w:rsidR="003B24C8">
            <w:fldChar w:fldCharType="separate"/>
          </w:r>
          <w:r w:rsidR="003B24C8">
            <w:rPr>
              <w:noProof/>
            </w:rPr>
            <w:t xml:space="preserve"> (Clever, 2019)</w:t>
          </w:r>
          <w:r w:rsidR="003B24C8">
            <w:fldChar w:fldCharType="end"/>
          </w:r>
        </w:sdtContent>
      </w:sdt>
      <w:r w:rsidR="003B24C8">
        <w:t xml:space="preserve">.  </w:t>
      </w:r>
      <w:r w:rsidR="00504287">
        <w:t>These solutions introduce external system dependencies, such as Lightweight Directory Access Protocol (LDAP), that can be clunky for specific workloads</w:t>
      </w:r>
      <w:r w:rsidR="00AA2285">
        <w:t>.</w:t>
      </w:r>
      <w:bookmarkStart w:id="0" w:name="_GoBack"/>
      <w:bookmarkEnd w:id="0"/>
    </w:p>
    <w:sectPr w:rsidR="00AA5E60" w:rsidRPr="004E1662"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7AF" w:rsidRDefault="009267AF" w:rsidP="0082223F">
      <w:pPr>
        <w:spacing w:line="240" w:lineRule="auto"/>
      </w:pPr>
      <w:r>
        <w:separator/>
      </w:r>
    </w:p>
  </w:endnote>
  <w:endnote w:type="continuationSeparator" w:id="0">
    <w:p w:rsidR="009267AF" w:rsidRDefault="009267A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7AF" w:rsidRDefault="009267AF" w:rsidP="0082223F">
      <w:pPr>
        <w:spacing w:line="240" w:lineRule="auto"/>
      </w:pPr>
      <w:r>
        <w:separator/>
      </w:r>
    </w:p>
  </w:footnote>
  <w:footnote w:type="continuationSeparator" w:id="0">
    <w:p w:rsidR="009267AF" w:rsidRDefault="009267A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D0405"/>
    <w:rsid w:val="00183597"/>
    <w:rsid w:val="002806B7"/>
    <w:rsid w:val="002E208A"/>
    <w:rsid w:val="002F579E"/>
    <w:rsid w:val="0037088A"/>
    <w:rsid w:val="003B24C8"/>
    <w:rsid w:val="00401D65"/>
    <w:rsid w:val="004223E8"/>
    <w:rsid w:val="004A784B"/>
    <w:rsid w:val="004E1662"/>
    <w:rsid w:val="00504287"/>
    <w:rsid w:val="00717A95"/>
    <w:rsid w:val="00736F8D"/>
    <w:rsid w:val="00805B89"/>
    <w:rsid w:val="0082223F"/>
    <w:rsid w:val="00834380"/>
    <w:rsid w:val="008764A0"/>
    <w:rsid w:val="008B5129"/>
    <w:rsid w:val="008B54BB"/>
    <w:rsid w:val="009267AF"/>
    <w:rsid w:val="0097188A"/>
    <w:rsid w:val="009C2D91"/>
    <w:rsid w:val="00AA2285"/>
    <w:rsid w:val="00AA5E60"/>
    <w:rsid w:val="00AC49A2"/>
    <w:rsid w:val="00B845FE"/>
    <w:rsid w:val="00C73692"/>
    <w:rsid w:val="00C75C9C"/>
    <w:rsid w:val="00C93BB7"/>
    <w:rsid w:val="00CB25E9"/>
    <w:rsid w:val="00CD2D74"/>
    <w:rsid w:val="00D4050F"/>
    <w:rsid w:val="00DE2224"/>
    <w:rsid w:val="00DF4C31"/>
    <w:rsid w:val="00EC6FC6"/>
    <w:rsid w:val="00EE2DFE"/>
    <w:rsid w:val="00F25A04"/>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7CF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285"/>
    <w:pPr>
      <w:jc w:val="center"/>
    </w:pPr>
  </w:style>
  <w:style w:type="character" w:customStyle="1" w:styleId="TitleChar">
    <w:name w:val="Title Char"/>
    <w:basedOn w:val="DefaultParagraphFont"/>
    <w:link w:val="Title"/>
    <w:uiPriority w:val="10"/>
    <w:rsid w:val="00AA2285"/>
    <w:rPr>
      <w:rFonts w:ascii="Times New Roman" w:hAnsi="Times New Roman" w:cs="Times New Roman"/>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3222">
      <w:bodyDiv w:val="1"/>
      <w:marLeft w:val="0"/>
      <w:marRight w:val="0"/>
      <w:marTop w:val="0"/>
      <w:marBottom w:val="0"/>
      <w:divBdr>
        <w:top w:val="none" w:sz="0" w:space="0" w:color="auto"/>
        <w:left w:val="none" w:sz="0" w:space="0" w:color="auto"/>
        <w:bottom w:val="none" w:sz="0" w:space="0" w:color="auto"/>
        <w:right w:val="none" w:sz="0" w:space="0" w:color="auto"/>
      </w:divBdr>
    </w:div>
    <w:div w:id="494759593">
      <w:bodyDiv w:val="1"/>
      <w:marLeft w:val="0"/>
      <w:marRight w:val="0"/>
      <w:marTop w:val="0"/>
      <w:marBottom w:val="0"/>
      <w:divBdr>
        <w:top w:val="none" w:sz="0" w:space="0" w:color="auto"/>
        <w:left w:val="none" w:sz="0" w:space="0" w:color="auto"/>
        <w:bottom w:val="none" w:sz="0" w:space="0" w:color="auto"/>
        <w:right w:val="none" w:sz="0" w:space="0" w:color="auto"/>
      </w:divBdr>
    </w:div>
    <w:div w:id="668825587">
      <w:bodyDiv w:val="1"/>
      <w:marLeft w:val="0"/>
      <w:marRight w:val="0"/>
      <w:marTop w:val="0"/>
      <w:marBottom w:val="0"/>
      <w:divBdr>
        <w:top w:val="none" w:sz="0" w:space="0" w:color="auto"/>
        <w:left w:val="none" w:sz="0" w:space="0" w:color="auto"/>
        <w:bottom w:val="none" w:sz="0" w:space="0" w:color="auto"/>
        <w:right w:val="none" w:sz="0" w:space="0" w:color="auto"/>
      </w:divBdr>
    </w:div>
    <w:div w:id="771782132">
      <w:bodyDiv w:val="1"/>
      <w:marLeft w:val="0"/>
      <w:marRight w:val="0"/>
      <w:marTop w:val="0"/>
      <w:marBottom w:val="0"/>
      <w:divBdr>
        <w:top w:val="none" w:sz="0" w:space="0" w:color="auto"/>
        <w:left w:val="none" w:sz="0" w:space="0" w:color="auto"/>
        <w:bottom w:val="none" w:sz="0" w:space="0" w:color="auto"/>
        <w:right w:val="none" w:sz="0" w:space="0" w:color="auto"/>
      </w:divBdr>
    </w:div>
    <w:div w:id="955647810">
      <w:bodyDiv w:val="1"/>
      <w:marLeft w:val="0"/>
      <w:marRight w:val="0"/>
      <w:marTop w:val="0"/>
      <w:marBottom w:val="0"/>
      <w:divBdr>
        <w:top w:val="none" w:sz="0" w:space="0" w:color="auto"/>
        <w:left w:val="none" w:sz="0" w:space="0" w:color="auto"/>
        <w:bottom w:val="none" w:sz="0" w:space="0" w:color="auto"/>
        <w:right w:val="none" w:sz="0" w:space="0" w:color="auto"/>
      </w:divBdr>
    </w:div>
    <w:div w:id="1107773693">
      <w:bodyDiv w:val="1"/>
      <w:marLeft w:val="0"/>
      <w:marRight w:val="0"/>
      <w:marTop w:val="0"/>
      <w:marBottom w:val="0"/>
      <w:divBdr>
        <w:top w:val="none" w:sz="0" w:space="0" w:color="auto"/>
        <w:left w:val="none" w:sz="0" w:space="0" w:color="auto"/>
        <w:bottom w:val="none" w:sz="0" w:space="0" w:color="auto"/>
        <w:right w:val="none" w:sz="0" w:space="0" w:color="auto"/>
      </w:divBdr>
    </w:div>
    <w:div w:id="14842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JournalArticle</b:SourceType>
    <b:Guid>{26F50476-E9B6-4A4B-BC23-206B262FA3C4}</b:Guid>
    <b:Author>
      <b:Author>
        <b:NameList>
          <b:Person>
            <b:Last>Herald</b:Last>
            <b:First>B</b:First>
          </b:Person>
        </b:NameList>
      </b:Author>
    </b:Author>
    <b:Title>New Tech Standard Aims to Ease Sharing Of Digital Roster Data.</b:Title>
    <b:JournalName>Education Week Volume 35 Issue 19</b:JournalName>
    <b:Year>2016</b:Year>
    <b:Pages>8</b:Pages>
    <b:RefOrder>2</b:RefOrder>
  </b:Source>
  <b:Source>
    <b:Tag>Reg19</b:Tag>
    <b:SourceType>JournalArticle</b:SourceType>
    <b:Guid>{F2785F70-1695-4B69-8E75-F4BE2A44C964}</b:Guid>
    <b:Author>
      <b:Author>
        <b:NameList>
          <b:Person>
            <b:Last>Regan</b:Last>
            <b:First>P</b:First>
          </b:Person>
          <b:Person>
            <b:Last>Jesse</b:Last>
            <b:First>J</b:First>
          </b:Person>
        </b:NameList>
      </b:Author>
    </b:Author>
    <b:Title>Ethical challenges of edtech, big data and personalized learning</b:Title>
    <b:JournalName>Ethics and Information Technology Volume 21</b:JournalName>
    <b:Year>2019</b:Year>
    <b:Pages>167-179</b:Pages>
    <b:RefOrder>3</b:RefOrder>
  </b:Source>
  <b:Source>
    <b:Tag>IMS19</b:Tag>
    <b:SourceType>InternetSite</b:SourceType>
    <b:Guid>{BBB52817-E84D-4959-B2D1-741AA8038B2C}</b:Guid>
    <b:Title>Introduction to OneRoster 1.1</b:Title>
    <b:Year>2019</b:Year>
    <b:Author>
      <b:Author>
        <b:Corporate>IMS</b:Corporate>
      </b:Author>
    </b:Author>
    <b:InternetSiteTitle>IMS Global</b:InternetSiteTitle>
    <b:Month>December</b:Month>
    <b:Day>14</b:Day>
    <b:URL>https://www.imsglobal.org/oneroster-11-introduction</b:URL>
    <b:RefOrder>1</b:RefOrder>
  </b:Source>
  <b:Source>
    <b:Tag>Pet16</b:Tag>
    <b:SourceType>JournalArticle</b:SourceType>
    <b:Guid>{1DA0BD7E-0BDB-4BFB-8844-3B8177974931}</b:Guid>
    <b:Title>EdTech and Student Privacy: California Law As a Model</b:Title>
    <b:Year>2016</b:Year>
    <b:Author>
      <b:Author>
        <b:NameList>
          <b:Person>
            <b:Last>Peterson</b:Last>
            <b:First>D</b:First>
          </b:Person>
        </b:NameList>
      </b:Author>
    </b:Author>
    <b:JournalName>Berkeley Technology Law Journal Volume 31</b:JournalName>
    <b:Pages>961-997</b:Pages>
    <b:RefOrder>4</b:RefOrder>
  </b:Source>
  <b:Source>
    <b:Tag>Cle19</b:Tag>
    <b:SourceType>InternetSite</b:SourceType>
    <b:Guid>{0FA54196-DDD9-4E1A-8771-60F352609D3F}</b:Guid>
    <b:Title>Clever Secure Sync</b:Title>
    <b:Year>2019</b:Year>
    <b:Author>
      <b:Author>
        <b:Corporate>Clever</b:Corporate>
      </b:Author>
    </b:Author>
    <b:InternetSiteTitle>Clever</b:InternetSiteTitle>
    <b:Month>December</b:Month>
    <b:URL>https://clever.com/products/rostering</b:URL>
    <b:RefOrder>6</b:RefOrder>
  </b:Source>
  <b:Source>
    <b:Tag>Cla18</b:Tag>
    <b:SourceType>InternetSite</b:SourceType>
    <b:Guid>{CA7A5CBE-94F0-401C-BFF2-52A17227783F}</b:Guid>
    <b:Author>
      <b:Author>
        <b:Corporate>ClassLink</b:Corporate>
      </b:Author>
    </b:Author>
    <b:Title>ClassLink OneSync</b:Title>
    <b:InternetSiteTitle>YouTube</b:InternetSiteTitle>
    <b:Year>2018</b:Year>
    <b:Month>May</b:Month>
    <b:Day>14</b:Day>
    <b:URL>https://www.youtube.com/watch?v=HdxfEgqaS-w</b:URL>
    <b:RefOrder>5</b:RefOrder>
  </b:Source>
</b:Sources>
</file>

<file path=customXml/itemProps1.xml><?xml version="1.0" encoding="utf-8"?>
<ds:datastoreItem xmlns:ds="http://schemas.openxmlformats.org/officeDocument/2006/customXml" ds:itemID="{5C017C5D-83D4-4EF3-831D-C78C09A3A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2019-12-15T03:41:00Z</dcterms:modified>
</cp:coreProperties>
</file>