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C92936"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46ABE79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w:t>
      </w:r>
      <w:proofErr w:type="gramStart"/>
      <w:r>
        <w:t>need</w:t>
      </w:r>
      <w:proofErr w:type="gramEnd"/>
      <w:r>
        <w:t xml:space="preserve"> to take place so that compensation strategies formed to remediate deficiencies across people (e.g., training), technology (e.g., tooling), organization structure (e.g., political resistance), process (e.g., governance), and data management (e.g., security and compliance).</w:t>
      </w:r>
      <w:r w:rsidR="002557CC">
        <w:t xml:space="preserve"> </w:t>
      </w:r>
      <w:bookmarkStart w:id="0" w:name="_GoBack"/>
      <w:bookmarkEnd w:id="0"/>
    </w:p>
    <w:p w14:paraId="4BE12476" w14:textId="77777777" w:rsidR="00A3716A" w:rsidRPr="002557CC" w:rsidRDefault="00A3716A" w:rsidP="00A3716A">
      <w:pPr>
        <w:ind w:firstLine="720"/>
      </w:pPr>
    </w:p>
    <w:p w14:paraId="02161C76" w14:textId="09790189" w:rsidR="007B76FF" w:rsidRDefault="007B76FF" w:rsidP="007B76FF">
      <w:pPr>
        <w:pStyle w:val="Heading2"/>
      </w:pPr>
      <w:r>
        <w:lastRenderedPageBreak/>
        <w:t>Relevance and Significance</w:t>
      </w:r>
    </w:p>
    <w:p w14:paraId="023C95C7" w14:textId="53D1EC56" w:rsidR="007B76FF" w:rsidRDefault="007B76FF" w:rsidP="007B76FF">
      <w:pPr>
        <w:pStyle w:val="Heading1"/>
      </w:pPr>
      <w:r>
        <w:t>Literature Review</w:t>
      </w:r>
    </w:p>
    <w:p w14:paraId="3764703E" w14:textId="77777777" w:rsidR="007B76FF" w:rsidRPr="007B76FF" w:rsidRDefault="007B76FF" w:rsidP="007B76FF"/>
    <w:sectPr w:rsidR="007B76FF" w:rsidRPr="007B76F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DD5D8" w14:textId="77777777" w:rsidR="00C92936" w:rsidRDefault="00C92936" w:rsidP="0082223F">
      <w:pPr>
        <w:spacing w:line="240" w:lineRule="auto"/>
      </w:pPr>
      <w:r>
        <w:separator/>
      </w:r>
    </w:p>
  </w:endnote>
  <w:endnote w:type="continuationSeparator" w:id="0">
    <w:p w14:paraId="7B87520F" w14:textId="77777777" w:rsidR="00C92936" w:rsidRDefault="00C9293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393B" w14:textId="77777777" w:rsidR="00C92936" w:rsidRDefault="00C92936" w:rsidP="0082223F">
      <w:pPr>
        <w:spacing w:line="240" w:lineRule="auto"/>
      </w:pPr>
      <w:r>
        <w:separator/>
      </w:r>
    </w:p>
  </w:footnote>
  <w:footnote w:type="continuationSeparator" w:id="0">
    <w:p w14:paraId="5D2F3EFC" w14:textId="77777777" w:rsidR="00C92936" w:rsidRDefault="00C9293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83597"/>
    <w:rsid w:val="002557CC"/>
    <w:rsid w:val="002806B7"/>
    <w:rsid w:val="00281CD3"/>
    <w:rsid w:val="003E254E"/>
    <w:rsid w:val="00401D65"/>
    <w:rsid w:val="004223E8"/>
    <w:rsid w:val="00430EF2"/>
    <w:rsid w:val="004A784B"/>
    <w:rsid w:val="005E6B02"/>
    <w:rsid w:val="0062614A"/>
    <w:rsid w:val="006B7D8D"/>
    <w:rsid w:val="0073677D"/>
    <w:rsid w:val="007B76FF"/>
    <w:rsid w:val="0082223F"/>
    <w:rsid w:val="008B5129"/>
    <w:rsid w:val="00A3716A"/>
    <w:rsid w:val="00C6482C"/>
    <w:rsid w:val="00C73692"/>
    <w:rsid w:val="00C92936"/>
    <w:rsid w:val="00C93BB7"/>
    <w:rsid w:val="00CB25E9"/>
    <w:rsid w:val="00D2583C"/>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s>
</file>

<file path=customXml/itemProps1.xml><?xml version="1.0" encoding="utf-8"?>
<ds:datastoreItem xmlns:ds="http://schemas.openxmlformats.org/officeDocument/2006/customXml" ds:itemID="{776C8B05-3C72-459D-BABD-98BAA22F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2020-01-19T18:02:00Z</dcterms:modified>
</cp:coreProperties>
</file>