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94C4" w14:textId="54A3B8A5" w:rsidR="00342974" w:rsidRPr="00A56FF1" w:rsidRDefault="00342974" w:rsidP="00A56FF1">
      <w:pPr>
        <w:pStyle w:val="Title"/>
      </w:pPr>
      <w:bookmarkStart w:id="0" w:name="_Hlk10469832"/>
      <w:r w:rsidRPr="00A56FF1">
        <w:t>Assess Discovery Risks</w:t>
      </w:r>
    </w:p>
    <w:p w14:paraId="72A35FF8" w14:textId="1B6052EC" w:rsidR="001313A8" w:rsidRPr="00A56FF1" w:rsidRDefault="00A56FF1" w:rsidP="00A56FF1">
      <w:pPr>
        <w:pStyle w:val="Title"/>
      </w:pPr>
      <w:r w:rsidRPr="00A56FF1">
        <w:t>Nate Bachmeier</w:t>
      </w:r>
    </w:p>
    <w:p w14:paraId="61D5A677" w14:textId="31C00AFC" w:rsidR="001313A8" w:rsidRPr="00A56FF1" w:rsidRDefault="001313A8" w:rsidP="00A56FF1">
      <w:pPr>
        <w:pStyle w:val="Title"/>
      </w:pPr>
      <w:r w:rsidRPr="00A56FF1">
        <w:t>TIM</w:t>
      </w:r>
      <w:r w:rsidR="00342974" w:rsidRPr="00A56FF1">
        <w:t>7030- Managing Risk, Security, &amp; Privacy in Information Systems</w:t>
      </w:r>
    </w:p>
    <w:bookmarkEnd w:id="0"/>
    <w:p w14:paraId="5830C81F" w14:textId="41393B83" w:rsidR="001313A8" w:rsidRPr="00A56FF1" w:rsidRDefault="00A56FF1" w:rsidP="00A56FF1">
      <w:pPr>
        <w:pStyle w:val="Title"/>
      </w:pPr>
      <w:r w:rsidRPr="00A56FF1">
        <w:t>June 7, 2020</w:t>
      </w:r>
    </w:p>
    <w:p w14:paraId="06ED225F" w14:textId="77777777" w:rsidR="001313A8" w:rsidRDefault="001313A8" w:rsidP="00A56FF1">
      <w:pPr>
        <w:sectPr w:rsidR="001313A8">
          <w:pgSz w:w="12240" w:h="15840"/>
          <w:pgMar w:top="1440" w:right="1440" w:bottom="1440" w:left="1440" w:header="720" w:footer="720" w:gutter="0"/>
          <w:cols w:space="720"/>
          <w:docGrid w:linePitch="360"/>
        </w:sectPr>
      </w:pPr>
    </w:p>
    <w:p w14:paraId="013B8452" w14:textId="02FBA18A" w:rsidR="00850072" w:rsidRDefault="00DB4B83" w:rsidP="00A56FF1">
      <w:r>
        <w:rPr>
          <w:noProof/>
        </w:rPr>
        <w:drawing>
          <wp:inline distT="0" distB="0" distL="0" distR="0" wp14:anchorId="20D9CC9C" wp14:editId="4FD79F52">
            <wp:extent cx="2743200" cy="102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023620"/>
                    </a:xfrm>
                    <a:prstGeom prst="rect">
                      <a:avLst/>
                    </a:prstGeom>
                    <a:noFill/>
                    <a:ln>
                      <a:noFill/>
                    </a:ln>
                  </pic:spPr>
                </pic:pic>
              </a:graphicData>
            </a:graphic>
          </wp:inline>
        </w:drawing>
      </w:r>
    </w:p>
    <w:p w14:paraId="6E1DB304" w14:textId="149C93C0" w:rsidR="00DD372B" w:rsidRDefault="00DD372B" w:rsidP="00A56FF1">
      <w:r>
        <w:t xml:space="preserve">The core objective of NCU Financial (NCUF) is to deliver on its mission of world-class banking services.  Meeting that expectation requires a corporate strategy that minimizes risks where possible, through mitigation or transference strategies.  When the business chooses to remove a vulnerability, that decision requires resources and detracts from the core mission.  The </w:t>
      </w:r>
      <w:r w:rsidR="00DB4B83">
        <w:t>c</w:t>
      </w:r>
      <w:r>
        <w:t xml:space="preserve">orporate </w:t>
      </w:r>
      <w:r w:rsidR="00DB4B83">
        <w:t>r</w:t>
      </w:r>
      <w:r>
        <w:t xml:space="preserve">isk </w:t>
      </w:r>
      <w:r w:rsidR="00DB4B83">
        <w:t>m</w:t>
      </w:r>
      <w:r>
        <w:t xml:space="preserve">anagement </w:t>
      </w:r>
      <w:r w:rsidR="00DB4B83">
        <w:t>p</w:t>
      </w:r>
      <w:r>
        <w:t>rogram needs to answer both ‘when and how’ to address these threats by operating on a feedback loop of assessing, prioritizing</w:t>
      </w:r>
      <w:r w:rsidR="00DB4B83">
        <w:t>,</w:t>
      </w:r>
      <w:r>
        <w:t xml:space="preserve"> and mitigating</w:t>
      </w:r>
      <w:r w:rsidR="00DB4B83">
        <w:t xml:space="preserve"> </w:t>
      </w:r>
      <w:r>
        <w:t>risks.</w:t>
      </w:r>
    </w:p>
    <w:p w14:paraId="65595FE0" w14:textId="5C7E6437" w:rsidR="00A56FF1" w:rsidRDefault="00DD372B" w:rsidP="00DD372B">
      <w:r>
        <w:t>Security assessments perform an audit of the people, processes, and products that are involved in a business workflow.  This analysis needs to assess the controls at integration points and whether they are appropriate protections for the resources.</w:t>
      </w:r>
    </w:p>
    <w:p w14:paraId="77D776FB" w14:textId="77777777" w:rsidR="00C54669" w:rsidRDefault="00C54669" w:rsidP="00DD372B"/>
    <w:p w14:paraId="47A70E6C" w14:textId="74FF8781" w:rsidR="00DD372B" w:rsidRDefault="00DD372B" w:rsidP="00DD372B">
      <w:pPr>
        <w:pStyle w:val="Heading1"/>
      </w:pPr>
      <w:r>
        <w:t>Regulatory Requirements</w:t>
      </w:r>
    </w:p>
    <w:p w14:paraId="75BD3399" w14:textId="2ED8F887" w:rsidR="00850072" w:rsidRDefault="00850072" w:rsidP="00850072">
      <w:r>
        <w:t>Financial institutions need to maintain the confidentiality, integrity, and availability of customer data.  When these expectations are not maintained, then it results in economic loss and public embarrassment for NCUF.  Various regulatory boards have established regulatory requirements to create a baseline of policy expectations.</w:t>
      </w:r>
    </w:p>
    <w:tbl>
      <w:tblPr>
        <w:tblStyle w:val="GridTable4"/>
        <w:tblW w:w="0" w:type="auto"/>
        <w:tblLook w:val="04A0" w:firstRow="1" w:lastRow="0" w:firstColumn="1" w:lastColumn="0" w:noHBand="0" w:noVBand="1"/>
      </w:tblPr>
      <w:tblGrid>
        <w:gridCol w:w="2155"/>
        <w:gridCol w:w="2155"/>
      </w:tblGrid>
      <w:tr w:rsidR="00850072" w14:paraId="2EC30240" w14:textId="77777777" w:rsidTr="00C54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2A668C" w14:textId="5893E051" w:rsidR="00850072" w:rsidRDefault="00850072" w:rsidP="00850072">
            <w:r>
              <w:t>Program</w:t>
            </w:r>
          </w:p>
        </w:tc>
        <w:tc>
          <w:tcPr>
            <w:tcW w:w="2155" w:type="dxa"/>
          </w:tcPr>
          <w:p w14:paraId="5EAD05C3" w14:textId="118FB700" w:rsidR="00850072" w:rsidRDefault="00850072" w:rsidP="00850072">
            <w:pPr>
              <w:cnfStyle w:val="100000000000" w:firstRow="1" w:lastRow="0" w:firstColumn="0" w:lastColumn="0" w:oddVBand="0" w:evenVBand="0" w:oddHBand="0" w:evenHBand="0" w:firstRowFirstColumn="0" w:firstRowLastColumn="0" w:lastRowFirstColumn="0" w:lastRowLastColumn="0"/>
            </w:pPr>
            <w:r>
              <w:t>Impact</w:t>
            </w:r>
          </w:p>
        </w:tc>
      </w:tr>
      <w:tr w:rsidR="00850072" w14:paraId="13E570BB" w14:textId="77777777" w:rsidTr="00C54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3A271F" w14:textId="6827EEEA" w:rsidR="00850072" w:rsidRPr="00C54669" w:rsidRDefault="00850072" w:rsidP="00850072">
            <w:pPr>
              <w:rPr>
                <w:b w:val="0"/>
                <w:bCs w:val="0"/>
              </w:rPr>
            </w:pPr>
            <w:r w:rsidRPr="00C54669">
              <w:rPr>
                <w:b w:val="0"/>
                <w:bCs w:val="0"/>
              </w:rPr>
              <w:t>Sarbanes Oxley Act (2002)</w:t>
            </w:r>
          </w:p>
        </w:tc>
        <w:tc>
          <w:tcPr>
            <w:tcW w:w="2155" w:type="dxa"/>
          </w:tcPr>
          <w:p w14:paraId="73FB89E1" w14:textId="38C6CEF1" w:rsidR="00850072" w:rsidRDefault="00850072" w:rsidP="00850072">
            <w:pPr>
              <w:cnfStyle w:val="000000100000" w:firstRow="0" w:lastRow="0" w:firstColumn="0" w:lastColumn="0" w:oddVBand="0" w:evenVBand="0" w:oddHBand="1" w:evenHBand="0" w:firstRowFirstColumn="0" w:firstRowLastColumn="0" w:lastRowFirstColumn="0" w:lastRowLastColumn="0"/>
            </w:pPr>
            <w:r>
              <w:t xml:space="preserve">Requires audit </w:t>
            </w:r>
            <w:proofErr w:type="gramStart"/>
            <w:r>
              <w:t>and  control</w:t>
            </w:r>
            <w:proofErr w:type="gramEnd"/>
            <w:r>
              <w:t xml:space="preserve"> systems</w:t>
            </w:r>
          </w:p>
        </w:tc>
      </w:tr>
      <w:tr w:rsidR="00850072" w14:paraId="3050E342" w14:textId="77777777" w:rsidTr="00C54669">
        <w:tc>
          <w:tcPr>
            <w:cnfStyle w:val="001000000000" w:firstRow="0" w:lastRow="0" w:firstColumn="1" w:lastColumn="0" w:oddVBand="0" w:evenVBand="0" w:oddHBand="0" w:evenHBand="0" w:firstRowFirstColumn="0" w:firstRowLastColumn="0" w:lastRowFirstColumn="0" w:lastRowLastColumn="0"/>
            <w:tcW w:w="2155" w:type="dxa"/>
          </w:tcPr>
          <w:p w14:paraId="6422704D" w14:textId="538D245F" w:rsidR="00850072" w:rsidRPr="00C54669" w:rsidRDefault="00850072" w:rsidP="00850072">
            <w:pPr>
              <w:rPr>
                <w:b w:val="0"/>
                <w:bCs w:val="0"/>
              </w:rPr>
            </w:pPr>
            <w:r w:rsidRPr="00C54669">
              <w:rPr>
                <w:b w:val="0"/>
                <w:bCs w:val="0"/>
              </w:rPr>
              <w:t>Payment Card Ind. Data Security Std (PCI)</w:t>
            </w:r>
          </w:p>
        </w:tc>
        <w:tc>
          <w:tcPr>
            <w:tcW w:w="2155" w:type="dxa"/>
          </w:tcPr>
          <w:p w14:paraId="183B26EC" w14:textId="29513985" w:rsidR="00850072" w:rsidRDefault="00850072" w:rsidP="00850072">
            <w:pPr>
              <w:cnfStyle w:val="000000000000" w:firstRow="0" w:lastRow="0" w:firstColumn="0" w:lastColumn="0" w:oddVBand="0" w:evenVBand="0" w:oddHBand="0" w:evenHBand="0" w:firstRowFirstColumn="0" w:firstRowLastColumn="0" w:lastRowFirstColumn="0" w:lastRowLastColumn="0"/>
            </w:pPr>
            <w:r>
              <w:t>Requires encryption and storage norms of financial data</w:t>
            </w:r>
          </w:p>
        </w:tc>
      </w:tr>
      <w:tr w:rsidR="00850072" w14:paraId="29BEB29B" w14:textId="77777777" w:rsidTr="00C54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2B254F" w14:textId="2CA98721" w:rsidR="00850072" w:rsidRPr="00C54669" w:rsidRDefault="00850072" w:rsidP="00850072">
            <w:pPr>
              <w:rPr>
                <w:b w:val="0"/>
                <w:bCs w:val="0"/>
              </w:rPr>
            </w:pPr>
            <w:r w:rsidRPr="00C54669">
              <w:rPr>
                <w:b w:val="0"/>
                <w:bCs w:val="0"/>
              </w:rPr>
              <w:t>Gen Data Protection Regulation Act (GDPR)</w:t>
            </w:r>
          </w:p>
        </w:tc>
        <w:tc>
          <w:tcPr>
            <w:tcW w:w="2155" w:type="dxa"/>
          </w:tcPr>
          <w:p w14:paraId="5443025E" w14:textId="34C3B4D7" w:rsidR="00850072" w:rsidRDefault="00850072" w:rsidP="00850072">
            <w:pPr>
              <w:cnfStyle w:val="000000100000" w:firstRow="0" w:lastRow="0" w:firstColumn="0" w:lastColumn="0" w:oddVBand="0" w:evenVBand="0" w:oddHBand="1" w:evenHBand="0" w:firstRowFirstColumn="0" w:firstRowLastColumn="0" w:lastRowFirstColumn="0" w:lastRowLastColumn="0"/>
            </w:pPr>
            <w:r>
              <w:t>Requires European customer data to reside in the EU</w:t>
            </w:r>
          </w:p>
        </w:tc>
      </w:tr>
    </w:tbl>
    <w:p w14:paraId="4D682C98" w14:textId="1B21F4CA" w:rsidR="00DD372B" w:rsidRDefault="00C54669" w:rsidP="00DD372B">
      <w:pPr>
        <w:pStyle w:val="Heading1"/>
      </w:pPr>
      <w:r>
        <w:br/>
      </w:r>
      <w:r w:rsidR="00DD372B">
        <w:t>Primary Risks</w:t>
      </w:r>
    </w:p>
    <w:p w14:paraId="07BFD86D" w14:textId="65DE808C" w:rsidR="00DB4B83" w:rsidRDefault="00DB4B83" w:rsidP="00850072">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p>
    <w:p w14:paraId="55BE4580" w14:textId="0198BA0E" w:rsidR="00C54669" w:rsidRPr="00850072" w:rsidRDefault="00C54669" w:rsidP="00C54669">
      <w:r>
        <w:t>It would be prohibitively expensive to mitigate all business risks, and this requires prioritization o</w:t>
      </w:r>
      <w:r w:rsidR="000E7436">
        <w:t>f</w:t>
      </w:r>
      <w:r>
        <w:t xml:space="preserve"> specific threats.  Explicitly accepted risk needs </w:t>
      </w:r>
      <w:r w:rsidR="009812B6">
        <w:t xml:space="preserve">minimization </w:t>
      </w:r>
      <w:r>
        <w:t xml:space="preserve">through </w:t>
      </w:r>
    </w:p>
    <w:p w14:paraId="69A51DAC" w14:textId="77777777" w:rsidR="00DB4B83" w:rsidRDefault="00DB4B83" w:rsidP="00DB4B83">
      <w:pPr>
        <w:pStyle w:val="Heading1"/>
      </w:pPr>
      <w:r>
        <w:t>Taxonomy of Risk</w:t>
      </w:r>
    </w:p>
    <w:p w14:paraId="7E704F02" w14:textId="77777777" w:rsidR="00DB4B83" w:rsidRDefault="00DB4B83" w:rsidP="00DB4B83">
      <w:r>
        <w:t>A taxonomy represents a hierarchical system for entity classification.  NCUF can use this approach to group related items together and then prioritize which the buckets to mitigate first.</w:t>
      </w:r>
    </w:p>
    <w:p w14:paraId="359405C6" w14:textId="77777777" w:rsidR="00DB4B83" w:rsidRDefault="00DB4B83" w:rsidP="00DB4B83">
      <w:r>
        <w:rPr>
          <w:noProof/>
        </w:rPr>
        <w:lastRenderedPageBreak/>
        <w:drawing>
          <wp:inline distT="0" distB="0" distL="0" distR="0" wp14:anchorId="0AAE5520" wp14:editId="5D045815">
            <wp:extent cx="27432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031875"/>
                    </a:xfrm>
                    <a:prstGeom prst="rect">
                      <a:avLst/>
                    </a:prstGeom>
                    <a:noFill/>
                    <a:ln>
                      <a:noFill/>
                    </a:ln>
                  </pic:spPr>
                </pic:pic>
              </a:graphicData>
            </a:graphic>
          </wp:inline>
        </w:drawing>
      </w:r>
    </w:p>
    <w:p w14:paraId="0F5F50BA" w14:textId="042B8CA0" w:rsidR="00DD372B" w:rsidRPr="00DD372B" w:rsidRDefault="00DD372B" w:rsidP="00DD372B">
      <w:pPr>
        <w:pStyle w:val="Heading1"/>
      </w:pPr>
      <w:r>
        <w:t>Requirements of Risk Assessment</w:t>
      </w:r>
    </w:p>
    <w:sectPr w:rsidR="00DD372B" w:rsidRPr="00DD372B" w:rsidSect="001313A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F6EC2"/>
    <w:multiLevelType w:val="hybridMultilevel"/>
    <w:tmpl w:val="C1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34494"/>
    <w:multiLevelType w:val="hybridMultilevel"/>
    <w:tmpl w:val="537A011E"/>
    <w:lvl w:ilvl="0" w:tplc="1A2EC516">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TA0NDY2MDE1NDRS0lEKTi0uzszPAykwqgUAhuIazCwAAAA="/>
  </w:docVars>
  <w:rsids>
    <w:rsidRoot w:val="001313A8"/>
    <w:rsid w:val="000E7436"/>
    <w:rsid w:val="001313A8"/>
    <w:rsid w:val="001913BF"/>
    <w:rsid w:val="0033010F"/>
    <w:rsid w:val="00342974"/>
    <w:rsid w:val="0074382D"/>
    <w:rsid w:val="00850072"/>
    <w:rsid w:val="009175F2"/>
    <w:rsid w:val="009812B6"/>
    <w:rsid w:val="00A56FF1"/>
    <w:rsid w:val="00C54669"/>
    <w:rsid w:val="00DB4B83"/>
    <w:rsid w:val="00DD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F1A"/>
  <w15:chartTrackingRefBased/>
  <w15:docId w15:val="{8C1BE962-31F3-42E1-B133-BC67D2FD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F1"/>
    <w:pPr>
      <w:spacing w:after="200" w:line="24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56FF1"/>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3A8"/>
    <w:rPr>
      <w:sz w:val="16"/>
      <w:szCs w:val="16"/>
    </w:rPr>
  </w:style>
  <w:style w:type="paragraph" w:styleId="CommentText">
    <w:name w:val="annotation text"/>
    <w:basedOn w:val="Normal"/>
    <w:link w:val="CommentTextChar"/>
    <w:uiPriority w:val="99"/>
    <w:unhideWhenUsed/>
    <w:rsid w:val="001313A8"/>
    <w:rPr>
      <w:sz w:val="20"/>
      <w:szCs w:val="20"/>
    </w:rPr>
  </w:style>
  <w:style w:type="character" w:customStyle="1" w:styleId="CommentTextChar">
    <w:name w:val="Comment Text Char"/>
    <w:basedOn w:val="DefaultParagraphFont"/>
    <w:link w:val="CommentText"/>
    <w:uiPriority w:val="99"/>
    <w:rsid w:val="001313A8"/>
    <w:rPr>
      <w:rFonts w:eastAsiaTheme="minorEastAsia"/>
      <w:sz w:val="20"/>
      <w:szCs w:val="20"/>
    </w:rPr>
  </w:style>
  <w:style w:type="paragraph" w:styleId="BalloonText">
    <w:name w:val="Balloon Text"/>
    <w:basedOn w:val="Normal"/>
    <w:link w:val="BalloonTextChar"/>
    <w:uiPriority w:val="99"/>
    <w:semiHidden/>
    <w:unhideWhenUsed/>
    <w:rsid w:val="001313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A8"/>
    <w:rPr>
      <w:rFonts w:ascii="Segoe UI" w:eastAsiaTheme="minorEastAsia" w:hAnsi="Segoe UI" w:cs="Segoe UI"/>
      <w:sz w:val="18"/>
      <w:szCs w:val="18"/>
    </w:rPr>
  </w:style>
  <w:style w:type="paragraph" w:styleId="ListParagraph">
    <w:name w:val="List Paragraph"/>
    <w:basedOn w:val="Normal"/>
    <w:uiPriority w:val="34"/>
    <w:qFormat/>
    <w:rsid w:val="001313A8"/>
    <w:pPr>
      <w:ind w:left="720"/>
      <w:contextualSpacing/>
    </w:pPr>
  </w:style>
  <w:style w:type="paragraph" w:styleId="Title">
    <w:name w:val="Title"/>
    <w:basedOn w:val="Normal"/>
    <w:next w:val="Normal"/>
    <w:link w:val="TitleChar"/>
    <w:uiPriority w:val="10"/>
    <w:qFormat/>
    <w:rsid w:val="00A56FF1"/>
    <w:pPr>
      <w:jc w:val="center"/>
    </w:pPr>
    <w:rPr>
      <w:b/>
      <w:bCs/>
    </w:rPr>
  </w:style>
  <w:style w:type="character" w:customStyle="1" w:styleId="TitleChar">
    <w:name w:val="Title Char"/>
    <w:basedOn w:val="DefaultParagraphFont"/>
    <w:link w:val="Title"/>
    <w:uiPriority w:val="10"/>
    <w:rsid w:val="00A56FF1"/>
    <w:rPr>
      <w:rFonts w:ascii="Times New Roman" w:eastAsiaTheme="minorEastAsia" w:hAnsi="Times New Roman" w:cs="Times New Roman"/>
      <w:b/>
      <w:bCs/>
      <w:sz w:val="24"/>
      <w:szCs w:val="24"/>
    </w:rPr>
  </w:style>
  <w:style w:type="character" w:customStyle="1" w:styleId="Heading1Char">
    <w:name w:val="Heading 1 Char"/>
    <w:basedOn w:val="DefaultParagraphFont"/>
    <w:link w:val="Heading1"/>
    <w:uiPriority w:val="9"/>
    <w:rsid w:val="00A56FF1"/>
    <w:rPr>
      <w:rFonts w:ascii="Times New Roman" w:eastAsiaTheme="minorEastAsia" w:hAnsi="Times New Roman" w:cs="Times New Roman"/>
      <w:b/>
      <w:bCs/>
      <w:sz w:val="24"/>
      <w:szCs w:val="24"/>
    </w:rPr>
  </w:style>
  <w:style w:type="table" w:styleId="TableGrid">
    <w:name w:val="Table Grid"/>
    <w:basedOn w:val="TableNormal"/>
    <w:uiPriority w:val="39"/>
    <w:rsid w:val="0085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46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022714">
      <w:bodyDiv w:val="1"/>
      <w:marLeft w:val="0"/>
      <w:marRight w:val="0"/>
      <w:marTop w:val="0"/>
      <w:marBottom w:val="0"/>
      <w:divBdr>
        <w:top w:val="none" w:sz="0" w:space="0" w:color="auto"/>
        <w:left w:val="none" w:sz="0" w:space="0" w:color="auto"/>
        <w:bottom w:val="none" w:sz="0" w:space="0" w:color="auto"/>
        <w:right w:val="none" w:sz="0" w:space="0" w:color="auto"/>
      </w:divBdr>
      <w:divsChild>
        <w:div w:id="1608196634">
          <w:marLeft w:val="547"/>
          <w:marRight w:val="0"/>
          <w:marTop w:val="0"/>
          <w:marBottom w:val="0"/>
          <w:divBdr>
            <w:top w:val="none" w:sz="0" w:space="0" w:color="auto"/>
            <w:left w:val="none" w:sz="0" w:space="0" w:color="auto"/>
            <w:bottom w:val="none" w:sz="0" w:space="0" w:color="auto"/>
            <w:right w:val="none" w:sz="0" w:space="0" w:color="auto"/>
          </w:divBdr>
        </w:div>
        <w:div w:id="1959146507">
          <w:marLeft w:val="1166"/>
          <w:marRight w:val="0"/>
          <w:marTop w:val="0"/>
          <w:marBottom w:val="0"/>
          <w:divBdr>
            <w:top w:val="none" w:sz="0" w:space="0" w:color="auto"/>
            <w:left w:val="none" w:sz="0" w:space="0" w:color="auto"/>
            <w:bottom w:val="none" w:sz="0" w:space="0" w:color="auto"/>
            <w:right w:val="none" w:sz="0" w:space="0" w:color="auto"/>
          </w:divBdr>
        </w:div>
        <w:div w:id="115565299">
          <w:marLeft w:val="1800"/>
          <w:marRight w:val="0"/>
          <w:marTop w:val="0"/>
          <w:marBottom w:val="0"/>
          <w:divBdr>
            <w:top w:val="none" w:sz="0" w:space="0" w:color="auto"/>
            <w:left w:val="none" w:sz="0" w:space="0" w:color="auto"/>
            <w:bottom w:val="none" w:sz="0" w:space="0" w:color="auto"/>
            <w:right w:val="none" w:sz="0" w:space="0" w:color="auto"/>
          </w:divBdr>
        </w:div>
        <w:div w:id="2057927181">
          <w:marLeft w:val="1800"/>
          <w:marRight w:val="0"/>
          <w:marTop w:val="0"/>
          <w:marBottom w:val="0"/>
          <w:divBdr>
            <w:top w:val="none" w:sz="0" w:space="0" w:color="auto"/>
            <w:left w:val="none" w:sz="0" w:space="0" w:color="auto"/>
            <w:bottom w:val="none" w:sz="0" w:space="0" w:color="auto"/>
            <w:right w:val="none" w:sz="0" w:space="0" w:color="auto"/>
          </w:divBdr>
        </w:div>
        <w:div w:id="742995714">
          <w:marLeft w:val="1166"/>
          <w:marRight w:val="0"/>
          <w:marTop w:val="0"/>
          <w:marBottom w:val="0"/>
          <w:divBdr>
            <w:top w:val="none" w:sz="0" w:space="0" w:color="auto"/>
            <w:left w:val="none" w:sz="0" w:space="0" w:color="auto"/>
            <w:bottom w:val="none" w:sz="0" w:space="0" w:color="auto"/>
            <w:right w:val="none" w:sz="0" w:space="0" w:color="auto"/>
          </w:divBdr>
        </w:div>
        <w:div w:id="1932737474">
          <w:marLeft w:val="1800"/>
          <w:marRight w:val="0"/>
          <w:marTop w:val="0"/>
          <w:marBottom w:val="0"/>
          <w:divBdr>
            <w:top w:val="none" w:sz="0" w:space="0" w:color="auto"/>
            <w:left w:val="none" w:sz="0" w:space="0" w:color="auto"/>
            <w:bottom w:val="none" w:sz="0" w:space="0" w:color="auto"/>
            <w:right w:val="none" w:sz="0" w:space="0" w:color="auto"/>
          </w:divBdr>
        </w:div>
        <w:div w:id="1698193398">
          <w:marLeft w:val="1800"/>
          <w:marRight w:val="0"/>
          <w:marTop w:val="0"/>
          <w:marBottom w:val="0"/>
          <w:divBdr>
            <w:top w:val="none" w:sz="0" w:space="0" w:color="auto"/>
            <w:left w:val="none" w:sz="0" w:space="0" w:color="auto"/>
            <w:bottom w:val="none" w:sz="0" w:space="0" w:color="auto"/>
            <w:right w:val="none" w:sz="0" w:space="0" w:color="auto"/>
          </w:divBdr>
        </w:div>
        <w:div w:id="2021001234">
          <w:marLeft w:val="1166"/>
          <w:marRight w:val="0"/>
          <w:marTop w:val="0"/>
          <w:marBottom w:val="0"/>
          <w:divBdr>
            <w:top w:val="none" w:sz="0" w:space="0" w:color="auto"/>
            <w:left w:val="none" w:sz="0" w:space="0" w:color="auto"/>
            <w:bottom w:val="none" w:sz="0" w:space="0" w:color="auto"/>
            <w:right w:val="none" w:sz="0" w:space="0" w:color="auto"/>
          </w:divBdr>
        </w:div>
        <w:div w:id="52629861">
          <w:marLeft w:val="1800"/>
          <w:marRight w:val="0"/>
          <w:marTop w:val="0"/>
          <w:marBottom w:val="0"/>
          <w:divBdr>
            <w:top w:val="none" w:sz="0" w:space="0" w:color="auto"/>
            <w:left w:val="none" w:sz="0" w:space="0" w:color="auto"/>
            <w:bottom w:val="none" w:sz="0" w:space="0" w:color="auto"/>
            <w:right w:val="none" w:sz="0" w:space="0" w:color="auto"/>
          </w:divBdr>
        </w:div>
        <w:div w:id="155661892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34</b:RefOrder>
  </b:Source>
</b:Sources>
</file>

<file path=customXml/itemProps1.xml><?xml version="1.0" encoding="utf-8"?>
<ds:datastoreItem xmlns:ds="http://schemas.openxmlformats.org/officeDocument/2006/customXml" ds:itemID="{0A44AD73-7F48-428F-847C-582EBC6F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Hdez</dc:creator>
  <cp:keywords/>
  <dc:description/>
  <cp:lastModifiedBy>Nate Bachmeier</cp:lastModifiedBy>
  <cp:revision>10</cp:revision>
  <dcterms:created xsi:type="dcterms:W3CDTF">2019-06-04T19:29:00Z</dcterms:created>
  <dcterms:modified xsi:type="dcterms:W3CDTF">2020-06-07T17:07:00Z</dcterms:modified>
</cp:coreProperties>
</file>