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E94C4" w14:textId="54A3B8A5" w:rsidR="00342974" w:rsidRPr="00A56FF1" w:rsidRDefault="00342974" w:rsidP="00A56FF1">
      <w:pPr>
        <w:pStyle w:val="Title"/>
      </w:pPr>
      <w:bookmarkStart w:id="0" w:name="_Hlk10469832"/>
      <w:r w:rsidRPr="00A56FF1">
        <w:t>Assess Discovery Risks</w:t>
      </w:r>
    </w:p>
    <w:p w14:paraId="72A35FF8" w14:textId="1B6052EC" w:rsidR="001313A8" w:rsidRPr="00A56FF1" w:rsidRDefault="00A56FF1" w:rsidP="00A56FF1">
      <w:pPr>
        <w:pStyle w:val="Title"/>
      </w:pPr>
      <w:r w:rsidRPr="00A56FF1">
        <w:t>Nate Bachmeier</w:t>
      </w:r>
    </w:p>
    <w:p w14:paraId="61D5A677" w14:textId="31C00AFC" w:rsidR="001313A8" w:rsidRPr="00A56FF1" w:rsidRDefault="001313A8" w:rsidP="00A56FF1">
      <w:pPr>
        <w:pStyle w:val="Title"/>
      </w:pPr>
      <w:r w:rsidRPr="00A56FF1">
        <w:t>TIM</w:t>
      </w:r>
      <w:r w:rsidR="00342974" w:rsidRPr="00A56FF1">
        <w:t>7030- Managing Risk, Security, &amp; Privacy in Information Systems</w:t>
      </w:r>
    </w:p>
    <w:bookmarkEnd w:id="0"/>
    <w:p w14:paraId="5830C81F" w14:textId="41393B83" w:rsidR="001313A8" w:rsidRPr="00A56FF1" w:rsidRDefault="00A56FF1" w:rsidP="00A56FF1">
      <w:pPr>
        <w:pStyle w:val="Title"/>
      </w:pPr>
      <w:r w:rsidRPr="00A56FF1">
        <w:t>June 7, 2020</w:t>
      </w:r>
    </w:p>
    <w:p w14:paraId="06ED225F" w14:textId="77777777" w:rsidR="001313A8" w:rsidRDefault="001313A8" w:rsidP="00A56FF1">
      <w:pPr>
        <w:sectPr w:rsidR="001313A8">
          <w:pgSz w:w="12240" w:h="15840"/>
          <w:pgMar w:top="1440" w:right="1440" w:bottom="1440" w:left="1440" w:header="720" w:footer="720" w:gutter="0"/>
          <w:cols w:space="720"/>
          <w:docGrid w:linePitch="360"/>
        </w:sectPr>
      </w:pPr>
    </w:p>
    <w:p w14:paraId="70D295B8" w14:textId="6A8387C2" w:rsidR="00E57D1A" w:rsidRDefault="00E57D1A" w:rsidP="00E57D1A">
      <w:pPr>
        <w:pStyle w:val="Heading1"/>
      </w:pPr>
      <w:r>
        <w:t>Introduction</w:t>
      </w:r>
    </w:p>
    <w:p w14:paraId="320E3CD0" w14:textId="0026CFAE" w:rsidR="008C3FC1" w:rsidRPr="008C3FC1" w:rsidRDefault="008C3FC1" w:rsidP="008C3FC1">
      <w:pPr>
        <w:jc w:val="center"/>
        <w:rPr>
          <w:rStyle w:val="SubtleEmphasis"/>
        </w:rPr>
      </w:pPr>
      <w:r>
        <w:rPr>
          <w:rStyle w:val="SubtleEmphasis"/>
        </w:rPr>
        <w:t>Figure 1: RMP Cycle</w:t>
      </w:r>
    </w:p>
    <w:p w14:paraId="013B8452" w14:textId="7DE41533" w:rsidR="00850072" w:rsidRDefault="00DB4B83" w:rsidP="008C3FC1">
      <w:pPr>
        <w:jc w:val="center"/>
      </w:pPr>
      <w:r>
        <w:rPr>
          <w:noProof/>
        </w:rPr>
        <w:drawing>
          <wp:inline distT="0" distB="0" distL="0" distR="0" wp14:anchorId="20D9CC9C" wp14:editId="5A54AFAB">
            <wp:extent cx="1917510" cy="715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6593" cy="745025"/>
                    </a:xfrm>
                    <a:prstGeom prst="rect">
                      <a:avLst/>
                    </a:prstGeom>
                    <a:noFill/>
                    <a:ln>
                      <a:noFill/>
                    </a:ln>
                  </pic:spPr>
                </pic:pic>
              </a:graphicData>
            </a:graphic>
          </wp:inline>
        </w:drawing>
      </w:r>
    </w:p>
    <w:p w14:paraId="6E1DB304" w14:textId="388F3F84" w:rsidR="00DD372B" w:rsidRDefault="00DD372B" w:rsidP="00A56FF1">
      <w:r>
        <w:t xml:space="preserve">The core objective of NCU Financial (NCUF) is to deliver on its mission of world-class banking services.  Meeting that expectation requires a corporate strategy that minimizes risks where possible, through mitigation or transference strategies.  When the business chooses to remove a vulnerability, that decision requires resources and detracts from the core mission.  The </w:t>
      </w:r>
      <w:r w:rsidR="00DB4B83">
        <w:t>c</w:t>
      </w:r>
      <w:r>
        <w:t xml:space="preserve">orporate </w:t>
      </w:r>
      <w:r w:rsidR="00DB4B83">
        <w:t>r</w:t>
      </w:r>
      <w:r>
        <w:t xml:space="preserve">isk </w:t>
      </w:r>
      <w:r w:rsidR="00DB4B83">
        <w:t>m</w:t>
      </w:r>
      <w:r>
        <w:t xml:space="preserve">anagement </w:t>
      </w:r>
      <w:r w:rsidR="00DB4B83">
        <w:t>p</w:t>
      </w:r>
      <w:r>
        <w:t>rogram</w:t>
      </w:r>
      <w:r w:rsidR="008C3FC1">
        <w:t xml:space="preserve"> (RMP)</w:t>
      </w:r>
      <w:r>
        <w:t xml:space="preserve"> needs to answer both ‘when and how’ to address these threats by operating on a feedback loop of assessing, prioritizing</w:t>
      </w:r>
      <w:r w:rsidR="00DB4B83">
        <w:t>,</w:t>
      </w:r>
      <w:r>
        <w:t xml:space="preserve"> and mitigating</w:t>
      </w:r>
      <w:r w:rsidR="00DB4B83">
        <w:t xml:space="preserve"> </w:t>
      </w:r>
      <w:r>
        <w:t>risks.</w:t>
      </w:r>
    </w:p>
    <w:p w14:paraId="32C3B381" w14:textId="77777777" w:rsidR="008C3FC1" w:rsidRPr="00DD372B" w:rsidRDefault="008C3FC1" w:rsidP="008C3FC1">
      <w:pPr>
        <w:pStyle w:val="Heading1"/>
      </w:pPr>
      <w:r>
        <w:t>Requirements of Risk Assessment</w:t>
      </w:r>
    </w:p>
    <w:p w14:paraId="7C88E821" w14:textId="14CC452B" w:rsidR="000E45E9" w:rsidRDefault="00DD372B" w:rsidP="00DD372B">
      <w:r>
        <w:t>Security assessments perform an audit of the people, processes, and products that are involved in a business workflow.  This analysis needs to assess the controls at integration points and whether they are appropriate protections for the resources.</w:t>
      </w:r>
      <w:r w:rsidR="000E45E9">
        <w:t xml:space="preserve"> Threat modeling is a formal process the enumerates these interactions and considers different spoofing, tampering, repudiation, disclosure, and elevation  (STRIDE) attacks</w:t>
      </w:r>
      <w:sdt>
        <w:sdtPr>
          <w:id w:val="901645939"/>
          <w:citation/>
        </w:sdtPr>
        <w:sdtContent>
          <w:r w:rsidR="000E45E9">
            <w:fldChar w:fldCharType="begin"/>
          </w:r>
          <w:r w:rsidR="000E45E9">
            <w:instrText xml:space="preserve"> CITATION Hen18 \l 1033 </w:instrText>
          </w:r>
          <w:r w:rsidR="000E45E9">
            <w:fldChar w:fldCharType="separate"/>
          </w:r>
          <w:r w:rsidR="000E45E9">
            <w:rPr>
              <w:noProof/>
            </w:rPr>
            <w:t xml:space="preserve"> (Hennig, 2018)</w:t>
          </w:r>
          <w:r w:rsidR="000E45E9">
            <w:fldChar w:fldCharType="end"/>
          </w:r>
        </w:sdtContent>
      </w:sdt>
      <w:r w:rsidR="000E45E9">
        <w:t>.</w:t>
      </w:r>
    </w:p>
    <w:p w14:paraId="67B397D0" w14:textId="77777777" w:rsidR="00E57D1A" w:rsidRDefault="00E57D1A" w:rsidP="00E57D1A">
      <w:pPr>
        <w:pStyle w:val="Heading1"/>
      </w:pPr>
      <w:r>
        <w:t>Primary Risks</w:t>
      </w:r>
    </w:p>
    <w:p w14:paraId="6FD403EA" w14:textId="77777777" w:rsidR="00E57D1A" w:rsidRDefault="00E57D1A" w:rsidP="00E57D1A">
      <w:proofErr w:type="spellStart"/>
      <w:r>
        <w:t>CyberSecurity</w:t>
      </w:r>
      <w:proofErr w:type="spellEnd"/>
      <w:r>
        <w:t xml:space="preserve"> refers to a collection of mechanisms and processes that constrain risk </w:t>
      </w:r>
      <w:r>
        <w:t>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p>
    <w:p w14:paraId="436CEB28" w14:textId="77777777" w:rsidR="00E600D2" w:rsidRDefault="00E57D1A" w:rsidP="00E57D1A">
      <w:r>
        <w:t>Nearly half of security incidents come from negligence, a quarter from external actors, and the remainder from technical glitches</w:t>
      </w:r>
      <w:r w:rsidRPr="00E57D1A">
        <w:t xml:space="preserve"> </w:t>
      </w:r>
      <w:sdt>
        <w:sdtPr>
          <w:id w:val="1569614785"/>
          <w:citation/>
        </w:sdtPr>
        <w:sdtContent>
          <w:r>
            <w:fldChar w:fldCharType="begin"/>
          </w:r>
          <w:r>
            <w:instrText xml:space="preserve">CITATION Val17 \l 1033 </w:instrText>
          </w:r>
          <w:r>
            <w:fldChar w:fldCharType="separate"/>
          </w:r>
          <w:r>
            <w:rPr>
              <w:noProof/>
            </w:rPr>
            <w:t>(Valiente, 2017)</w:t>
          </w:r>
          <w:r>
            <w:fldChar w:fldCharType="end"/>
          </w:r>
        </w:sdtContent>
      </w:sdt>
      <w:r>
        <w:t>.  These statistics highlight the criticality of starting with controls that limit the blast radius of human errors.  NCUF is always one lousy SQL command away from executing a disaster recovery process.</w:t>
      </w:r>
      <w:r w:rsidR="00E600D2">
        <w:t xml:space="preserve"> </w:t>
      </w:r>
    </w:p>
    <w:p w14:paraId="1128410A" w14:textId="0290AF41" w:rsidR="00E57D1A" w:rsidRDefault="00E600D2" w:rsidP="00E57D1A">
      <w:r>
        <w:t>External actors attack the organization with vulnerability scanners, phishing scams, denial of service (DoS), and malware</w:t>
      </w:r>
      <w:r w:rsidRPr="00E600D2">
        <w:t xml:space="preserve"> </w:t>
      </w:r>
      <w:sdt>
        <w:sdtPr>
          <w:id w:val="-2059923441"/>
          <w:citation/>
        </w:sdtPr>
        <w:sdtContent>
          <w:r>
            <w:fldChar w:fldCharType="begin"/>
          </w:r>
          <w:r>
            <w:instrText xml:space="preserve">CITATION Lee17 \l 1033 </w:instrText>
          </w:r>
          <w:r>
            <w:fldChar w:fldCharType="separate"/>
          </w:r>
          <w:r>
            <w:rPr>
              <w:noProof/>
            </w:rPr>
            <w:t xml:space="preserve"> (Lee, Moon, &amp; Park, 2017)</w:t>
          </w:r>
          <w:r>
            <w:fldChar w:fldCharType="end"/>
          </w:r>
        </w:sdtContent>
      </w:sdt>
      <w:r>
        <w:t>.  These strategies tend to be highly automated, with costs disproportional skewed toward the defender.</w:t>
      </w:r>
    </w:p>
    <w:p w14:paraId="039FF422" w14:textId="351E1948" w:rsidR="00E600D2" w:rsidRDefault="00E600D2" w:rsidP="00E57D1A">
      <w:r>
        <w:t>The misconfiguration of service policy can result in security incidents like outages or device compromise.  Administrating network topologies are highly complex dynamic environments.  Without automation, failures will eventually creep in.</w:t>
      </w:r>
    </w:p>
    <w:p w14:paraId="47A70E6C" w14:textId="74FF8781" w:rsidR="00DD372B" w:rsidRDefault="00DD372B" w:rsidP="00DD372B">
      <w:pPr>
        <w:pStyle w:val="Heading1"/>
      </w:pPr>
      <w:r>
        <w:t>Regulatory Requirements</w:t>
      </w:r>
    </w:p>
    <w:p w14:paraId="75BD3399" w14:textId="533BE6C4" w:rsidR="00850072" w:rsidRDefault="00850072" w:rsidP="00850072">
      <w:r>
        <w:t>Financial institutions need to maintain the confidentiality, integrity, and availability of customer data.  When these expectations are not maintained, then it results in economic loss and public embarrassment for NCUF.  Various regulatory boards have established regulatory requirements to create a baseline of policy expectations.</w:t>
      </w:r>
    </w:p>
    <w:p w14:paraId="3C10D6C7" w14:textId="0B2B8618" w:rsidR="008C3FC1" w:rsidRPr="008C3FC1" w:rsidRDefault="008C3FC1" w:rsidP="008C3FC1">
      <w:pPr>
        <w:jc w:val="center"/>
        <w:rPr>
          <w:rStyle w:val="SubtleEmphasis"/>
        </w:rPr>
      </w:pPr>
      <w:r w:rsidRPr="008C3FC1">
        <w:rPr>
          <w:rStyle w:val="SubtleEmphasis"/>
        </w:rPr>
        <w:lastRenderedPageBreak/>
        <w:t>Table 1: Regulations</w:t>
      </w:r>
    </w:p>
    <w:tbl>
      <w:tblPr>
        <w:tblStyle w:val="GridTable4"/>
        <w:tblW w:w="0" w:type="auto"/>
        <w:tblLook w:val="04A0" w:firstRow="1" w:lastRow="0" w:firstColumn="1" w:lastColumn="0" w:noHBand="0" w:noVBand="1"/>
      </w:tblPr>
      <w:tblGrid>
        <w:gridCol w:w="2155"/>
        <w:gridCol w:w="2155"/>
      </w:tblGrid>
      <w:tr w:rsidR="00850072" w14:paraId="2EC30240" w14:textId="77777777" w:rsidTr="00C54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2A668C" w14:textId="5893E051" w:rsidR="00850072" w:rsidRDefault="00850072" w:rsidP="00850072">
            <w:r>
              <w:t>Program</w:t>
            </w:r>
          </w:p>
        </w:tc>
        <w:tc>
          <w:tcPr>
            <w:tcW w:w="2155" w:type="dxa"/>
          </w:tcPr>
          <w:p w14:paraId="5EAD05C3" w14:textId="118FB700" w:rsidR="00850072" w:rsidRDefault="00850072" w:rsidP="00850072">
            <w:pPr>
              <w:cnfStyle w:val="100000000000" w:firstRow="1" w:lastRow="0" w:firstColumn="0" w:lastColumn="0" w:oddVBand="0" w:evenVBand="0" w:oddHBand="0" w:evenHBand="0" w:firstRowFirstColumn="0" w:firstRowLastColumn="0" w:lastRowFirstColumn="0" w:lastRowLastColumn="0"/>
            </w:pPr>
            <w:r>
              <w:t>Impact</w:t>
            </w:r>
          </w:p>
        </w:tc>
      </w:tr>
      <w:tr w:rsidR="00850072" w14:paraId="13E570BB" w14:textId="77777777" w:rsidTr="00C54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A3A271F" w14:textId="6827EEEA" w:rsidR="00850072" w:rsidRPr="00C54669" w:rsidRDefault="00850072" w:rsidP="00850072">
            <w:pPr>
              <w:rPr>
                <w:b w:val="0"/>
                <w:bCs w:val="0"/>
              </w:rPr>
            </w:pPr>
            <w:r w:rsidRPr="00C54669">
              <w:rPr>
                <w:b w:val="0"/>
                <w:bCs w:val="0"/>
              </w:rPr>
              <w:t>Sarbanes Oxley Act (2002)</w:t>
            </w:r>
          </w:p>
        </w:tc>
        <w:tc>
          <w:tcPr>
            <w:tcW w:w="2155" w:type="dxa"/>
          </w:tcPr>
          <w:p w14:paraId="73FB89E1" w14:textId="38C6CEF1" w:rsidR="00850072" w:rsidRDefault="00850072" w:rsidP="00850072">
            <w:pPr>
              <w:cnfStyle w:val="000000100000" w:firstRow="0" w:lastRow="0" w:firstColumn="0" w:lastColumn="0" w:oddVBand="0" w:evenVBand="0" w:oddHBand="1" w:evenHBand="0" w:firstRowFirstColumn="0" w:firstRowLastColumn="0" w:lastRowFirstColumn="0" w:lastRowLastColumn="0"/>
            </w:pPr>
            <w:r>
              <w:t xml:space="preserve">Requires audit </w:t>
            </w:r>
            <w:proofErr w:type="gramStart"/>
            <w:r>
              <w:t>and  control</w:t>
            </w:r>
            <w:proofErr w:type="gramEnd"/>
            <w:r>
              <w:t xml:space="preserve"> systems</w:t>
            </w:r>
          </w:p>
        </w:tc>
      </w:tr>
      <w:tr w:rsidR="00850072" w14:paraId="3050E342" w14:textId="77777777" w:rsidTr="00C54669">
        <w:tc>
          <w:tcPr>
            <w:cnfStyle w:val="001000000000" w:firstRow="0" w:lastRow="0" w:firstColumn="1" w:lastColumn="0" w:oddVBand="0" w:evenVBand="0" w:oddHBand="0" w:evenHBand="0" w:firstRowFirstColumn="0" w:firstRowLastColumn="0" w:lastRowFirstColumn="0" w:lastRowLastColumn="0"/>
            <w:tcW w:w="2155" w:type="dxa"/>
          </w:tcPr>
          <w:p w14:paraId="6422704D" w14:textId="538D245F" w:rsidR="00850072" w:rsidRPr="00C54669" w:rsidRDefault="00850072" w:rsidP="00850072">
            <w:pPr>
              <w:rPr>
                <w:b w:val="0"/>
                <w:bCs w:val="0"/>
              </w:rPr>
            </w:pPr>
            <w:r w:rsidRPr="00C54669">
              <w:rPr>
                <w:b w:val="0"/>
                <w:bCs w:val="0"/>
              </w:rPr>
              <w:t>Payment Card Ind. Data Security Std (PCI)</w:t>
            </w:r>
          </w:p>
        </w:tc>
        <w:tc>
          <w:tcPr>
            <w:tcW w:w="2155" w:type="dxa"/>
          </w:tcPr>
          <w:p w14:paraId="183B26EC" w14:textId="29513985" w:rsidR="00850072" w:rsidRDefault="00850072" w:rsidP="00850072">
            <w:pPr>
              <w:cnfStyle w:val="000000000000" w:firstRow="0" w:lastRow="0" w:firstColumn="0" w:lastColumn="0" w:oddVBand="0" w:evenVBand="0" w:oddHBand="0" w:evenHBand="0" w:firstRowFirstColumn="0" w:firstRowLastColumn="0" w:lastRowFirstColumn="0" w:lastRowLastColumn="0"/>
            </w:pPr>
            <w:r>
              <w:t>Requires encryption and storage norms of financial data</w:t>
            </w:r>
          </w:p>
        </w:tc>
      </w:tr>
      <w:tr w:rsidR="00850072" w14:paraId="29BEB29B" w14:textId="77777777" w:rsidTr="00C54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2B254F" w14:textId="2CA98721" w:rsidR="00850072" w:rsidRPr="00C54669" w:rsidRDefault="00850072" w:rsidP="00850072">
            <w:pPr>
              <w:rPr>
                <w:b w:val="0"/>
                <w:bCs w:val="0"/>
              </w:rPr>
            </w:pPr>
            <w:r w:rsidRPr="00C54669">
              <w:rPr>
                <w:b w:val="0"/>
                <w:bCs w:val="0"/>
              </w:rPr>
              <w:t>Gen Data Protection Regulation Act (GDPR)</w:t>
            </w:r>
          </w:p>
        </w:tc>
        <w:tc>
          <w:tcPr>
            <w:tcW w:w="2155" w:type="dxa"/>
          </w:tcPr>
          <w:p w14:paraId="5443025E" w14:textId="34C3B4D7" w:rsidR="00850072" w:rsidRDefault="00850072" w:rsidP="00850072">
            <w:pPr>
              <w:cnfStyle w:val="000000100000" w:firstRow="0" w:lastRow="0" w:firstColumn="0" w:lastColumn="0" w:oddVBand="0" w:evenVBand="0" w:oddHBand="1" w:evenHBand="0" w:firstRowFirstColumn="0" w:firstRowLastColumn="0" w:lastRowFirstColumn="0" w:lastRowLastColumn="0"/>
            </w:pPr>
            <w:r>
              <w:t>Requires European customer data to reside in the EU</w:t>
            </w:r>
          </w:p>
        </w:tc>
      </w:tr>
    </w:tbl>
    <w:p w14:paraId="324E5960" w14:textId="3EEB6BCA" w:rsidR="00E57D1A" w:rsidRDefault="00E57D1A" w:rsidP="00E57D1A">
      <w:pPr>
        <w:pStyle w:val="Heading1"/>
      </w:pPr>
      <w:r>
        <w:t>Taxonomy of Risk</w:t>
      </w:r>
    </w:p>
    <w:p w14:paraId="6892FBD2" w14:textId="525305AC" w:rsidR="008C3FC1" w:rsidRPr="008C3FC1" w:rsidRDefault="008C3FC1" w:rsidP="008C3FC1">
      <w:pPr>
        <w:jc w:val="center"/>
        <w:rPr>
          <w:rStyle w:val="SubtleEmphasis"/>
        </w:rPr>
      </w:pPr>
      <w:r>
        <w:rPr>
          <w:rStyle w:val="SubtleEmphasis"/>
        </w:rPr>
        <w:t>Figure 2: Taxonomy</w:t>
      </w:r>
    </w:p>
    <w:p w14:paraId="02C77A44" w14:textId="5AD932CB" w:rsidR="00E57D1A" w:rsidRDefault="00E57D1A" w:rsidP="00E57D1A">
      <w:r>
        <w:rPr>
          <w:noProof/>
        </w:rPr>
        <w:drawing>
          <wp:inline distT="0" distB="0" distL="0" distR="0" wp14:anchorId="7D19F30D" wp14:editId="14E6FC1A">
            <wp:extent cx="2743200" cy="103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031875"/>
                    </a:xfrm>
                    <a:prstGeom prst="rect">
                      <a:avLst/>
                    </a:prstGeom>
                    <a:noFill/>
                    <a:ln>
                      <a:noFill/>
                    </a:ln>
                  </pic:spPr>
                </pic:pic>
              </a:graphicData>
            </a:graphic>
          </wp:inline>
        </w:drawing>
      </w:r>
    </w:p>
    <w:p w14:paraId="23E75317" w14:textId="2173C5ED" w:rsidR="00E57D1A" w:rsidRDefault="006A3D5D" w:rsidP="00E57D1A">
      <w:r>
        <w:t>A taxonomy represents a hierarchical system for entity classification.  NCUF can use this approach to group related items together and then prioritize which the buckets to tackle first.</w:t>
      </w:r>
      <w:r w:rsidR="00D55444">
        <w:t xml:space="preserve">  </w:t>
      </w:r>
      <w:r w:rsidR="00E57D1A">
        <w:t>It would be prohibitively expensive to mitigate all business risks entirely. Vulnerabilities exist at the intersection of system sus</w:t>
      </w:r>
      <w:r w:rsidR="00E57D1A">
        <w:t>cep</w:t>
      </w:r>
      <w:r w:rsidR="00E57D1A">
        <w:t>tibility, threat accessibility, and actor capability</w:t>
      </w:r>
      <w:r w:rsidR="00E57D1A" w:rsidRPr="00E57D1A">
        <w:t xml:space="preserve"> </w:t>
      </w:r>
      <w:sdt>
        <w:sdtPr>
          <w:id w:val="-1120222829"/>
          <w:citation/>
        </w:sdtPr>
        <w:sdtContent>
          <w:r w:rsidR="00E57D1A">
            <w:fldChar w:fldCharType="begin"/>
          </w:r>
          <w:r w:rsidR="00E600D2">
            <w:instrText xml:space="preserve">CITATION Bas181 \l 1033 </w:instrText>
          </w:r>
          <w:r w:rsidR="00E57D1A">
            <w:fldChar w:fldCharType="separate"/>
          </w:r>
          <w:r w:rsidR="00E600D2">
            <w:rPr>
              <w:noProof/>
            </w:rPr>
            <w:t>(Baskerville, Rowe, &amp; Wolff, 2018)</w:t>
          </w:r>
          <w:r w:rsidR="00E57D1A">
            <w:fldChar w:fldCharType="end"/>
          </w:r>
        </w:sdtContent>
      </w:sdt>
      <w:r w:rsidR="00E57D1A">
        <w:t>.  Often removing one of these facets is more economical than the other.</w:t>
      </w:r>
    </w:p>
    <w:p w14:paraId="717CD875" w14:textId="02DC878C" w:rsidR="00D55444" w:rsidRDefault="00D55444" w:rsidP="00D55444">
      <w:pPr>
        <w:pStyle w:val="Heading1"/>
      </w:pPr>
      <w:r>
        <w:t>Collusion and Segregating of Duties (</w:t>
      </w:r>
      <w:proofErr w:type="spellStart"/>
      <w:r>
        <w:t>SoD</w:t>
      </w:r>
      <w:proofErr w:type="spellEnd"/>
      <w:r>
        <w:t>)</w:t>
      </w:r>
    </w:p>
    <w:p w14:paraId="7028143E" w14:textId="20A7E7F1" w:rsidR="00D55444" w:rsidRDefault="00D55444" w:rsidP="00D55444">
      <w:r>
        <w:t xml:space="preserve">The objective of </w:t>
      </w:r>
      <w:proofErr w:type="spellStart"/>
      <w:r>
        <w:t>SoD</w:t>
      </w:r>
      <w:proofErr w:type="spellEnd"/>
      <w:r>
        <w:t xml:space="preserve"> is to remove single points of failure from the organizational hierarchy.  For instance, if an employee can purchase equipment and audit the inventory, then they could be tempted to make false invoices and embezzle the funds.  NCUF minimizes this scenario by assigning these roles to different employees.  However, there is also a risk that these different team </w:t>
      </w:r>
      <w:r>
        <w:t>members join forces, through collusion, to sidestep the protections.  The business can only hire a finite staff.</w:t>
      </w:r>
    </w:p>
    <w:p w14:paraId="23C80FC7" w14:textId="0CFD3D51" w:rsidR="008C3FC1" w:rsidRDefault="008C3FC1" w:rsidP="00D55444">
      <w:r>
        <w:t xml:space="preserve">One potential solution is to convert the problem into a game of </w:t>
      </w:r>
      <w:proofErr w:type="spellStart"/>
      <w:r>
        <w:t>Sodoku</w:t>
      </w:r>
      <w:proofErr w:type="spellEnd"/>
      <w:r>
        <w:t xml:space="preserve">.  In </w:t>
      </w:r>
      <w:proofErr w:type="spellStart"/>
      <w:r>
        <w:t>Sodoku</w:t>
      </w:r>
      <w:proofErr w:type="spellEnd"/>
      <w:r>
        <w:t xml:space="preserve">, there are </w:t>
      </w:r>
      <w:proofErr w:type="spellStart"/>
      <w:r>
        <w:t>NxM</w:t>
      </w:r>
      <w:proofErr w:type="spellEnd"/>
      <w:r>
        <w:t xml:space="preserve"> cells, with each and row containing a value exactly once.  Similarly, role assignments can cross validate such as Figure 3.  Alice is a manager in IT that audits the finance.  She has little incentive to collude with the primary users Charlie because Bob their interactions and needs to be consulted for purchases.  Meanwhile, Bob is a manager in the HR department and will be audited by Charlie.</w:t>
      </w:r>
    </w:p>
    <w:p w14:paraId="22AE6F11" w14:textId="45F901CF" w:rsidR="008C3FC1" w:rsidRPr="008C3FC1" w:rsidRDefault="008C3FC1" w:rsidP="008C3FC1">
      <w:pPr>
        <w:jc w:val="center"/>
        <w:rPr>
          <w:rStyle w:val="SubtleEmphasis"/>
        </w:rPr>
      </w:pPr>
      <w:r>
        <w:rPr>
          <w:rStyle w:val="SubtleEmphasis"/>
        </w:rPr>
        <w:t xml:space="preserve">Figure 3: Minimizing Collusion &amp; </w:t>
      </w:r>
      <w:proofErr w:type="spellStart"/>
      <w:r>
        <w:rPr>
          <w:rStyle w:val="SubtleEmphasis"/>
        </w:rPr>
        <w:t>SoD</w:t>
      </w:r>
      <w:proofErr w:type="spellEnd"/>
    </w:p>
    <w:p w14:paraId="6479C3F8" w14:textId="6D604E72" w:rsidR="008C3FC1" w:rsidRDefault="008C3FC1" w:rsidP="008C3FC1">
      <w:pPr>
        <w:jc w:val="center"/>
      </w:pPr>
      <w:r>
        <w:rPr>
          <w:noProof/>
        </w:rPr>
        <w:drawing>
          <wp:inline distT="0" distB="0" distL="0" distR="0" wp14:anchorId="7F47848D" wp14:editId="029F9675">
            <wp:extent cx="1781033" cy="13106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1497" cy="1369838"/>
                    </a:xfrm>
                    <a:prstGeom prst="rect">
                      <a:avLst/>
                    </a:prstGeom>
                  </pic:spPr>
                </pic:pic>
              </a:graphicData>
            </a:graphic>
          </wp:inline>
        </w:drawing>
      </w:r>
    </w:p>
    <w:p w14:paraId="1DB7EBE1" w14:textId="412EE25F" w:rsidR="008C3FC1" w:rsidRPr="008C3FC1" w:rsidRDefault="008C3FC1" w:rsidP="008C3FC1">
      <w:pPr>
        <w:pStyle w:val="Heading1"/>
      </w:pPr>
      <w:r>
        <w:t>Misconfiguration and Compromise</w:t>
      </w:r>
    </w:p>
    <w:p w14:paraId="42BD1A34" w14:textId="77777777" w:rsidR="008C3FC1" w:rsidRPr="00D55444" w:rsidRDefault="008C3FC1" w:rsidP="008C3FC1"/>
    <w:sectPr w:rsidR="008C3FC1" w:rsidRPr="00D55444" w:rsidSect="001313A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F6EC2"/>
    <w:multiLevelType w:val="hybridMultilevel"/>
    <w:tmpl w:val="C11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34494"/>
    <w:multiLevelType w:val="hybridMultilevel"/>
    <w:tmpl w:val="537A011E"/>
    <w:lvl w:ilvl="0" w:tplc="1A2EC516">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NTA0NDY2MDE1NDRS0lEKTi0uzszPAykwqgUAhuIazCwAAAA="/>
  </w:docVars>
  <w:rsids>
    <w:rsidRoot w:val="001313A8"/>
    <w:rsid w:val="000E45E9"/>
    <w:rsid w:val="000E7436"/>
    <w:rsid w:val="001313A8"/>
    <w:rsid w:val="001913BF"/>
    <w:rsid w:val="00261482"/>
    <w:rsid w:val="0033010F"/>
    <w:rsid w:val="00342974"/>
    <w:rsid w:val="006A3D5D"/>
    <w:rsid w:val="0074382D"/>
    <w:rsid w:val="00850072"/>
    <w:rsid w:val="008C3FC1"/>
    <w:rsid w:val="009175F2"/>
    <w:rsid w:val="009812B6"/>
    <w:rsid w:val="009F3065"/>
    <w:rsid w:val="00A56FF1"/>
    <w:rsid w:val="00C54669"/>
    <w:rsid w:val="00D55444"/>
    <w:rsid w:val="00DB4B83"/>
    <w:rsid w:val="00DD372B"/>
    <w:rsid w:val="00E57D1A"/>
    <w:rsid w:val="00E6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EF1A"/>
  <w15:chartTrackingRefBased/>
  <w15:docId w15:val="{8C1BE962-31F3-42E1-B133-BC67D2FD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FF1"/>
    <w:pPr>
      <w:spacing w:after="200" w:line="240" w:lineRule="auto"/>
      <w:jc w:val="both"/>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A56FF1"/>
    <w:pP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3A8"/>
    <w:rPr>
      <w:sz w:val="16"/>
      <w:szCs w:val="16"/>
    </w:rPr>
  </w:style>
  <w:style w:type="paragraph" w:styleId="CommentText">
    <w:name w:val="annotation text"/>
    <w:basedOn w:val="Normal"/>
    <w:link w:val="CommentTextChar"/>
    <w:uiPriority w:val="99"/>
    <w:unhideWhenUsed/>
    <w:rsid w:val="001313A8"/>
    <w:rPr>
      <w:sz w:val="20"/>
      <w:szCs w:val="20"/>
    </w:rPr>
  </w:style>
  <w:style w:type="character" w:customStyle="1" w:styleId="CommentTextChar">
    <w:name w:val="Comment Text Char"/>
    <w:basedOn w:val="DefaultParagraphFont"/>
    <w:link w:val="CommentText"/>
    <w:uiPriority w:val="99"/>
    <w:rsid w:val="001313A8"/>
    <w:rPr>
      <w:rFonts w:eastAsiaTheme="minorEastAsia"/>
      <w:sz w:val="20"/>
      <w:szCs w:val="20"/>
    </w:rPr>
  </w:style>
  <w:style w:type="paragraph" w:styleId="BalloonText">
    <w:name w:val="Balloon Text"/>
    <w:basedOn w:val="Normal"/>
    <w:link w:val="BalloonTextChar"/>
    <w:uiPriority w:val="99"/>
    <w:semiHidden/>
    <w:unhideWhenUsed/>
    <w:rsid w:val="001313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A8"/>
    <w:rPr>
      <w:rFonts w:ascii="Segoe UI" w:eastAsiaTheme="minorEastAsia" w:hAnsi="Segoe UI" w:cs="Segoe UI"/>
      <w:sz w:val="18"/>
      <w:szCs w:val="18"/>
    </w:rPr>
  </w:style>
  <w:style w:type="paragraph" w:styleId="ListParagraph">
    <w:name w:val="List Paragraph"/>
    <w:basedOn w:val="Normal"/>
    <w:uiPriority w:val="34"/>
    <w:qFormat/>
    <w:rsid w:val="001313A8"/>
    <w:pPr>
      <w:ind w:left="720"/>
      <w:contextualSpacing/>
    </w:pPr>
  </w:style>
  <w:style w:type="paragraph" w:styleId="Title">
    <w:name w:val="Title"/>
    <w:basedOn w:val="Normal"/>
    <w:next w:val="Normal"/>
    <w:link w:val="TitleChar"/>
    <w:uiPriority w:val="10"/>
    <w:qFormat/>
    <w:rsid w:val="00A56FF1"/>
    <w:pPr>
      <w:jc w:val="center"/>
    </w:pPr>
    <w:rPr>
      <w:b/>
      <w:bCs/>
    </w:rPr>
  </w:style>
  <w:style w:type="character" w:customStyle="1" w:styleId="TitleChar">
    <w:name w:val="Title Char"/>
    <w:basedOn w:val="DefaultParagraphFont"/>
    <w:link w:val="Title"/>
    <w:uiPriority w:val="10"/>
    <w:rsid w:val="00A56FF1"/>
    <w:rPr>
      <w:rFonts w:ascii="Times New Roman" w:eastAsiaTheme="minorEastAsia" w:hAnsi="Times New Roman" w:cs="Times New Roman"/>
      <w:b/>
      <w:bCs/>
      <w:sz w:val="24"/>
      <w:szCs w:val="24"/>
    </w:rPr>
  </w:style>
  <w:style w:type="character" w:customStyle="1" w:styleId="Heading1Char">
    <w:name w:val="Heading 1 Char"/>
    <w:basedOn w:val="DefaultParagraphFont"/>
    <w:link w:val="Heading1"/>
    <w:uiPriority w:val="9"/>
    <w:rsid w:val="00A56FF1"/>
    <w:rPr>
      <w:rFonts w:ascii="Times New Roman" w:eastAsiaTheme="minorEastAsia" w:hAnsi="Times New Roman" w:cs="Times New Roman"/>
      <w:b/>
      <w:bCs/>
      <w:sz w:val="24"/>
      <w:szCs w:val="24"/>
    </w:rPr>
  </w:style>
  <w:style w:type="table" w:styleId="TableGrid">
    <w:name w:val="Table Grid"/>
    <w:basedOn w:val="TableNormal"/>
    <w:uiPriority w:val="39"/>
    <w:rsid w:val="0085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546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uiPriority w:val="19"/>
    <w:qFormat/>
    <w:rsid w:val="008C3F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06264">
      <w:bodyDiv w:val="1"/>
      <w:marLeft w:val="0"/>
      <w:marRight w:val="0"/>
      <w:marTop w:val="0"/>
      <w:marBottom w:val="0"/>
      <w:divBdr>
        <w:top w:val="none" w:sz="0" w:space="0" w:color="auto"/>
        <w:left w:val="none" w:sz="0" w:space="0" w:color="auto"/>
        <w:bottom w:val="none" w:sz="0" w:space="0" w:color="auto"/>
        <w:right w:val="none" w:sz="0" w:space="0" w:color="auto"/>
      </w:divBdr>
    </w:div>
    <w:div w:id="1348022714">
      <w:bodyDiv w:val="1"/>
      <w:marLeft w:val="0"/>
      <w:marRight w:val="0"/>
      <w:marTop w:val="0"/>
      <w:marBottom w:val="0"/>
      <w:divBdr>
        <w:top w:val="none" w:sz="0" w:space="0" w:color="auto"/>
        <w:left w:val="none" w:sz="0" w:space="0" w:color="auto"/>
        <w:bottom w:val="none" w:sz="0" w:space="0" w:color="auto"/>
        <w:right w:val="none" w:sz="0" w:space="0" w:color="auto"/>
      </w:divBdr>
      <w:divsChild>
        <w:div w:id="1608196634">
          <w:marLeft w:val="547"/>
          <w:marRight w:val="0"/>
          <w:marTop w:val="0"/>
          <w:marBottom w:val="0"/>
          <w:divBdr>
            <w:top w:val="none" w:sz="0" w:space="0" w:color="auto"/>
            <w:left w:val="none" w:sz="0" w:space="0" w:color="auto"/>
            <w:bottom w:val="none" w:sz="0" w:space="0" w:color="auto"/>
            <w:right w:val="none" w:sz="0" w:space="0" w:color="auto"/>
          </w:divBdr>
        </w:div>
        <w:div w:id="1959146507">
          <w:marLeft w:val="1166"/>
          <w:marRight w:val="0"/>
          <w:marTop w:val="0"/>
          <w:marBottom w:val="0"/>
          <w:divBdr>
            <w:top w:val="none" w:sz="0" w:space="0" w:color="auto"/>
            <w:left w:val="none" w:sz="0" w:space="0" w:color="auto"/>
            <w:bottom w:val="none" w:sz="0" w:space="0" w:color="auto"/>
            <w:right w:val="none" w:sz="0" w:space="0" w:color="auto"/>
          </w:divBdr>
        </w:div>
        <w:div w:id="115565299">
          <w:marLeft w:val="1800"/>
          <w:marRight w:val="0"/>
          <w:marTop w:val="0"/>
          <w:marBottom w:val="0"/>
          <w:divBdr>
            <w:top w:val="none" w:sz="0" w:space="0" w:color="auto"/>
            <w:left w:val="none" w:sz="0" w:space="0" w:color="auto"/>
            <w:bottom w:val="none" w:sz="0" w:space="0" w:color="auto"/>
            <w:right w:val="none" w:sz="0" w:space="0" w:color="auto"/>
          </w:divBdr>
        </w:div>
        <w:div w:id="2057927181">
          <w:marLeft w:val="1800"/>
          <w:marRight w:val="0"/>
          <w:marTop w:val="0"/>
          <w:marBottom w:val="0"/>
          <w:divBdr>
            <w:top w:val="none" w:sz="0" w:space="0" w:color="auto"/>
            <w:left w:val="none" w:sz="0" w:space="0" w:color="auto"/>
            <w:bottom w:val="none" w:sz="0" w:space="0" w:color="auto"/>
            <w:right w:val="none" w:sz="0" w:space="0" w:color="auto"/>
          </w:divBdr>
        </w:div>
        <w:div w:id="742995714">
          <w:marLeft w:val="1166"/>
          <w:marRight w:val="0"/>
          <w:marTop w:val="0"/>
          <w:marBottom w:val="0"/>
          <w:divBdr>
            <w:top w:val="none" w:sz="0" w:space="0" w:color="auto"/>
            <w:left w:val="none" w:sz="0" w:space="0" w:color="auto"/>
            <w:bottom w:val="none" w:sz="0" w:space="0" w:color="auto"/>
            <w:right w:val="none" w:sz="0" w:space="0" w:color="auto"/>
          </w:divBdr>
        </w:div>
        <w:div w:id="1932737474">
          <w:marLeft w:val="1800"/>
          <w:marRight w:val="0"/>
          <w:marTop w:val="0"/>
          <w:marBottom w:val="0"/>
          <w:divBdr>
            <w:top w:val="none" w:sz="0" w:space="0" w:color="auto"/>
            <w:left w:val="none" w:sz="0" w:space="0" w:color="auto"/>
            <w:bottom w:val="none" w:sz="0" w:space="0" w:color="auto"/>
            <w:right w:val="none" w:sz="0" w:space="0" w:color="auto"/>
          </w:divBdr>
        </w:div>
        <w:div w:id="1698193398">
          <w:marLeft w:val="1800"/>
          <w:marRight w:val="0"/>
          <w:marTop w:val="0"/>
          <w:marBottom w:val="0"/>
          <w:divBdr>
            <w:top w:val="none" w:sz="0" w:space="0" w:color="auto"/>
            <w:left w:val="none" w:sz="0" w:space="0" w:color="auto"/>
            <w:bottom w:val="none" w:sz="0" w:space="0" w:color="auto"/>
            <w:right w:val="none" w:sz="0" w:space="0" w:color="auto"/>
          </w:divBdr>
        </w:div>
        <w:div w:id="2021001234">
          <w:marLeft w:val="1166"/>
          <w:marRight w:val="0"/>
          <w:marTop w:val="0"/>
          <w:marBottom w:val="0"/>
          <w:divBdr>
            <w:top w:val="none" w:sz="0" w:space="0" w:color="auto"/>
            <w:left w:val="none" w:sz="0" w:space="0" w:color="auto"/>
            <w:bottom w:val="none" w:sz="0" w:space="0" w:color="auto"/>
            <w:right w:val="none" w:sz="0" w:space="0" w:color="auto"/>
          </w:divBdr>
        </w:div>
        <w:div w:id="52629861">
          <w:marLeft w:val="1800"/>
          <w:marRight w:val="0"/>
          <w:marTop w:val="0"/>
          <w:marBottom w:val="0"/>
          <w:divBdr>
            <w:top w:val="none" w:sz="0" w:space="0" w:color="auto"/>
            <w:left w:val="none" w:sz="0" w:space="0" w:color="auto"/>
            <w:bottom w:val="none" w:sz="0" w:space="0" w:color="auto"/>
            <w:right w:val="none" w:sz="0" w:space="0" w:color="auto"/>
          </w:divBdr>
        </w:div>
        <w:div w:id="1556618921">
          <w:marLeft w:val="1800"/>
          <w:marRight w:val="0"/>
          <w:marTop w:val="0"/>
          <w:marBottom w:val="0"/>
          <w:divBdr>
            <w:top w:val="none" w:sz="0" w:space="0" w:color="auto"/>
            <w:left w:val="none" w:sz="0" w:space="0" w:color="auto"/>
            <w:bottom w:val="none" w:sz="0" w:space="0" w:color="auto"/>
            <w:right w:val="none" w:sz="0" w:space="0" w:color="auto"/>
          </w:divBdr>
        </w:div>
      </w:divsChild>
    </w:div>
    <w:div w:id="169962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5</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3</b:RefOrder>
  </b:Source>
  <b:Source>
    <b:Tag>Lee17</b:Tag>
    <b:SourceType>JournalArticle</b:SourceType>
    <b:Guid>{9104ECDC-C1B9-431C-B674-892105B8F674}</b:Guid>
    <b:Title>CloudRPS: a cloud analysis based enhanced ransomware prevention system</b:Title>
    <b:Year>2017</b:Year>
    <b:Author>
      <b:Author>
        <b:NameList>
          <b:Person>
            <b:Last>Lee</b:Last>
            <b:First>J</b:First>
          </b:Person>
          <b:Person>
            <b:Last>Moon</b:Last>
            <b:First>S</b:First>
          </b:Person>
          <b:Person>
            <b:Last>Park</b:Last>
            <b:First>J</b:First>
          </b:Person>
        </b:NameList>
      </b:Author>
    </b:Author>
    <b:JournalName>Journal of Supercomputing</b:JournalName>
    <b:Pages>3065-3084</b:Pages>
    <b:Month>July</b:Month>
    <b:Volume>73</b:Volume>
    <b:Issue>7</b:Issue>
    <b:DOI>https://doi-org.proxy1.ncu.edu/10.1007/s11227-016-1825-5</b:DOI>
    <b:RefOrder>4</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1</b:RefOrder>
  </b:Source>
</b:Sources>
</file>

<file path=customXml/itemProps1.xml><?xml version="1.0" encoding="utf-8"?>
<ds:datastoreItem xmlns:ds="http://schemas.openxmlformats.org/officeDocument/2006/customXml" ds:itemID="{2EAA7B14-8A1E-4331-BDED-83F01BE5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Hdez</dc:creator>
  <cp:keywords/>
  <dc:description/>
  <cp:lastModifiedBy>Nate Bachmeier</cp:lastModifiedBy>
  <cp:revision>19</cp:revision>
  <dcterms:created xsi:type="dcterms:W3CDTF">2019-06-04T19:29:00Z</dcterms:created>
  <dcterms:modified xsi:type="dcterms:W3CDTF">2020-06-07T18:59:00Z</dcterms:modified>
</cp:coreProperties>
</file>