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FC3C4" w14:textId="26544047" w:rsidR="004B384F" w:rsidRDefault="004B384F" w:rsidP="004B384F">
      <w:pPr>
        <w:pStyle w:val="Heading1"/>
      </w:pPr>
      <w:r>
        <w:t>Risk Management Frameworks</w:t>
      </w:r>
    </w:p>
    <w:p w14:paraId="0932A98E" w14:textId="27294118" w:rsidR="004B384F" w:rsidRDefault="006165E2">
      <w:pPr>
        <w:widowControl/>
        <w:autoSpaceDE/>
        <w:autoSpaceDN/>
        <w:adjustRightInd/>
        <w:spacing w:after="160" w:line="259" w:lineRule="auto"/>
        <w:rPr>
          <w:b/>
          <w:bCs/>
        </w:rPr>
      </w:pPr>
      <w:r>
        <w:tab/>
        <w:t xml:space="preserve">The </w:t>
      </w:r>
      <w:r w:rsidR="004B384F">
        <w:rPr>
          <w:b/>
          <w:bCs/>
        </w:rPr>
        <w:br w:type="page"/>
      </w:r>
    </w:p>
    <w:p w14:paraId="38D3305F" w14:textId="722AFC76" w:rsidR="004B384F" w:rsidRPr="004B384F" w:rsidRDefault="004B384F" w:rsidP="004B384F">
      <w:pPr>
        <w:pStyle w:val="Heading1"/>
        <w:rPr>
          <w:b w:val="0"/>
          <w:bCs w:val="0"/>
        </w:rPr>
      </w:pPr>
      <w:r w:rsidRPr="004B384F">
        <w:rPr>
          <w:b w:val="0"/>
          <w:bCs w:val="0"/>
        </w:rPr>
        <w:lastRenderedPageBreak/>
        <w:t xml:space="preserve">Table 1: </w:t>
      </w:r>
      <w:r>
        <w:rPr>
          <w:b w:val="0"/>
          <w:bCs w:val="0"/>
        </w:rPr>
        <w:t>Risk Framework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2194"/>
        <w:gridCol w:w="2229"/>
        <w:gridCol w:w="2214"/>
      </w:tblGrid>
      <w:tr w:rsidR="00876CFF" w:rsidRPr="00BA77EE" w14:paraId="3859D5C3" w14:textId="77777777" w:rsidTr="00AB0CCA">
        <w:tc>
          <w:tcPr>
            <w:tcW w:w="2713" w:type="dxa"/>
            <w:shd w:val="clear" w:color="auto" w:fill="D9D9D9" w:themeFill="background1" w:themeFillShade="D9"/>
          </w:tcPr>
          <w:p w14:paraId="52D775F6" w14:textId="77777777" w:rsidR="00876CFF" w:rsidRPr="00BA77EE" w:rsidRDefault="00876CFF" w:rsidP="009E5D4E">
            <w:r w:rsidRPr="00BA77EE">
              <w:t>Model/Framework</w:t>
            </w:r>
          </w:p>
        </w:tc>
        <w:tc>
          <w:tcPr>
            <w:tcW w:w="2194" w:type="dxa"/>
            <w:shd w:val="clear" w:color="auto" w:fill="D9D9D9" w:themeFill="background1" w:themeFillShade="D9"/>
          </w:tcPr>
          <w:p w14:paraId="2ED53B94" w14:textId="77777777" w:rsidR="00876CFF" w:rsidRPr="00BA77EE" w:rsidRDefault="00876CFF" w:rsidP="009E5D4E">
            <w:r w:rsidRPr="00BA77EE">
              <w:t>Strengths</w:t>
            </w:r>
          </w:p>
        </w:tc>
        <w:tc>
          <w:tcPr>
            <w:tcW w:w="2229" w:type="dxa"/>
            <w:shd w:val="clear" w:color="auto" w:fill="D9D9D9" w:themeFill="background1" w:themeFillShade="D9"/>
          </w:tcPr>
          <w:p w14:paraId="455B751B" w14:textId="77777777" w:rsidR="00876CFF" w:rsidRPr="00BA77EE" w:rsidRDefault="00876CFF" w:rsidP="009E5D4E">
            <w:r w:rsidRPr="00BA77EE">
              <w:t>Limitations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14:paraId="60A86C91" w14:textId="77777777" w:rsidR="00876CFF" w:rsidRPr="00BA77EE" w:rsidRDefault="00876CFF" w:rsidP="009E5D4E">
            <w:r w:rsidRPr="00BA77EE">
              <w:t>Comments</w:t>
            </w:r>
          </w:p>
        </w:tc>
      </w:tr>
      <w:tr w:rsidR="00876CFF" w14:paraId="07513AAA" w14:textId="77777777" w:rsidTr="00AB0CCA">
        <w:tc>
          <w:tcPr>
            <w:tcW w:w="2713" w:type="dxa"/>
          </w:tcPr>
          <w:p w14:paraId="696A6092" w14:textId="77777777" w:rsidR="00876CFF" w:rsidRDefault="00876CFF" w:rsidP="009E5D4E">
            <w:r>
              <w:t>NIST Risk management framework (SP-800-37 R2)</w:t>
            </w:r>
          </w:p>
        </w:tc>
        <w:tc>
          <w:tcPr>
            <w:tcW w:w="2194" w:type="dxa"/>
          </w:tcPr>
          <w:p w14:paraId="3107ACDD" w14:textId="519A09E7" w:rsidR="00876CFF" w:rsidRDefault="009E5D4E" w:rsidP="009E5D4E">
            <w:r>
              <w:t xml:space="preserve">Focuses on checklists of controls and risk categories </w:t>
            </w:r>
            <w:sdt>
              <w:sdtPr>
                <w:id w:val="-912314248"/>
                <w:citation/>
              </w:sdtPr>
              <w:sdtContent>
                <w:r>
                  <w:fldChar w:fldCharType="begin"/>
                </w:r>
                <w:r>
                  <w:instrText xml:space="preserve"> CITATION Com16 \l 1033 </w:instrText>
                </w:r>
                <w:r>
                  <w:fldChar w:fldCharType="separate"/>
                </w:r>
                <w:r w:rsidRPr="009E5D4E">
                  <w:rPr>
                    <w:noProof/>
                  </w:rPr>
                  <w:t>(Combass &amp; Shilling, 2016)</w:t>
                </w:r>
                <w:r>
                  <w:fldChar w:fldCharType="end"/>
                </w:r>
              </w:sdtContent>
            </w:sdt>
          </w:p>
        </w:tc>
        <w:tc>
          <w:tcPr>
            <w:tcW w:w="2229" w:type="dxa"/>
          </w:tcPr>
          <w:p w14:paraId="0E7F5C60" w14:textId="155BF8B0" w:rsidR="00876CFF" w:rsidRDefault="009E5D4E" w:rsidP="009E5D4E">
            <w:r>
              <w:t>A more ridge process that is appropriate for military purchases</w:t>
            </w:r>
          </w:p>
        </w:tc>
        <w:tc>
          <w:tcPr>
            <w:tcW w:w="2214" w:type="dxa"/>
          </w:tcPr>
          <w:p w14:paraId="51401461" w14:textId="7860D28D" w:rsidR="009E5D4E" w:rsidRDefault="009E5D4E" w:rsidP="009E5D4E">
            <w:r>
              <w:t>Seems to be more of an acquisition checklist based on usage</w:t>
            </w:r>
          </w:p>
          <w:p w14:paraId="47078A4B" w14:textId="00054DE0" w:rsidR="00876CFF" w:rsidRDefault="00876CFF" w:rsidP="009E5D4E"/>
        </w:tc>
      </w:tr>
      <w:tr w:rsidR="00876CFF" w14:paraId="1CD17369" w14:textId="77777777" w:rsidTr="00AB0CCA">
        <w:tc>
          <w:tcPr>
            <w:tcW w:w="2713" w:type="dxa"/>
          </w:tcPr>
          <w:p w14:paraId="52442FF3" w14:textId="77777777" w:rsidR="00876CFF" w:rsidRPr="009E5D4E" w:rsidRDefault="00876CFF" w:rsidP="009E5D4E">
            <w:r w:rsidRPr="009E5D4E">
              <w:t>ISACA Risk IT management framework</w:t>
            </w:r>
          </w:p>
        </w:tc>
        <w:tc>
          <w:tcPr>
            <w:tcW w:w="2194" w:type="dxa"/>
          </w:tcPr>
          <w:p w14:paraId="1CF04CDB" w14:textId="29A2495A" w:rsidR="00876CFF" w:rsidRDefault="009E5D4E" w:rsidP="009E5D4E">
            <w:r>
              <w:t>Collection of industry best practices that apply to many scenarios</w:t>
            </w:r>
          </w:p>
        </w:tc>
        <w:tc>
          <w:tcPr>
            <w:tcW w:w="2229" w:type="dxa"/>
          </w:tcPr>
          <w:p w14:paraId="612CD5B6" w14:textId="755F31E9" w:rsidR="009E5D4E" w:rsidRPr="009E5D4E" w:rsidRDefault="009E5D4E" w:rsidP="009E5D4E">
            <w:r w:rsidRPr="009E5D4E">
              <w:t xml:space="preserve">Not based </w:t>
            </w:r>
            <w:proofErr w:type="gramStart"/>
            <w:r w:rsidRPr="009E5D4E">
              <w:t>on  academic</w:t>
            </w:r>
            <w:proofErr w:type="gramEnd"/>
            <w:r w:rsidRPr="009E5D4E">
              <w:t xml:space="preserve"> research</w:t>
            </w:r>
            <w:r>
              <w:t xml:space="preserve"> </w:t>
            </w:r>
            <w:sdt>
              <w:sdtPr>
                <w:id w:val="-962114427"/>
                <w:citation/>
              </w:sdtPr>
              <w:sdtContent>
                <w:r>
                  <w:fldChar w:fldCharType="begin"/>
                </w:r>
                <w:r>
                  <w:instrText xml:space="preserve"> CITATION Dev15 \l 1033 </w:instrText>
                </w:r>
                <w:r>
                  <w:fldChar w:fldCharType="separate"/>
                </w:r>
                <w:r>
                  <w:rPr>
                    <w:noProof/>
                  </w:rPr>
                  <w:t>(Devos &amp; Van de Ginste, 2015)</w:t>
                </w:r>
                <w:r>
                  <w:fldChar w:fldCharType="end"/>
                </w:r>
              </w:sdtContent>
            </w:sdt>
          </w:p>
          <w:p w14:paraId="49C11D4A" w14:textId="050813F6" w:rsidR="00876CFF" w:rsidRPr="009E5D4E" w:rsidRDefault="009E5D4E" w:rsidP="009E5D4E">
            <w:r w:rsidRPr="009E5D4E">
              <w:t>P</w:t>
            </w:r>
            <w:r>
              <w:t>re</w:t>
            </w:r>
            <w:r w:rsidRPr="009E5D4E">
              <w:t xml:space="preserve">scriptive </w:t>
            </w:r>
            <w:r>
              <w:t xml:space="preserve">guidance might be difficult for every scenario </w:t>
            </w:r>
            <w:sdt>
              <w:sdtPr>
                <w:id w:val="1052501441"/>
                <w:citation/>
              </w:sdtPr>
              <w:sdtContent>
                <w:r w:rsidRPr="009E5D4E">
                  <w:fldChar w:fldCharType="begin"/>
                </w:r>
                <w:r w:rsidRPr="009E5D4E">
                  <w:instrText xml:space="preserve"> CITATION Cha13 \l 1033 </w:instrText>
                </w:r>
                <w:r w:rsidRPr="009E5D4E">
                  <w:fldChar w:fldCharType="separate"/>
                </w:r>
                <w:r w:rsidRPr="009E5D4E">
                  <w:rPr>
                    <w:noProof/>
                  </w:rPr>
                  <w:t xml:space="preserve"> (Chabrow, 2013)</w:t>
                </w:r>
                <w:r w:rsidRPr="009E5D4E">
                  <w:fldChar w:fldCharType="end"/>
                </w:r>
              </w:sdtContent>
            </w:sdt>
          </w:p>
        </w:tc>
        <w:tc>
          <w:tcPr>
            <w:tcW w:w="2214" w:type="dxa"/>
          </w:tcPr>
          <w:p w14:paraId="108D6E69" w14:textId="0713921A" w:rsidR="00876CFF" w:rsidRDefault="009E5D4E" w:rsidP="009E5D4E">
            <w:r>
              <w:t>Rebranded to COBIT v5 around 2009</w:t>
            </w:r>
          </w:p>
        </w:tc>
      </w:tr>
      <w:tr w:rsidR="00876CFF" w14:paraId="4C69E3FD" w14:textId="77777777" w:rsidTr="00AB0CCA">
        <w:tc>
          <w:tcPr>
            <w:tcW w:w="2713" w:type="dxa"/>
          </w:tcPr>
          <w:p w14:paraId="2A453EA4" w14:textId="77777777" w:rsidR="00876CFF" w:rsidRDefault="00876CFF" w:rsidP="009E5D4E">
            <w:r>
              <w:t>Value at Risk (VAR) framework</w:t>
            </w:r>
          </w:p>
        </w:tc>
        <w:tc>
          <w:tcPr>
            <w:tcW w:w="2194" w:type="dxa"/>
          </w:tcPr>
          <w:p w14:paraId="3D80D599" w14:textId="04DB0296" w:rsidR="00876CFF" w:rsidRDefault="009E5D4E" w:rsidP="009E5D4E">
            <w:r>
              <w:t>A statistical measure of the loss given the probability of an event</w:t>
            </w:r>
            <w:sdt>
              <w:sdtPr>
                <w:id w:val="1137378735"/>
                <w:citation/>
              </w:sdtPr>
              <w:sdtContent>
                <w:r>
                  <w:fldChar w:fldCharType="begin"/>
                </w:r>
                <w:r>
                  <w:instrText xml:space="preserve"> CITATION Ken19 \l 1033 </w:instrText>
                </w:r>
                <w:r>
                  <w:fldChar w:fldCharType="separate"/>
                </w:r>
                <w:r>
                  <w:rPr>
                    <w:noProof/>
                  </w:rPr>
                  <w:t xml:space="preserve"> (Kenton, 2019)</w:t>
                </w:r>
                <w:r>
                  <w:fldChar w:fldCharType="end"/>
                </w:r>
              </w:sdtContent>
            </w:sdt>
          </w:p>
        </w:tc>
        <w:tc>
          <w:tcPr>
            <w:tcW w:w="2229" w:type="dxa"/>
          </w:tcPr>
          <w:p w14:paraId="128F1505" w14:textId="1D73F7F2" w:rsidR="00876CFF" w:rsidRDefault="009E5D4E" w:rsidP="009E5D4E">
            <w:r>
              <w:t>Businesses consistently make more assessments of a security risk</w:t>
            </w:r>
            <w:sdt>
              <w:sdtPr>
                <w:id w:val="802662246"/>
                <w:citation/>
              </w:sdtPr>
              <w:sdtContent>
                <w:r>
                  <w:fldChar w:fldCharType="begin"/>
                </w:r>
                <w:r>
                  <w:instrText xml:space="preserve"> CITATION Eli19 \l 1033 </w:instrText>
                </w:r>
                <w:r>
                  <w:fldChar w:fldCharType="separate"/>
                </w:r>
                <w:r>
                  <w:rPr>
                    <w:noProof/>
                  </w:rPr>
                  <w:t xml:space="preserve"> (Eling &amp; Wirfs, 2019)</w:t>
                </w:r>
                <w:r>
                  <w:fldChar w:fldCharType="end"/>
                </w:r>
              </w:sdtContent>
            </w:sdt>
          </w:p>
        </w:tc>
        <w:tc>
          <w:tcPr>
            <w:tcW w:w="2214" w:type="dxa"/>
          </w:tcPr>
          <w:p w14:paraId="16260A68" w14:textId="1EA2224D" w:rsidR="00876CFF" w:rsidRDefault="009E5D4E" w:rsidP="009E5D4E">
            <w:r>
              <w:t>Many technology decisions are not pure black/white (a) will cost (b) if (c)</w:t>
            </w:r>
          </w:p>
        </w:tc>
      </w:tr>
      <w:tr w:rsidR="00876CFF" w14:paraId="1E4BDF2F" w14:textId="77777777" w:rsidTr="00AB0CCA">
        <w:tc>
          <w:tcPr>
            <w:tcW w:w="2713" w:type="dxa"/>
          </w:tcPr>
          <w:p w14:paraId="155C4132" w14:textId="4B0E63B3" w:rsidR="00876CFF" w:rsidRDefault="00876CFF" w:rsidP="009E5D4E">
            <w:r>
              <w:t>Financial</w:t>
            </w:r>
            <w:r w:rsidR="001262DC">
              <w:t>,</w:t>
            </w:r>
            <w:r>
              <w:t xml:space="preserve"> economic theory</w:t>
            </w:r>
          </w:p>
        </w:tc>
        <w:tc>
          <w:tcPr>
            <w:tcW w:w="2194" w:type="dxa"/>
          </w:tcPr>
          <w:p w14:paraId="0F3DDE4E" w14:textId="143BA885" w:rsidR="00876CFF" w:rsidRDefault="009E5D4E" w:rsidP="009E5D4E">
            <w:r>
              <w:t>Models time, risk, and uncertainty to make economically sound decisions</w:t>
            </w:r>
            <w:sdt>
              <w:sdtPr>
                <w:id w:val="-2018453619"/>
                <w:citation/>
              </w:sdtPr>
              <w:sdtContent>
                <w:r>
                  <w:fldChar w:fldCharType="begin"/>
                </w:r>
                <w:r>
                  <w:instrText xml:space="preserve"> CITATION Lib19 \l 1033 </w:instrText>
                </w:r>
                <w:r>
                  <w:fldChar w:fldCharType="separate"/>
                </w:r>
                <w:r>
                  <w:rPr>
                    <w:noProof/>
                  </w:rPr>
                  <w:t xml:space="preserve"> (Liberto, 2019)</w:t>
                </w:r>
                <w:r>
                  <w:fldChar w:fldCharType="end"/>
                </w:r>
              </w:sdtContent>
            </w:sdt>
          </w:p>
        </w:tc>
        <w:tc>
          <w:tcPr>
            <w:tcW w:w="2229" w:type="dxa"/>
          </w:tcPr>
          <w:p w14:paraId="53860038" w14:textId="43A5C7BB" w:rsidR="00876CFF" w:rsidRDefault="009E5D4E" w:rsidP="009E5D4E">
            <w:r>
              <w:t>Makes extensive use of hedging, which might not apply to information technology systems</w:t>
            </w:r>
          </w:p>
        </w:tc>
        <w:tc>
          <w:tcPr>
            <w:tcW w:w="2214" w:type="dxa"/>
          </w:tcPr>
          <w:p w14:paraId="56C352C9" w14:textId="309CB489" w:rsidR="00876CFF" w:rsidRDefault="00876CFF" w:rsidP="009E5D4E"/>
        </w:tc>
      </w:tr>
      <w:tr w:rsidR="00876CFF" w14:paraId="411FB550" w14:textId="77777777" w:rsidTr="00AB0CCA">
        <w:tc>
          <w:tcPr>
            <w:tcW w:w="2713" w:type="dxa"/>
          </w:tcPr>
          <w:p w14:paraId="5FBDD2B5" w14:textId="77777777" w:rsidR="00876CFF" w:rsidRDefault="00876CFF" w:rsidP="009E5D4E">
            <w:r>
              <w:t>SABRE security risk management model for asset management</w:t>
            </w:r>
          </w:p>
        </w:tc>
        <w:tc>
          <w:tcPr>
            <w:tcW w:w="2194" w:type="dxa"/>
          </w:tcPr>
          <w:p w14:paraId="10495248" w14:textId="781930B6" w:rsidR="00876CFF" w:rsidRDefault="009E5D4E" w:rsidP="009E5D4E">
            <w:r>
              <w:t>The high-quality standard for physical structures</w:t>
            </w:r>
            <w:sdt>
              <w:sdtPr>
                <w:id w:val="2032914559"/>
                <w:citation/>
              </w:sdtPr>
              <w:sdtContent>
                <w:r>
                  <w:fldChar w:fldCharType="begin"/>
                </w:r>
                <w:r>
                  <w:instrText xml:space="preserve"> CITATION BRE20 \l 1033 </w:instrText>
                </w:r>
                <w:r>
                  <w:fldChar w:fldCharType="separate"/>
                </w:r>
                <w:r>
                  <w:rPr>
                    <w:noProof/>
                  </w:rPr>
                  <w:t xml:space="preserve"> (BRE, 2020)</w:t>
                </w:r>
                <w:r>
                  <w:fldChar w:fldCharType="end"/>
                </w:r>
              </w:sdtContent>
            </w:sdt>
          </w:p>
        </w:tc>
        <w:tc>
          <w:tcPr>
            <w:tcW w:w="2229" w:type="dxa"/>
          </w:tcPr>
          <w:p w14:paraId="67E6568A" w14:textId="708DF7EA" w:rsidR="00876CFF" w:rsidRDefault="009E5D4E" w:rsidP="009E5D4E">
            <w:r>
              <w:t>Only focuses on physical structures</w:t>
            </w:r>
          </w:p>
        </w:tc>
        <w:tc>
          <w:tcPr>
            <w:tcW w:w="2214" w:type="dxa"/>
          </w:tcPr>
          <w:p w14:paraId="0A92E9CB" w14:textId="51D58CD7" w:rsidR="00876CFF" w:rsidRDefault="009E5D4E" w:rsidP="009E5D4E">
            <w:r>
              <w:t>Appropriate for industrial complex through residential housing</w:t>
            </w:r>
          </w:p>
        </w:tc>
      </w:tr>
      <w:tr w:rsidR="00876CFF" w14:paraId="68AB4B2C" w14:textId="77777777" w:rsidTr="00AB0CCA">
        <w:tc>
          <w:tcPr>
            <w:tcW w:w="2713" w:type="dxa"/>
          </w:tcPr>
          <w:p w14:paraId="787B8A1D" w14:textId="5DF86C36" w:rsidR="00876CFF" w:rsidRDefault="009E5D4E" w:rsidP="009E5D4E">
            <w:r>
              <w:t xml:space="preserve">NIST Cybersecurity </w:t>
            </w:r>
            <w:r>
              <w:lastRenderedPageBreak/>
              <w:t>Framework</w:t>
            </w:r>
          </w:p>
        </w:tc>
        <w:tc>
          <w:tcPr>
            <w:tcW w:w="2194" w:type="dxa"/>
          </w:tcPr>
          <w:p w14:paraId="366E6263" w14:textId="108D65FF" w:rsidR="00876CFF" w:rsidRDefault="009E5D4E" w:rsidP="009E5D4E">
            <w:r>
              <w:lastRenderedPageBreak/>
              <w:t xml:space="preserve">Adapts to various maturity levels </w:t>
            </w:r>
            <w:r>
              <w:lastRenderedPageBreak/>
              <w:t>through a good-better-best mindset</w:t>
            </w:r>
            <w:sdt>
              <w:sdtPr>
                <w:id w:val="255803073"/>
                <w:citation/>
              </w:sdtPr>
              <w:sdtContent>
                <w:r>
                  <w:fldChar w:fldCharType="begin"/>
                </w:r>
                <w:r>
                  <w:instrText xml:space="preserve"> CITATION Gro18 \l 1033 </w:instrText>
                </w:r>
                <w:r>
                  <w:fldChar w:fldCharType="separate"/>
                </w:r>
                <w:r>
                  <w:rPr>
                    <w:noProof/>
                  </w:rPr>
                  <w:t xml:space="preserve"> (Grohmann, 2018)</w:t>
                </w:r>
                <w:r>
                  <w:fldChar w:fldCharType="end"/>
                </w:r>
              </w:sdtContent>
            </w:sdt>
          </w:p>
        </w:tc>
        <w:tc>
          <w:tcPr>
            <w:tcW w:w="2229" w:type="dxa"/>
          </w:tcPr>
          <w:p w14:paraId="43C14083" w14:textId="7C310B7F" w:rsidR="00876CFF" w:rsidRDefault="009E5D4E" w:rsidP="009E5D4E">
            <w:r>
              <w:lastRenderedPageBreak/>
              <w:t xml:space="preserve">External audiences cannot gauge </w:t>
            </w:r>
            <w:r>
              <w:lastRenderedPageBreak/>
              <w:t>security posture at a simple glance (are they ok or excellent on aspect 1234)</w:t>
            </w:r>
          </w:p>
        </w:tc>
        <w:tc>
          <w:tcPr>
            <w:tcW w:w="2214" w:type="dxa"/>
          </w:tcPr>
          <w:p w14:paraId="67D4C58B" w14:textId="43279686" w:rsidR="00876CFF" w:rsidRDefault="009E5D4E" w:rsidP="009E5D4E">
            <w:r>
              <w:lastRenderedPageBreak/>
              <w:t xml:space="preserve">The right solution for many large and </w:t>
            </w:r>
            <w:r>
              <w:lastRenderedPageBreak/>
              <w:t>decentralize</w:t>
            </w:r>
            <w:r w:rsidR="00382AE8">
              <w:t>d</w:t>
            </w:r>
            <w:r>
              <w:t xml:space="preserve"> businesses that lack any formal process</w:t>
            </w:r>
          </w:p>
        </w:tc>
      </w:tr>
    </w:tbl>
    <w:p w14:paraId="0E6FC37C" w14:textId="77777777" w:rsidR="00DB5BBD" w:rsidRDefault="00DB5BBD" w:rsidP="009E5D4E"/>
    <w:sectPr w:rsidR="00DB5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11D3"/>
    <w:multiLevelType w:val="hybridMultilevel"/>
    <w:tmpl w:val="204ECF6E"/>
    <w:lvl w:ilvl="0" w:tplc="921A7D44">
      <w:numFmt w:val="bullet"/>
      <w:lvlText w:val="-"/>
      <w:lvlJc w:val="left"/>
      <w:pPr>
        <w:ind w:left="720" w:hanging="360"/>
      </w:pPr>
      <w:rPr>
        <w:rFonts w:ascii="Verdana" w:eastAsiaTheme="minorEastAsia" w:hAnsi="Verdana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NrY0NTc1sbA0NzdQ0lEKTi0uzszPAykwqgUAi6jvkCwAAAA="/>
  </w:docVars>
  <w:rsids>
    <w:rsidRoot w:val="00876CFF"/>
    <w:rsid w:val="001262DC"/>
    <w:rsid w:val="002F3DA2"/>
    <w:rsid w:val="00382AE8"/>
    <w:rsid w:val="004B384F"/>
    <w:rsid w:val="006165E2"/>
    <w:rsid w:val="00876CFF"/>
    <w:rsid w:val="009E5D4E"/>
    <w:rsid w:val="00DB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2850"/>
  <w15:chartTrackingRefBased/>
  <w15:docId w15:val="{13A9DB4C-DE3E-4B61-AEBE-1121B4D2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D4E"/>
    <w:pPr>
      <w:widowControl w:val="0"/>
      <w:autoSpaceDE w:val="0"/>
      <w:autoSpaceDN w:val="0"/>
      <w:adjustRightInd w:val="0"/>
      <w:spacing w:after="200" w:line="288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84F"/>
    <w:pPr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5D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384F"/>
    <w:rPr>
      <w:rFonts w:ascii="Times New Roman" w:eastAsiaTheme="minorEastAsia" w:hAnsi="Times New Roman" w:cs="Times New Roman"/>
      <w:b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8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Com16</b:Tag>
    <b:SourceType>ConferenceProceedings</b:SourceType>
    <b:Guid>{8DD46DFD-1895-4C08-8983-B558EABF2F72}</b:Guid>
    <b:Title>Integrating cybersecurity into NAVAIR OTPS acquisition</b:Title>
    <b:Year>2016</b:Year>
    <b:Pages>1-5</b:Pages>
    <b:ConferenceName>Institute of Eletricial and Electronics Engineering AUTOTESTCON</b:ConferenceName>
    <b:City>Anaheim, CA</b:City>
    <b:Author>
      <b:Author>
        <b:NameList>
          <b:Person>
            <b:Last>Combass</b:Last>
            <b:First>T</b:First>
          </b:Person>
          <b:Person>
            <b:Last>Shilling</b:Last>
            <b:First>A</b:First>
          </b:Person>
        </b:NameList>
      </b:Author>
    </b:Author>
    <b:DOI>https://doi-org.proxy1.ncu.edu/10.1109/AUTEST.2016.7589632</b:DOI>
    <b:RefOrder>1</b:RefOrder>
  </b:Source>
  <b:Source>
    <b:Tag>Cha13</b:Tag>
    <b:SourceType>InternetSite</b:SourceType>
    <b:Guid>{0ED2B445-E138-488C-8099-0ABBD2CDE246}</b:Guid>
    <b:Title>ISACA Unveils New Risk Mgt. Framework</b:Title>
    <b:Year>2013</b:Year>
    <b:InternetSiteTitle>Bank Info Security</b:InternetSiteTitle>
    <b:Month>September</b:Month>
    <b:Day>26</b:Day>
    <b:URL>https://www.bankinfosecurity.com/isaca-unveils-new-risk-management-framework-a-6098</b:URL>
    <b:Author>
      <b:Author>
        <b:NameList>
          <b:Person>
            <b:Last>Chabrow</b:Last>
            <b:First>E</b:First>
          </b:Person>
        </b:NameList>
      </b:Author>
    </b:Author>
    <b:YearAccessed>2020</b:YearAccessed>
    <b:MonthAccessed>June</b:MonthAccessed>
    <b:DayAccessed>14</b:DayAccessed>
    <b:RefOrder>3</b:RefOrder>
  </b:Source>
  <b:Source>
    <b:Tag>Dev15</b:Tag>
    <b:SourceType>JournalArticle</b:SourceType>
    <b:Guid>{9EE5729D-9853-459C-B57A-82B5B303D13E}</b:Guid>
    <b:Title>Towards a Theoretical Foundation of IT Governance - The COBIT 5 case</b:Title>
    <b:JournalName>Electronic Journal of Information Systems Evaluation</b:JournalName>
    <b:Year>2015</b:Year>
    <b:Author>
      <b:Author>
        <b:NameList>
          <b:Person>
            <b:Last>Devos</b:Last>
            <b:First>J</b:First>
          </b:Person>
          <b:Person>
            <b:Last>Van de Ginste</b:Last>
            <b:First>K</b:First>
          </b:Person>
        </b:NameList>
      </b:Author>
    </b:Author>
    <b:Volume>18</b:Volume>
    <b:Issue>2</b:Issue>
    <b:URL>https://search-ebscohost-com.proxy1.ncu.edu/login.aspx?direct=true&amp;db=edb&amp;AN=109261833&amp;site=eds-live</b:URL>
    <b:RefOrder>2</b:RefOrder>
  </b:Source>
  <b:Source>
    <b:Tag>Ken19</b:Tag>
    <b:SourceType>InternetSite</b:SourceType>
    <b:Guid>{AF051488-C1E5-4852-9E9B-9D00171464DF}</b:Guid>
    <b:Title>Value at Risk (VAR)</b:Title>
    <b:Year>2019</b:Year>
    <b:Month>April</b:Month>
    <b:Day>18</b:Day>
    <b:YearAccessed>2020</b:YearAccessed>
    <b:MonthAccessed>June</b:MonthAccessed>
    <b:DayAccessed>14</b:DayAccessed>
    <b:URL>https://www.investopedia.com/terms/v/var.asp</b:URL>
    <b:Author>
      <b:Author>
        <b:NameList>
          <b:Person>
            <b:Last>Kenton</b:Last>
            <b:First>W</b:First>
          </b:Person>
        </b:NameList>
      </b:Author>
    </b:Author>
    <b:InternetSiteTitle>Investopedia</b:InternetSiteTitle>
    <b:RefOrder>4</b:RefOrder>
  </b:Source>
  <b:Source>
    <b:Tag>Eli19</b:Tag>
    <b:SourceType>JournalArticle</b:SourceType>
    <b:Guid>{6E680FD6-BE93-492E-A65E-156EB7601CC5}</b:Guid>
    <b:Title>What are the actual costs of cyber risk events</b:Title>
    <b:Year>2019</b:Year>
    <b:DOI>https://doi.org/10.1016/j.ejor.2018.07.021</b:DOI>
    <b:Author>
      <b:Author>
        <b:NameList>
          <b:Person>
            <b:Last>Eling</b:Last>
            <b:First>M</b:First>
          </b:Person>
          <b:Person>
            <b:Last>Wirfs</b:Last>
            <b:First>J</b:First>
          </b:Person>
        </b:NameList>
      </b:Author>
    </b:Author>
    <b:JournalName>European Journal of Operational Research</b:JournalName>
    <b:Pages>1109-1119</b:Pages>
    <b:Volume>272</b:Volume>
    <b:Issue>1</b:Issue>
    <b:RefOrder>5</b:RefOrder>
  </b:Source>
  <b:Source>
    <b:Tag>Lib19</b:Tag>
    <b:SourceType>InternetSite</b:SourceType>
    <b:Guid>{4FEFF96A-D18F-4E16-AD82-976C6B314CCB}</b:Guid>
    <b:Title>Financial Economics</b:Title>
    <b:Year>2019</b:Year>
    <b:InternetSiteTitle>Investopedia</b:InternetSiteTitle>
    <b:Month>June</b:Month>
    <b:Day>26</b:Day>
    <b:URL>https://www.investopedia.com/terms/f/financial-economics.asp</b:URL>
    <b:Author>
      <b:Author>
        <b:NameList>
          <b:Person>
            <b:Last>Liberto</b:Last>
            <b:First>D</b:First>
          </b:Person>
        </b:NameList>
      </b:Author>
    </b:Author>
    <b:YearAccessed>2020</b:YearAccessed>
    <b:MonthAccessed>June</b:MonthAccessed>
    <b:DayAccessed>14</b:DayAccessed>
    <b:RefOrder>6</b:RefOrder>
  </b:Source>
  <b:Source>
    <b:Tag>BRE20</b:Tag>
    <b:SourceType>InternetSite</b:SourceType>
    <b:Guid>{DCD2B36D-8F8B-44E7-BC70-013E7E44C4A6}</b:Guid>
    <b:Author>
      <b:Author>
        <b:Corporate>BRE</b:Corporate>
      </b:Author>
    </b:Author>
    <b:Title>What is ABRE</b:Title>
    <b:InternetSiteTitle>BRE Group</b:InternetSiteTitle>
    <b:Year>2020</b:Year>
    <b:Month>June</b:Month>
    <b:Day>14</b:Day>
    <b:URL>https://www.bregroup.com/sabre/</b:URL>
    <b:YearAccessed>2020</b:YearAccessed>
    <b:MonthAccessed>June</b:MonthAccessed>
    <b:DayAccessed>14</b:DayAccessed>
    <b:RefOrder>7</b:RefOrder>
  </b:Source>
  <b:Source>
    <b:Tag>Gro18</b:Tag>
    <b:SourceType>JournalArticle</b:SourceType>
    <b:Guid>{C556FC63-7F4D-4130-97DA-9CFF2D6085F0}</b:Guid>
    <b:Title>Evolution of the cybersecurity framework</b:Title>
    <b:JournalName>ISSA Journal</b:JournalName>
    <b:Year>2018</b:Year>
    <b:Pages>14-18</b:Pages>
    <b:Author>
      <b:Author>
        <b:NameList>
          <b:Person>
            <b:Last>Grohmann</b:Last>
            <b:First>A</b:First>
          </b:Person>
        </b:NameList>
      </b:Author>
    </b:Author>
    <b:Volume>16</b:Volume>
    <b:Issue>7</b:Issue>
    <b:YearAccessed>2020</b:YearAccessed>
    <b:MonthAccessed>May</b:MonthAccessed>
    <b:DayAccessed>2</b:DayAccessed>
    <b:URL>https://search-ebscohost-com.proxy1.ncu.edu/login.aspx?direct=true&amp;db=tsh&amp;AN=130572679&amp;site=eds-live</b:URL>
    <b:RefOrder>8</b:RefOrder>
  </b:Source>
</b:Sources>
</file>

<file path=customXml/itemProps1.xml><?xml version="1.0" encoding="utf-8"?>
<ds:datastoreItem xmlns:ds="http://schemas.openxmlformats.org/officeDocument/2006/customXml" ds:itemID="{F4904682-5476-4217-A547-10CD8BB27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Rose</dc:creator>
  <cp:keywords/>
  <dc:description/>
  <cp:lastModifiedBy>Nate Bachmeier</cp:lastModifiedBy>
  <cp:revision>8</cp:revision>
  <dcterms:created xsi:type="dcterms:W3CDTF">2019-05-06T16:32:00Z</dcterms:created>
  <dcterms:modified xsi:type="dcterms:W3CDTF">2020-06-14T23:13:00Z</dcterms:modified>
</cp:coreProperties>
</file>