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CB193" w14:textId="77777777" w:rsidR="008C04CE" w:rsidRDefault="008C04CE" w:rsidP="008C04CE"/>
    <w:p w14:paraId="3E055355" w14:textId="43F4CB00" w:rsidR="008C04CE" w:rsidRDefault="008C04CE" w:rsidP="008C04CE"/>
    <w:p w14:paraId="211CA654" w14:textId="6325AA7F" w:rsidR="008C04CE" w:rsidRDefault="008C04CE" w:rsidP="008C04CE"/>
    <w:p w14:paraId="370ABD01" w14:textId="3201944C" w:rsidR="008C04CE" w:rsidRDefault="008C04CE" w:rsidP="008C04CE"/>
    <w:p w14:paraId="01A305A6" w14:textId="77777777" w:rsidR="008C04CE" w:rsidRDefault="008C04CE" w:rsidP="008C04CE"/>
    <w:p w14:paraId="0E2C051F" w14:textId="77777777" w:rsidR="008C04CE" w:rsidRDefault="008C04CE" w:rsidP="008C04CE">
      <w:pPr>
        <w:pStyle w:val="Heading1"/>
      </w:pPr>
      <w:r>
        <w:t>Section 1: Week 2: Risk Management Frameworks</w:t>
      </w:r>
    </w:p>
    <w:p w14:paraId="4B78212C" w14:textId="77777777" w:rsidR="008C04CE" w:rsidRDefault="008C04CE" w:rsidP="008C04CE">
      <w:pPr>
        <w:pStyle w:val="Subtitle"/>
        <w:tabs>
          <w:tab w:val="left" w:pos="3116"/>
          <w:tab w:val="center" w:pos="4680"/>
        </w:tabs>
        <w:jc w:val="left"/>
      </w:pPr>
      <w:r>
        <w:tab/>
      </w:r>
      <w:r>
        <w:tab/>
        <w:t>Nate Bachmeier</w:t>
      </w:r>
    </w:p>
    <w:p w14:paraId="5A9D7B1C" w14:textId="77777777" w:rsidR="008C04CE" w:rsidRDefault="008C04CE" w:rsidP="008C04CE">
      <w:pPr>
        <w:jc w:val="center"/>
      </w:pPr>
      <w:r>
        <w:t>TIM-7030: Managing Risk, Security, and Privacy</w:t>
      </w:r>
    </w:p>
    <w:p w14:paraId="6688D11D" w14:textId="77777777" w:rsidR="008C04CE" w:rsidRDefault="008C04CE" w:rsidP="008C04CE">
      <w:pPr>
        <w:jc w:val="center"/>
      </w:pPr>
      <w:r>
        <w:t>June 14, 2020</w:t>
      </w:r>
    </w:p>
    <w:p w14:paraId="29CB2D9D" w14:textId="77777777" w:rsidR="008C04CE" w:rsidRDefault="008C04CE" w:rsidP="008C04CE">
      <w:pPr>
        <w:jc w:val="center"/>
      </w:pPr>
      <w:r>
        <w:t>North Central University</w:t>
      </w:r>
    </w:p>
    <w:p w14:paraId="694736C2" w14:textId="77777777" w:rsidR="008C04CE" w:rsidRDefault="008C04CE" w:rsidP="008C04CE"/>
    <w:p w14:paraId="538C2F06" w14:textId="77777777" w:rsidR="008C04CE" w:rsidRDefault="008C04CE">
      <w:pPr>
        <w:spacing w:line="259" w:lineRule="auto"/>
        <w:rPr>
          <w:b/>
          <w:bCs/>
        </w:rPr>
      </w:pPr>
      <w:r>
        <w:br w:type="page"/>
      </w:r>
    </w:p>
    <w:p w14:paraId="5B8FC3C4" w14:textId="6008FAD9" w:rsidR="004B384F" w:rsidRDefault="004B384F" w:rsidP="00F52C91">
      <w:pPr>
        <w:pStyle w:val="Heading1"/>
      </w:pPr>
      <w:r>
        <w:lastRenderedPageBreak/>
        <w:t>Risk Management Frameworks</w:t>
      </w:r>
    </w:p>
    <w:p w14:paraId="0932A98E" w14:textId="37AD29F4" w:rsidR="004B384F" w:rsidRDefault="006165E2" w:rsidP="00F52C91">
      <w:r>
        <w:tab/>
      </w:r>
      <w:r w:rsidR="00F52C91">
        <w:t xml:space="preserve">Organizations can choose between multiple risk management frameworks to </w:t>
      </w:r>
      <w:r w:rsidR="008E6973">
        <w:t>match</w:t>
      </w:r>
      <w:r w:rsidR="00F52C91">
        <w:t xml:space="preserve"> the needs of their specific industry or business practices.  While differences exist across these frameworks, they generally follow a similar feedback loop of plan-do-check-act</w:t>
      </w:r>
      <w:sdt>
        <w:sdtPr>
          <w:id w:val="1720087293"/>
          <w:citation/>
        </w:sdtPr>
        <w:sdtContent>
          <w:r w:rsidR="00F52C91">
            <w:fldChar w:fldCharType="begin"/>
          </w:r>
          <w:r w:rsidR="00F52C91">
            <w:instrText xml:space="preserve"> CITATION Rad15 \l 1033 </w:instrText>
          </w:r>
          <w:r w:rsidR="00F52C91">
            <w:fldChar w:fldCharType="separate"/>
          </w:r>
          <w:r w:rsidR="00F52C91">
            <w:rPr>
              <w:noProof/>
            </w:rPr>
            <w:t xml:space="preserve"> (Radhakrishnan, 2015)</w:t>
          </w:r>
          <w:r w:rsidR="00F52C91">
            <w:fldChar w:fldCharType="end"/>
          </w:r>
        </w:sdtContent>
      </w:sdt>
      <w:r w:rsidR="00F52C91">
        <w:t>.  Where they differ is in terms of their specific focuses and attempts to create consistency or provide general guidance.  For instance, ISO 27000 optimizes for rigid consistency over flexibility, making it practical for highly regulated environments and smaller enterprises</w:t>
      </w:r>
      <w:sdt>
        <w:sdtPr>
          <w:id w:val="-1871292703"/>
          <w:citation/>
        </w:sdtPr>
        <w:sdtContent>
          <w:r w:rsidR="00F52C91">
            <w:fldChar w:fldCharType="begin"/>
          </w:r>
          <w:r w:rsidR="00F52C91">
            <w:instrText xml:space="preserve"> CITATION Gil11 \l 1033 </w:instrText>
          </w:r>
          <w:r w:rsidR="00F52C91">
            <w:fldChar w:fldCharType="separate"/>
          </w:r>
          <w:r w:rsidR="00F52C91">
            <w:rPr>
              <w:noProof/>
            </w:rPr>
            <w:t xml:space="preserve"> (Gillies, 2011)</w:t>
          </w:r>
          <w:r w:rsidR="00F52C91">
            <w:fldChar w:fldCharType="end"/>
          </w:r>
        </w:sdtContent>
      </w:sdt>
      <w:r w:rsidR="00F52C91">
        <w:t>.  In contrast, the NIST Cybersecurity Framework fits the current maturity level of a business by providing a path to mature processes where necessary</w:t>
      </w:r>
      <w:sdt>
        <w:sdtPr>
          <w:id w:val="884988355"/>
          <w:citation/>
        </w:sdtPr>
        <w:sdtContent>
          <w:r w:rsidR="00F52C91">
            <w:fldChar w:fldCharType="begin"/>
          </w:r>
          <w:r w:rsidR="00F52C91">
            <w:instrText xml:space="preserve"> CITATION Gro18 \l 1033 </w:instrText>
          </w:r>
          <w:r w:rsidR="00F52C91">
            <w:fldChar w:fldCharType="separate"/>
          </w:r>
          <w:r w:rsidR="00F52C91">
            <w:rPr>
              <w:noProof/>
            </w:rPr>
            <w:t xml:space="preserve"> (Grohmann, 2018)</w:t>
          </w:r>
          <w:r w:rsidR="00F52C91">
            <w:fldChar w:fldCharType="end"/>
          </w:r>
        </w:sdtContent>
      </w:sdt>
      <w:r w:rsidR="00F52C91">
        <w:t>.  COBIT v5 might provide an ideal middle ground, as it has prescriptive guidance that comes from industry best practices</w:t>
      </w:r>
      <w:r w:rsidR="00F52C91" w:rsidRPr="00F52C91">
        <w:t xml:space="preserve"> </w:t>
      </w:r>
      <w:sdt>
        <w:sdtPr>
          <w:id w:val="1020120006"/>
          <w:citation/>
        </w:sdtPr>
        <w:sdtContent>
          <w:r w:rsidR="00F52C91">
            <w:fldChar w:fldCharType="begin"/>
          </w:r>
          <w:r w:rsidR="00F52C91">
            <w:instrText xml:space="preserve"> CITATION Dev15 \l 1033 </w:instrText>
          </w:r>
          <w:r w:rsidR="00F52C91">
            <w:fldChar w:fldCharType="separate"/>
          </w:r>
          <w:r w:rsidR="00F52C91">
            <w:rPr>
              <w:noProof/>
            </w:rPr>
            <w:t>(Devos &amp; Van de Ginste, 2015)</w:t>
          </w:r>
          <w:r w:rsidR="00F52C91">
            <w:fldChar w:fldCharType="end"/>
          </w:r>
        </w:sdtContent>
      </w:sdt>
      <w:r w:rsidR="00F52C91">
        <w:t>.</w:t>
      </w:r>
    </w:p>
    <w:p w14:paraId="4A4D5C93" w14:textId="15036C4C" w:rsidR="00F52C91" w:rsidRDefault="00F52C91" w:rsidP="00F52C91">
      <w:r>
        <w:tab/>
        <w:t xml:space="preserve">However, each business has specific risks that are most concerning to their continuity and ability to deliver its core mission.  If those companies have a simple network topology, like mom-and-pop stops, then simplicity is more desirable than even flexibility.  For instance, if a local doctor’s office consists of three workstations, then </w:t>
      </w:r>
      <w:r w:rsidR="008E6973">
        <w:t xml:space="preserve">either </w:t>
      </w:r>
      <w:r>
        <w:t xml:space="preserve">VAR </w:t>
      </w:r>
      <w:r w:rsidR="008E6973">
        <w:t>F</w:t>
      </w:r>
      <w:r>
        <w:t xml:space="preserve">ramework </w:t>
      </w:r>
      <w:r w:rsidR="008E6973">
        <w:t>or Financial Theory—a</w:t>
      </w:r>
      <w:r>
        <w:t>ccurately catastrophic failure such as ransomware infecting compromising these machines</w:t>
      </w:r>
      <w:sdt>
        <w:sdtPr>
          <w:id w:val="-1630624224"/>
          <w:citation/>
        </w:sdtPr>
        <w:sdtContent>
          <w:r w:rsidR="00C04E2E">
            <w:fldChar w:fldCharType="begin"/>
          </w:r>
          <w:r w:rsidR="00C04E2E">
            <w:instrText xml:space="preserve"> CITATION Ken19 \l 1033 </w:instrText>
          </w:r>
          <w:r w:rsidR="00C04E2E">
            <w:fldChar w:fldCharType="separate"/>
          </w:r>
          <w:r w:rsidR="00C04E2E">
            <w:rPr>
              <w:noProof/>
            </w:rPr>
            <w:t xml:space="preserve"> (Kenton, 2019)</w:t>
          </w:r>
          <w:r w:rsidR="00C04E2E">
            <w:fldChar w:fldCharType="end"/>
          </w:r>
        </w:sdtContent>
      </w:sdt>
      <w:r>
        <w:t>.</w:t>
      </w:r>
      <w:r w:rsidR="008E6973">
        <w:t xml:space="preserve">  </w:t>
      </w:r>
      <w:r>
        <w:t xml:space="preserve">The small business owner might purchase backup software, establish a retainer for computer repair service, or purchase insurance to hedge the risk adequately.  While they could gain more coverage from </w:t>
      </w:r>
      <w:r w:rsidR="00C04E2E">
        <w:t>additional</w:t>
      </w:r>
      <w:r>
        <w:t xml:space="preserve"> investment</w:t>
      </w:r>
      <w:r w:rsidR="00C04E2E">
        <w:t>s</w:t>
      </w:r>
      <w:r>
        <w:t>, those protections might negatively detract from the core mission and not provide significant returns.</w:t>
      </w:r>
    </w:p>
    <w:p w14:paraId="6A3E2EDF" w14:textId="1448B53C" w:rsidR="00F52C91" w:rsidRPr="00F52C91" w:rsidRDefault="00F52C91" w:rsidP="00F52C91">
      <w:r>
        <w:tab/>
        <w:t xml:space="preserve">For other businesses, a need risk management solution might require adopting multiple frameworks.  Consider an eCommerce site that operates within a private data center.  This organization might need SABRE to manage the physical assets and NIST Risk Framework to </w:t>
      </w:r>
      <w:r>
        <w:lastRenderedPageBreak/>
        <w:t>cover digital artifacts for industry compliance. When integrating multiple frameworks, there are additional challenges, such as needing to choose the stricter requirement when expectations contradict.  Ideally, these scenarios sufficiently overlap; however, specific scenarios can encounter unique issues.</w:t>
      </w:r>
    </w:p>
    <w:p w14:paraId="38D3305F" w14:textId="391A5BCB" w:rsidR="004B384F" w:rsidRPr="00F52C91" w:rsidRDefault="00F52C91" w:rsidP="00F52C91">
      <w:pPr>
        <w:jc w:val="center"/>
      </w:pPr>
      <w:r>
        <w:t xml:space="preserve">Table 1: </w:t>
      </w:r>
      <w:r w:rsidR="004B384F" w:rsidRPr="00F52C91">
        <w:t>Risk Framework Matrix</w:t>
      </w:r>
    </w:p>
    <w:tbl>
      <w:tblPr>
        <w:tblStyle w:val="TableGrid"/>
        <w:tblW w:w="0" w:type="auto"/>
        <w:tblLook w:val="04A0" w:firstRow="1" w:lastRow="0" w:firstColumn="1" w:lastColumn="0" w:noHBand="0" w:noVBand="1"/>
      </w:tblPr>
      <w:tblGrid>
        <w:gridCol w:w="2713"/>
        <w:gridCol w:w="2194"/>
        <w:gridCol w:w="2229"/>
        <w:gridCol w:w="2214"/>
      </w:tblGrid>
      <w:tr w:rsidR="00876CFF" w:rsidRPr="00BA77EE" w14:paraId="3859D5C3" w14:textId="77777777" w:rsidTr="00AB0CCA">
        <w:tc>
          <w:tcPr>
            <w:tcW w:w="2713" w:type="dxa"/>
            <w:shd w:val="clear" w:color="auto" w:fill="D9D9D9" w:themeFill="background1" w:themeFillShade="D9"/>
          </w:tcPr>
          <w:p w14:paraId="52D775F6" w14:textId="77777777" w:rsidR="00876CFF" w:rsidRPr="00BA77EE" w:rsidRDefault="00876CFF" w:rsidP="00F52C91">
            <w:r w:rsidRPr="00BA77EE">
              <w:t>Model/Framework</w:t>
            </w:r>
          </w:p>
        </w:tc>
        <w:tc>
          <w:tcPr>
            <w:tcW w:w="2194" w:type="dxa"/>
            <w:shd w:val="clear" w:color="auto" w:fill="D9D9D9" w:themeFill="background1" w:themeFillShade="D9"/>
          </w:tcPr>
          <w:p w14:paraId="2ED53B94" w14:textId="77777777" w:rsidR="00876CFF" w:rsidRPr="00BA77EE" w:rsidRDefault="00876CFF" w:rsidP="00F52C91">
            <w:r w:rsidRPr="00BA77EE">
              <w:t>Strengths</w:t>
            </w:r>
          </w:p>
        </w:tc>
        <w:tc>
          <w:tcPr>
            <w:tcW w:w="2229" w:type="dxa"/>
            <w:shd w:val="clear" w:color="auto" w:fill="D9D9D9" w:themeFill="background1" w:themeFillShade="D9"/>
          </w:tcPr>
          <w:p w14:paraId="455B751B" w14:textId="77777777" w:rsidR="00876CFF" w:rsidRPr="00BA77EE" w:rsidRDefault="00876CFF" w:rsidP="00F52C91">
            <w:r w:rsidRPr="00BA77EE">
              <w:t>Limitations</w:t>
            </w:r>
          </w:p>
        </w:tc>
        <w:tc>
          <w:tcPr>
            <w:tcW w:w="2214" w:type="dxa"/>
            <w:shd w:val="clear" w:color="auto" w:fill="D9D9D9" w:themeFill="background1" w:themeFillShade="D9"/>
          </w:tcPr>
          <w:p w14:paraId="60A86C91" w14:textId="77777777" w:rsidR="00876CFF" w:rsidRPr="00BA77EE" w:rsidRDefault="00876CFF" w:rsidP="00F52C91">
            <w:r w:rsidRPr="00BA77EE">
              <w:t>Comments</w:t>
            </w:r>
          </w:p>
        </w:tc>
      </w:tr>
      <w:tr w:rsidR="00876CFF" w14:paraId="07513AAA" w14:textId="77777777" w:rsidTr="00AB0CCA">
        <w:tc>
          <w:tcPr>
            <w:tcW w:w="2713" w:type="dxa"/>
          </w:tcPr>
          <w:p w14:paraId="696A6092" w14:textId="77777777" w:rsidR="00876CFF" w:rsidRDefault="00876CFF" w:rsidP="00F52C91">
            <w:r>
              <w:t>NIST Risk management framework (SP-800-37 R2)</w:t>
            </w:r>
          </w:p>
        </w:tc>
        <w:tc>
          <w:tcPr>
            <w:tcW w:w="2194" w:type="dxa"/>
          </w:tcPr>
          <w:p w14:paraId="3107ACDD" w14:textId="519A09E7" w:rsidR="00876CFF" w:rsidRDefault="009E5D4E" w:rsidP="00F52C91">
            <w:r>
              <w:t xml:space="preserve">Focuses on checklists of controls and risk categories </w:t>
            </w:r>
            <w:sdt>
              <w:sdtPr>
                <w:id w:val="-912314248"/>
                <w:citation/>
              </w:sdtPr>
              <w:sdtContent>
                <w:r>
                  <w:fldChar w:fldCharType="begin"/>
                </w:r>
                <w:r>
                  <w:instrText xml:space="preserve"> CITATION Com16 \l 1033 </w:instrText>
                </w:r>
                <w:r>
                  <w:fldChar w:fldCharType="separate"/>
                </w:r>
                <w:r w:rsidRPr="009E5D4E">
                  <w:rPr>
                    <w:noProof/>
                  </w:rPr>
                  <w:t>(Combass &amp; Shilling, 2016)</w:t>
                </w:r>
                <w:r>
                  <w:fldChar w:fldCharType="end"/>
                </w:r>
              </w:sdtContent>
            </w:sdt>
          </w:p>
        </w:tc>
        <w:tc>
          <w:tcPr>
            <w:tcW w:w="2229" w:type="dxa"/>
          </w:tcPr>
          <w:p w14:paraId="0E7F5C60" w14:textId="33D7A758" w:rsidR="00876CFF" w:rsidRDefault="009E5D4E" w:rsidP="00F52C91">
            <w:r>
              <w:t>A more rig</w:t>
            </w:r>
            <w:r w:rsidR="00F52C91">
              <w:t>id</w:t>
            </w:r>
            <w:r>
              <w:t xml:space="preserve"> process that is appropriate for military purchases</w:t>
            </w:r>
          </w:p>
        </w:tc>
        <w:tc>
          <w:tcPr>
            <w:tcW w:w="2214" w:type="dxa"/>
          </w:tcPr>
          <w:p w14:paraId="51401461" w14:textId="7860D28D" w:rsidR="009E5D4E" w:rsidRDefault="009E5D4E" w:rsidP="00F52C91">
            <w:r>
              <w:t>Seems to be more of an acquisition checklist based on usage</w:t>
            </w:r>
          </w:p>
          <w:p w14:paraId="47078A4B" w14:textId="00054DE0" w:rsidR="00876CFF" w:rsidRDefault="00876CFF" w:rsidP="00F52C91"/>
        </w:tc>
      </w:tr>
      <w:tr w:rsidR="00876CFF" w14:paraId="1CD17369" w14:textId="77777777" w:rsidTr="00AB0CCA">
        <w:tc>
          <w:tcPr>
            <w:tcW w:w="2713" w:type="dxa"/>
          </w:tcPr>
          <w:p w14:paraId="52442FF3" w14:textId="77777777" w:rsidR="00876CFF" w:rsidRPr="009E5D4E" w:rsidRDefault="00876CFF" w:rsidP="00F52C91">
            <w:r w:rsidRPr="009E5D4E">
              <w:t>ISACA Risk IT management framework</w:t>
            </w:r>
          </w:p>
        </w:tc>
        <w:tc>
          <w:tcPr>
            <w:tcW w:w="2194" w:type="dxa"/>
          </w:tcPr>
          <w:p w14:paraId="1CF04CDB" w14:textId="29A2495A" w:rsidR="00876CFF" w:rsidRDefault="009E5D4E" w:rsidP="00F52C91">
            <w:r>
              <w:t>Collection of industry best practices that apply to many scenarios</w:t>
            </w:r>
          </w:p>
        </w:tc>
        <w:tc>
          <w:tcPr>
            <w:tcW w:w="2229" w:type="dxa"/>
          </w:tcPr>
          <w:p w14:paraId="612CD5B6" w14:textId="755F31E9" w:rsidR="009E5D4E" w:rsidRPr="009E5D4E" w:rsidRDefault="009E5D4E" w:rsidP="00F52C91">
            <w:r w:rsidRPr="009E5D4E">
              <w:t xml:space="preserve">Not based </w:t>
            </w:r>
            <w:proofErr w:type="gramStart"/>
            <w:r w:rsidRPr="009E5D4E">
              <w:t>on  academic</w:t>
            </w:r>
            <w:proofErr w:type="gramEnd"/>
            <w:r w:rsidRPr="009E5D4E">
              <w:t xml:space="preserve"> research</w:t>
            </w:r>
            <w:r>
              <w:t xml:space="preserve"> </w:t>
            </w:r>
            <w:sdt>
              <w:sdtPr>
                <w:id w:val="-962114427"/>
                <w:citation/>
              </w:sdtPr>
              <w:sdtContent>
                <w:r>
                  <w:fldChar w:fldCharType="begin"/>
                </w:r>
                <w:r>
                  <w:instrText xml:space="preserve"> CITATION Dev15 \l 1033 </w:instrText>
                </w:r>
                <w:r>
                  <w:fldChar w:fldCharType="separate"/>
                </w:r>
                <w:r>
                  <w:rPr>
                    <w:noProof/>
                  </w:rPr>
                  <w:t>(Devos &amp; Van de Ginste, 2015)</w:t>
                </w:r>
                <w:r>
                  <w:fldChar w:fldCharType="end"/>
                </w:r>
              </w:sdtContent>
            </w:sdt>
          </w:p>
          <w:p w14:paraId="49C11D4A" w14:textId="050813F6" w:rsidR="00876CFF" w:rsidRPr="009E5D4E" w:rsidRDefault="009E5D4E" w:rsidP="00F52C91">
            <w:r w:rsidRPr="009E5D4E">
              <w:t>P</w:t>
            </w:r>
            <w:r>
              <w:t>re</w:t>
            </w:r>
            <w:r w:rsidRPr="009E5D4E">
              <w:t xml:space="preserve">scriptive </w:t>
            </w:r>
            <w:r>
              <w:t xml:space="preserve">guidance might be difficult for every scenario </w:t>
            </w:r>
            <w:sdt>
              <w:sdtPr>
                <w:id w:val="1052501441"/>
                <w:citation/>
              </w:sdtPr>
              <w:sdtContent>
                <w:r w:rsidRPr="009E5D4E">
                  <w:fldChar w:fldCharType="begin"/>
                </w:r>
                <w:r w:rsidRPr="009E5D4E">
                  <w:instrText xml:space="preserve"> CITATION Cha13 \l 1033 </w:instrText>
                </w:r>
                <w:r w:rsidRPr="009E5D4E">
                  <w:fldChar w:fldCharType="separate"/>
                </w:r>
                <w:r w:rsidRPr="009E5D4E">
                  <w:rPr>
                    <w:noProof/>
                  </w:rPr>
                  <w:t xml:space="preserve"> (Chabrow, 2013)</w:t>
                </w:r>
                <w:r w:rsidRPr="009E5D4E">
                  <w:fldChar w:fldCharType="end"/>
                </w:r>
              </w:sdtContent>
            </w:sdt>
          </w:p>
        </w:tc>
        <w:tc>
          <w:tcPr>
            <w:tcW w:w="2214" w:type="dxa"/>
          </w:tcPr>
          <w:p w14:paraId="108D6E69" w14:textId="0713921A" w:rsidR="00876CFF" w:rsidRDefault="009E5D4E" w:rsidP="00F52C91">
            <w:r>
              <w:t>Rebranded to COBIT v5 around 2009</w:t>
            </w:r>
          </w:p>
        </w:tc>
      </w:tr>
      <w:tr w:rsidR="00876CFF" w14:paraId="4C69E3FD" w14:textId="77777777" w:rsidTr="00AB0CCA">
        <w:tc>
          <w:tcPr>
            <w:tcW w:w="2713" w:type="dxa"/>
          </w:tcPr>
          <w:p w14:paraId="2A453EA4" w14:textId="77777777" w:rsidR="00876CFF" w:rsidRDefault="00876CFF" w:rsidP="00F52C91">
            <w:r>
              <w:lastRenderedPageBreak/>
              <w:t>Value at Risk (VAR) framework</w:t>
            </w:r>
          </w:p>
        </w:tc>
        <w:tc>
          <w:tcPr>
            <w:tcW w:w="2194" w:type="dxa"/>
          </w:tcPr>
          <w:p w14:paraId="3D80D599" w14:textId="04DB0296" w:rsidR="00876CFF" w:rsidRDefault="009E5D4E" w:rsidP="00F52C91">
            <w:r>
              <w:t>A statistical measure of the loss given the probability of an event</w:t>
            </w:r>
            <w:sdt>
              <w:sdtPr>
                <w:id w:val="1137378735"/>
                <w:citation/>
              </w:sdtPr>
              <w:sdtContent>
                <w:r>
                  <w:fldChar w:fldCharType="begin"/>
                </w:r>
                <w:r>
                  <w:instrText xml:space="preserve"> CITATION Ken19 \l 1033 </w:instrText>
                </w:r>
                <w:r>
                  <w:fldChar w:fldCharType="separate"/>
                </w:r>
                <w:r>
                  <w:rPr>
                    <w:noProof/>
                  </w:rPr>
                  <w:t xml:space="preserve"> (Kenton, 2019)</w:t>
                </w:r>
                <w:r>
                  <w:fldChar w:fldCharType="end"/>
                </w:r>
              </w:sdtContent>
            </w:sdt>
          </w:p>
        </w:tc>
        <w:tc>
          <w:tcPr>
            <w:tcW w:w="2229" w:type="dxa"/>
          </w:tcPr>
          <w:p w14:paraId="128F1505" w14:textId="1D73F7F2" w:rsidR="00876CFF" w:rsidRDefault="009E5D4E" w:rsidP="00F52C91">
            <w:r>
              <w:t>Businesses consistently make more assessments of a security risk</w:t>
            </w:r>
            <w:sdt>
              <w:sdtPr>
                <w:id w:val="802662246"/>
                <w:citation/>
              </w:sdtPr>
              <w:sdtContent>
                <w:r>
                  <w:fldChar w:fldCharType="begin"/>
                </w:r>
                <w:r>
                  <w:instrText xml:space="preserve"> CITATION Eli19 \l 1033 </w:instrText>
                </w:r>
                <w:r>
                  <w:fldChar w:fldCharType="separate"/>
                </w:r>
                <w:r>
                  <w:rPr>
                    <w:noProof/>
                  </w:rPr>
                  <w:t xml:space="preserve"> (Eling &amp; Wirfs, 2019)</w:t>
                </w:r>
                <w:r>
                  <w:fldChar w:fldCharType="end"/>
                </w:r>
              </w:sdtContent>
            </w:sdt>
          </w:p>
        </w:tc>
        <w:tc>
          <w:tcPr>
            <w:tcW w:w="2214" w:type="dxa"/>
          </w:tcPr>
          <w:p w14:paraId="16260A68" w14:textId="1EA2224D" w:rsidR="00876CFF" w:rsidRDefault="009E5D4E" w:rsidP="00F52C91">
            <w:r>
              <w:t>Many technology decisions are not pure black/white (a) will cost (b) if (c)</w:t>
            </w:r>
          </w:p>
        </w:tc>
      </w:tr>
      <w:tr w:rsidR="00876CFF" w14:paraId="1E4BDF2F" w14:textId="77777777" w:rsidTr="00AB0CCA">
        <w:tc>
          <w:tcPr>
            <w:tcW w:w="2713" w:type="dxa"/>
          </w:tcPr>
          <w:p w14:paraId="155C4132" w14:textId="4B0E63B3" w:rsidR="00876CFF" w:rsidRDefault="00876CFF" w:rsidP="00F52C91">
            <w:r>
              <w:t>Financial</w:t>
            </w:r>
            <w:r w:rsidR="001262DC">
              <w:t>,</w:t>
            </w:r>
            <w:r>
              <w:t xml:space="preserve"> economic theory</w:t>
            </w:r>
          </w:p>
        </w:tc>
        <w:tc>
          <w:tcPr>
            <w:tcW w:w="2194" w:type="dxa"/>
          </w:tcPr>
          <w:p w14:paraId="0F3DDE4E" w14:textId="143BA885" w:rsidR="00876CFF" w:rsidRDefault="009E5D4E" w:rsidP="00F52C91">
            <w:r>
              <w:t>Models time, risk, and uncertainty to make economically sound decisions</w:t>
            </w:r>
            <w:sdt>
              <w:sdtPr>
                <w:id w:val="-2018453619"/>
                <w:citation/>
              </w:sdtPr>
              <w:sdtContent>
                <w:r>
                  <w:fldChar w:fldCharType="begin"/>
                </w:r>
                <w:r>
                  <w:instrText xml:space="preserve"> CITATION Lib19 \l 1033 </w:instrText>
                </w:r>
                <w:r>
                  <w:fldChar w:fldCharType="separate"/>
                </w:r>
                <w:r>
                  <w:rPr>
                    <w:noProof/>
                  </w:rPr>
                  <w:t xml:space="preserve"> (Liberto, 2019)</w:t>
                </w:r>
                <w:r>
                  <w:fldChar w:fldCharType="end"/>
                </w:r>
              </w:sdtContent>
            </w:sdt>
          </w:p>
        </w:tc>
        <w:tc>
          <w:tcPr>
            <w:tcW w:w="2229" w:type="dxa"/>
          </w:tcPr>
          <w:p w14:paraId="53860038" w14:textId="43A5C7BB" w:rsidR="00876CFF" w:rsidRDefault="009E5D4E" w:rsidP="00F52C91">
            <w:r>
              <w:t>Makes extensive use of hedging, which might not apply to information technology systems</w:t>
            </w:r>
          </w:p>
        </w:tc>
        <w:tc>
          <w:tcPr>
            <w:tcW w:w="2214" w:type="dxa"/>
          </w:tcPr>
          <w:p w14:paraId="56C352C9" w14:textId="309CB489" w:rsidR="00876CFF" w:rsidRDefault="00876CFF" w:rsidP="00F52C91"/>
        </w:tc>
      </w:tr>
      <w:tr w:rsidR="00876CFF" w14:paraId="411FB550" w14:textId="77777777" w:rsidTr="00AB0CCA">
        <w:tc>
          <w:tcPr>
            <w:tcW w:w="2713" w:type="dxa"/>
          </w:tcPr>
          <w:p w14:paraId="5FBDD2B5" w14:textId="77777777" w:rsidR="00876CFF" w:rsidRDefault="00876CFF" w:rsidP="00F52C91">
            <w:r>
              <w:t>SABRE security risk management model for asset management</w:t>
            </w:r>
          </w:p>
        </w:tc>
        <w:tc>
          <w:tcPr>
            <w:tcW w:w="2194" w:type="dxa"/>
          </w:tcPr>
          <w:p w14:paraId="10495248" w14:textId="781930B6" w:rsidR="00876CFF" w:rsidRDefault="009E5D4E" w:rsidP="00F52C91">
            <w:r>
              <w:t>The high-quality standard for physical structures</w:t>
            </w:r>
            <w:sdt>
              <w:sdtPr>
                <w:id w:val="2032914559"/>
                <w:citation/>
              </w:sdtPr>
              <w:sdtContent>
                <w:r>
                  <w:fldChar w:fldCharType="begin"/>
                </w:r>
                <w:r>
                  <w:instrText xml:space="preserve"> CITATION BRE20 \l 1033 </w:instrText>
                </w:r>
                <w:r>
                  <w:fldChar w:fldCharType="separate"/>
                </w:r>
                <w:r>
                  <w:rPr>
                    <w:noProof/>
                  </w:rPr>
                  <w:t xml:space="preserve"> (BRE, 2020)</w:t>
                </w:r>
                <w:r>
                  <w:fldChar w:fldCharType="end"/>
                </w:r>
              </w:sdtContent>
            </w:sdt>
          </w:p>
        </w:tc>
        <w:tc>
          <w:tcPr>
            <w:tcW w:w="2229" w:type="dxa"/>
          </w:tcPr>
          <w:p w14:paraId="67E6568A" w14:textId="708DF7EA" w:rsidR="00876CFF" w:rsidRDefault="009E5D4E" w:rsidP="00F52C91">
            <w:r>
              <w:t>Only focuses on physical structures</w:t>
            </w:r>
          </w:p>
        </w:tc>
        <w:tc>
          <w:tcPr>
            <w:tcW w:w="2214" w:type="dxa"/>
          </w:tcPr>
          <w:p w14:paraId="0A92E9CB" w14:textId="51D58CD7" w:rsidR="00876CFF" w:rsidRDefault="009E5D4E" w:rsidP="00F52C91">
            <w:r>
              <w:t>Appropriate for industrial complex through residential housing</w:t>
            </w:r>
          </w:p>
        </w:tc>
      </w:tr>
      <w:tr w:rsidR="00876CFF" w14:paraId="68AB4B2C" w14:textId="77777777" w:rsidTr="00AB0CCA">
        <w:tc>
          <w:tcPr>
            <w:tcW w:w="2713" w:type="dxa"/>
          </w:tcPr>
          <w:p w14:paraId="787B8A1D" w14:textId="5DF86C36" w:rsidR="00876CFF" w:rsidRDefault="009E5D4E" w:rsidP="00F52C91">
            <w:r>
              <w:t>NIST Cybersecurity Framework</w:t>
            </w:r>
          </w:p>
        </w:tc>
        <w:tc>
          <w:tcPr>
            <w:tcW w:w="2194" w:type="dxa"/>
          </w:tcPr>
          <w:p w14:paraId="366E6263" w14:textId="108D65FF" w:rsidR="00876CFF" w:rsidRDefault="009E5D4E" w:rsidP="00F52C91">
            <w:r>
              <w:t>Adapts to various maturity levels through a good-better-best mindset</w:t>
            </w:r>
            <w:sdt>
              <w:sdtPr>
                <w:id w:val="255803073"/>
                <w:citation/>
              </w:sdtPr>
              <w:sdtContent>
                <w:r>
                  <w:fldChar w:fldCharType="begin"/>
                </w:r>
                <w:r>
                  <w:instrText xml:space="preserve"> CITATION Gro18 \l 1033 </w:instrText>
                </w:r>
                <w:r>
                  <w:fldChar w:fldCharType="separate"/>
                </w:r>
                <w:r>
                  <w:rPr>
                    <w:noProof/>
                  </w:rPr>
                  <w:t xml:space="preserve"> (Grohmann, 2018)</w:t>
                </w:r>
                <w:r>
                  <w:fldChar w:fldCharType="end"/>
                </w:r>
              </w:sdtContent>
            </w:sdt>
          </w:p>
        </w:tc>
        <w:tc>
          <w:tcPr>
            <w:tcW w:w="2229" w:type="dxa"/>
          </w:tcPr>
          <w:p w14:paraId="43C14083" w14:textId="7C310B7F" w:rsidR="00876CFF" w:rsidRDefault="009E5D4E" w:rsidP="00F52C91">
            <w:r>
              <w:t>External audiences cannot gauge security posture at a simple glance (are they ok or excellent on aspect 1234)</w:t>
            </w:r>
          </w:p>
        </w:tc>
        <w:tc>
          <w:tcPr>
            <w:tcW w:w="2214" w:type="dxa"/>
          </w:tcPr>
          <w:p w14:paraId="67D4C58B" w14:textId="43279686" w:rsidR="00876CFF" w:rsidRDefault="009E5D4E" w:rsidP="00F52C91">
            <w:r>
              <w:t>The right solution for many large and decentralize</w:t>
            </w:r>
            <w:r w:rsidR="00382AE8">
              <w:t>d</w:t>
            </w:r>
            <w:r>
              <w:t xml:space="preserve"> businesses that lack any formal process</w:t>
            </w:r>
          </w:p>
        </w:tc>
      </w:tr>
    </w:tbl>
    <w:p w14:paraId="0E6FC37C" w14:textId="3CE1B59A" w:rsidR="00DB5BBD" w:rsidRDefault="00DB5BBD" w:rsidP="00F52C91"/>
    <w:p w14:paraId="3A00A20C" w14:textId="45557CAD" w:rsidR="00AB21D2" w:rsidRDefault="00AB21D2">
      <w:pPr>
        <w:spacing w:line="259" w:lineRule="auto"/>
      </w:pPr>
      <w:r>
        <w:br w:type="page"/>
      </w:r>
    </w:p>
    <w:sdt>
      <w:sdtPr>
        <w:id w:val="-1210179824"/>
        <w:docPartObj>
          <w:docPartGallery w:val="Bibliographies"/>
          <w:docPartUnique/>
        </w:docPartObj>
      </w:sdtPr>
      <w:sdtEndPr>
        <w:rPr>
          <w:b w:val="0"/>
          <w:bCs w:val="0"/>
        </w:rPr>
      </w:sdtEndPr>
      <w:sdtContent>
        <w:p w14:paraId="02E047BF" w14:textId="7446D1E7" w:rsidR="00AB21D2" w:rsidRPr="00AB21D2" w:rsidRDefault="00AB21D2">
          <w:pPr>
            <w:pStyle w:val="Heading1"/>
            <w:rPr>
              <w:b w:val="0"/>
              <w:bCs w:val="0"/>
            </w:rPr>
          </w:pPr>
          <w:r w:rsidRPr="00AB21D2">
            <w:rPr>
              <w:b w:val="0"/>
              <w:bCs w:val="0"/>
            </w:rPr>
            <w:t>References</w:t>
          </w:r>
        </w:p>
        <w:sdt>
          <w:sdtPr>
            <w:id w:val="-573587230"/>
            <w:bibliography/>
          </w:sdtPr>
          <w:sdtContent>
            <w:p w14:paraId="776CA3D0" w14:textId="0128AF38" w:rsidR="00AB21D2" w:rsidRDefault="00AB21D2" w:rsidP="00AB21D2">
              <w:pPr>
                <w:pStyle w:val="Bibliography"/>
                <w:ind w:left="720" w:hanging="720"/>
                <w:rPr>
                  <w:noProof/>
                </w:rPr>
              </w:pPr>
              <w:r>
                <w:fldChar w:fldCharType="begin"/>
              </w:r>
              <w:r>
                <w:instrText xml:space="preserve"> BIBLIOGRAPHY </w:instrText>
              </w:r>
              <w:r>
                <w:fldChar w:fldCharType="separate"/>
              </w:r>
              <w:r>
                <w:rPr>
                  <w:noProof/>
                </w:rPr>
                <w:t xml:space="preserve">BRE. (2020, June 14). </w:t>
              </w:r>
              <w:r>
                <w:rPr>
                  <w:i/>
                  <w:iCs/>
                  <w:noProof/>
                </w:rPr>
                <w:t>What is SABRE</w:t>
              </w:r>
              <w:r>
                <w:rPr>
                  <w:noProof/>
                </w:rPr>
                <w:t>? Retrieved June 14, 2020, from BRE Group: https://www.bregroup.com/sabre/</w:t>
              </w:r>
            </w:p>
            <w:p w14:paraId="1DD54745" w14:textId="77777777" w:rsidR="00AB21D2" w:rsidRDefault="00AB21D2" w:rsidP="00AB21D2">
              <w:pPr>
                <w:pStyle w:val="Bibliography"/>
                <w:ind w:left="720" w:hanging="720"/>
                <w:rPr>
                  <w:noProof/>
                </w:rPr>
              </w:pPr>
              <w:r>
                <w:rPr>
                  <w:noProof/>
                </w:rPr>
                <w:t xml:space="preserve">Chabrow, E. (2013, September 26). </w:t>
              </w:r>
              <w:r>
                <w:rPr>
                  <w:i/>
                  <w:iCs/>
                  <w:noProof/>
                </w:rPr>
                <w:t>ISACA Unveils New Risk Mgt. Framework</w:t>
              </w:r>
              <w:r>
                <w:rPr>
                  <w:noProof/>
                </w:rPr>
                <w:t>. Retrieved June 14, 2020, from Bank Info Security: https://www.bankinfosecurity.com/isaca-unveils-new-risk-management-framework-a-6098</w:t>
              </w:r>
            </w:p>
            <w:p w14:paraId="1A1BDA57" w14:textId="150DFB5B" w:rsidR="00AB21D2" w:rsidRDefault="00AB21D2" w:rsidP="00AB21D2">
              <w:pPr>
                <w:pStyle w:val="Bibliography"/>
                <w:ind w:left="720" w:hanging="720"/>
                <w:rPr>
                  <w:noProof/>
                </w:rPr>
              </w:pPr>
              <w:r>
                <w:rPr>
                  <w:noProof/>
                </w:rPr>
                <w:t xml:space="preserve">Combass, T., &amp; Shilling, A. (2016). Integrating cybersecurity into NAVAIR OTPS acquisition. </w:t>
              </w:r>
              <w:r>
                <w:rPr>
                  <w:i/>
                  <w:iCs/>
                  <w:noProof/>
                </w:rPr>
                <w:t>Institute of Electrical and Electronics Engineering AUTOTESTCON</w:t>
              </w:r>
              <w:r>
                <w:rPr>
                  <w:noProof/>
                </w:rPr>
                <w:t>, (pp. 1-5). Anaheim, CA. doi:https://doi-org.proxy1.ncu.edu/10.1109/AUTEST.2016.7589632</w:t>
              </w:r>
            </w:p>
            <w:p w14:paraId="3993FEE4" w14:textId="77777777" w:rsidR="00AB21D2" w:rsidRDefault="00AB21D2" w:rsidP="00AB21D2">
              <w:pPr>
                <w:pStyle w:val="Bibliography"/>
                <w:ind w:left="720" w:hanging="720"/>
                <w:rPr>
                  <w:noProof/>
                </w:rPr>
              </w:pPr>
              <w:r>
                <w:rPr>
                  <w:noProof/>
                </w:rPr>
                <w:t xml:space="preserve">Dai Zovi, D. (2019). Every Security Team is a Software Team Now. </w:t>
              </w:r>
              <w:r>
                <w:rPr>
                  <w:i/>
                  <w:iCs/>
                  <w:noProof/>
                </w:rPr>
                <w:t>Blackhat USA.</w:t>
              </w:r>
              <w:r>
                <w:rPr>
                  <w:noProof/>
                </w:rPr>
                <w:t xml:space="preserve"> Black Hat. Retrieved May 2020, from https://www.youtube.com/watch?v=8armE3Wz0jk</w:t>
              </w:r>
            </w:p>
            <w:p w14:paraId="7DA64F02" w14:textId="77777777" w:rsidR="00AB21D2" w:rsidRDefault="00AB21D2" w:rsidP="00AB21D2">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from https://search-ebscohost-com.proxy1.ncu.edu/login.aspx?direct=true&amp;db=edb&amp;AN=109261833&amp;site=eds-live</w:t>
              </w:r>
            </w:p>
            <w:p w14:paraId="70320C4A" w14:textId="7C2895B8" w:rsidR="00AB21D2" w:rsidRDefault="00AB21D2" w:rsidP="00AB21D2">
              <w:pPr>
                <w:pStyle w:val="Bibliography"/>
                <w:ind w:left="720" w:hanging="720"/>
                <w:rPr>
                  <w:noProof/>
                </w:rPr>
              </w:pPr>
              <w:r>
                <w:rPr>
                  <w:noProof/>
                </w:rPr>
                <w:t xml:space="preserve">Eling, M., &amp; Wirfs, J. (2019). What are the actual costs of cyber risk events? </w:t>
              </w:r>
              <w:r>
                <w:rPr>
                  <w:i/>
                  <w:iCs/>
                  <w:noProof/>
                </w:rPr>
                <w:t>European Journal of Operational Research, 272</w:t>
              </w:r>
              <w:r>
                <w:rPr>
                  <w:noProof/>
                </w:rPr>
                <w:t>(1), 1109-1119. doi:https://doi.org/10.1016/j.ejor.2018.07.021</w:t>
              </w:r>
            </w:p>
            <w:p w14:paraId="4B0E69CB" w14:textId="77777777" w:rsidR="00AB21D2" w:rsidRDefault="00AB21D2" w:rsidP="00AB21D2">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02FD74C8" w14:textId="77777777" w:rsidR="00AB21D2" w:rsidRDefault="00AB21D2" w:rsidP="00AB21D2">
              <w:pPr>
                <w:pStyle w:val="Bibliography"/>
                <w:ind w:left="720" w:hanging="720"/>
                <w:rPr>
                  <w:noProof/>
                </w:rPr>
              </w:pPr>
              <w:r>
                <w:rPr>
                  <w:noProof/>
                </w:rPr>
                <w:lastRenderedPageBreak/>
                <w:t xml:space="preserve">Grohmann, A. (2018). Evolution of the cybersecurity framework. </w:t>
              </w:r>
              <w:r>
                <w:rPr>
                  <w:i/>
                  <w:iCs/>
                  <w:noProof/>
                </w:rPr>
                <w:t>ISSA Journal, 16</w:t>
              </w:r>
              <w:r>
                <w:rPr>
                  <w:noProof/>
                </w:rPr>
                <w:t>(7), 14-18. Retrieved May 2, 2020, from https://search-ebscohost-com.proxy1.ncu.edu/login.aspx?direct=true&amp;db=tsh&amp;AN=130572679&amp;site=eds-live</w:t>
              </w:r>
            </w:p>
            <w:p w14:paraId="5075BC93" w14:textId="77777777" w:rsidR="00AB21D2" w:rsidRDefault="00AB21D2" w:rsidP="00AB21D2">
              <w:pPr>
                <w:pStyle w:val="Bibliography"/>
                <w:ind w:left="720" w:hanging="720"/>
                <w:rPr>
                  <w:noProof/>
                </w:rPr>
              </w:pPr>
              <w:r>
                <w:rPr>
                  <w:noProof/>
                </w:rPr>
                <w:t xml:space="preserve">Kenton, W. (2019, April 18). </w:t>
              </w:r>
              <w:r>
                <w:rPr>
                  <w:i/>
                  <w:iCs/>
                  <w:noProof/>
                </w:rPr>
                <w:t>Value at Risk (VAR)</w:t>
              </w:r>
              <w:r>
                <w:rPr>
                  <w:noProof/>
                </w:rPr>
                <w:t>. Retrieved June 14, 2020, from Investopedia: https://www.investopedia.com/terms/v/var.asp</w:t>
              </w:r>
            </w:p>
            <w:p w14:paraId="4FD03BC7" w14:textId="77777777" w:rsidR="00AB21D2" w:rsidRDefault="00AB21D2" w:rsidP="00AB21D2">
              <w:pPr>
                <w:pStyle w:val="Bibliography"/>
                <w:ind w:left="720" w:hanging="720"/>
                <w:rPr>
                  <w:noProof/>
                </w:rPr>
              </w:pPr>
              <w:r>
                <w:rPr>
                  <w:noProof/>
                </w:rPr>
                <w:t xml:space="preserve">Liberto, D. (2019, June 26). </w:t>
              </w:r>
              <w:r>
                <w:rPr>
                  <w:i/>
                  <w:iCs/>
                  <w:noProof/>
                </w:rPr>
                <w:t>Financial Economics</w:t>
              </w:r>
              <w:r>
                <w:rPr>
                  <w:noProof/>
                </w:rPr>
                <w:t>. Retrieved June 14, 2020, from Investopedia: https://www.investopedia.com/terms/f/financial-economics.asp</w:t>
              </w:r>
            </w:p>
            <w:p w14:paraId="0292331D" w14:textId="77777777" w:rsidR="00AB21D2" w:rsidRDefault="00AB21D2" w:rsidP="00AB21D2">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712D24C1" w14:textId="1CA4AB28" w:rsidR="00AB21D2" w:rsidRDefault="00AB21D2" w:rsidP="00AB21D2">
              <w:r>
                <w:rPr>
                  <w:b/>
                  <w:bCs/>
                  <w:noProof/>
                </w:rPr>
                <w:fldChar w:fldCharType="end"/>
              </w:r>
            </w:p>
          </w:sdtContent>
        </w:sdt>
      </w:sdtContent>
    </w:sdt>
    <w:p w14:paraId="7B9CDC46" w14:textId="77777777" w:rsidR="00AB21D2" w:rsidRDefault="00AB21D2" w:rsidP="00F52C91"/>
    <w:sectPr w:rsidR="00AB21D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22CF9" w14:textId="77777777" w:rsidR="00923E30" w:rsidRDefault="00923E30" w:rsidP="00D95B10">
      <w:pPr>
        <w:spacing w:after="0" w:line="240" w:lineRule="auto"/>
      </w:pPr>
      <w:r>
        <w:separator/>
      </w:r>
    </w:p>
  </w:endnote>
  <w:endnote w:type="continuationSeparator" w:id="0">
    <w:p w14:paraId="2EE6CE68" w14:textId="77777777" w:rsidR="00923E30" w:rsidRDefault="00923E30" w:rsidP="00D95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34D15" w14:textId="77777777" w:rsidR="00D95B10" w:rsidRDefault="00D95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EAB29" w14:textId="77777777" w:rsidR="00D95B10" w:rsidRDefault="00D95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F8883" w14:textId="77777777" w:rsidR="00D95B10" w:rsidRDefault="00D95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B7211" w14:textId="77777777" w:rsidR="00923E30" w:rsidRDefault="00923E30" w:rsidP="00D95B10">
      <w:pPr>
        <w:spacing w:after="0" w:line="240" w:lineRule="auto"/>
      </w:pPr>
      <w:r>
        <w:separator/>
      </w:r>
    </w:p>
  </w:footnote>
  <w:footnote w:type="continuationSeparator" w:id="0">
    <w:p w14:paraId="52434B39" w14:textId="77777777" w:rsidR="00923E30" w:rsidRDefault="00923E30" w:rsidP="00D95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FFA2" w14:textId="77777777" w:rsidR="00D95B10" w:rsidRDefault="00D95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70D0C" w14:textId="63B253BB" w:rsidR="00D95B10" w:rsidRDefault="00D95B10" w:rsidP="00D95B10">
    <w:pPr>
      <w:pStyle w:val="Header"/>
    </w:pPr>
    <w:r>
      <w:t>TIM-7030 Managing Risk, Security, and Privacy</w:t>
    </w:r>
    <w:r>
      <w:tab/>
    </w:r>
    <w:sdt>
      <w:sdtPr>
        <w:id w:val="-1687209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E17350" w14:textId="77777777" w:rsidR="00D95B10" w:rsidRDefault="00D95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00A89" w14:textId="77777777" w:rsidR="00D95B10" w:rsidRDefault="00D95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11D3"/>
    <w:multiLevelType w:val="hybridMultilevel"/>
    <w:tmpl w:val="204ECF6E"/>
    <w:lvl w:ilvl="0" w:tplc="921A7D44">
      <w:numFmt w:val="bullet"/>
      <w:lvlText w:val="-"/>
      <w:lvlJc w:val="left"/>
      <w:pPr>
        <w:ind w:left="720" w:hanging="360"/>
      </w:pPr>
      <w:rPr>
        <w:rFonts w:ascii="Verdana" w:eastAsiaTheme="minorEastAsia" w:hAnsi="Verdana"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NrY0NTc1sbA0NzdQ0lEKTi0uzszPAykwqgUAi6jvkCwAAAA="/>
  </w:docVars>
  <w:rsids>
    <w:rsidRoot w:val="00876CFF"/>
    <w:rsid w:val="001262DC"/>
    <w:rsid w:val="002F3DA2"/>
    <w:rsid w:val="00382AE8"/>
    <w:rsid w:val="004B384F"/>
    <w:rsid w:val="005C3A57"/>
    <w:rsid w:val="006165E2"/>
    <w:rsid w:val="00876CFF"/>
    <w:rsid w:val="008C04CE"/>
    <w:rsid w:val="008E6973"/>
    <w:rsid w:val="00923E30"/>
    <w:rsid w:val="009E5D4E"/>
    <w:rsid w:val="00AB21D2"/>
    <w:rsid w:val="00C04E2E"/>
    <w:rsid w:val="00D95B10"/>
    <w:rsid w:val="00DB5BBD"/>
    <w:rsid w:val="00F5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2850"/>
  <w15:chartTrackingRefBased/>
  <w15:docId w15:val="{13A9DB4C-DE3E-4B61-AEBE-1121B4D2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C91"/>
    <w:pPr>
      <w:spacing w:line="480" w:lineRule="auto"/>
    </w:pPr>
    <w:rPr>
      <w:rFonts w:ascii="Times New Roman" w:eastAsiaTheme="minorEastAsia" w:hAnsi="Times New Roman" w:cs="Times New Roman"/>
      <w:color w:val="000000" w:themeColor="text1"/>
      <w:sz w:val="24"/>
      <w:szCs w:val="24"/>
    </w:rPr>
  </w:style>
  <w:style w:type="paragraph" w:styleId="Heading1">
    <w:name w:val="heading 1"/>
    <w:basedOn w:val="Normal"/>
    <w:next w:val="Normal"/>
    <w:link w:val="Heading1Char"/>
    <w:uiPriority w:val="9"/>
    <w:qFormat/>
    <w:rsid w:val="004B384F"/>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D4E"/>
    <w:pPr>
      <w:ind w:left="720"/>
      <w:contextualSpacing/>
    </w:pPr>
  </w:style>
  <w:style w:type="character" w:customStyle="1" w:styleId="Heading1Char">
    <w:name w:val="Heading 1 Char"/>
    <w:basedOn w:val="DefaultParagraphFont"/>
    <w:link w:val="Heading1"/>
    <w:uiPriority w:val="9"/>
    <w:rsid w:val="004B384F"/>
    <w:rPr>
      <w:rFonts w:ascii="Times New Roman" w:eastAsiaTheme="minorEastAsia" w:hAnsi="Times New Roman" w:cs="Times New Roman"/>
      <w:b/>
      <w:bCs/>
      <w:color w:val="000000" w:themeColor="text1"/>
      <w:sz w:val="24"/>
      <w:szCs w:val="24"/>
    </w:rPr>
  </w:style>
  <w:style w:type="paragraph" w:styleId="Bibliography">
    <w:name w:val="Bibliography"/>
    <w:basedOn w:val="Normal"/>
    <w:next w:val="Normal"/>
    <w:uiPriority w:val="37"/>
    <w:unhideWhenUsed/>
    <w:rsid w:val="00AB21D2"/>
  </w:style>
  <w:style w:type="paragraph" w:styleId="Header">
    <w:name w:val="header"/>
    <w:basedOn w:val="Normal"/>
    <w:link w:val="HeaderChar"/>
    <w:uiPriority w:val="99"/>
    <w:unhideWhenUsed/>
    <w:rsid w:val="00D95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B10"/>
    <w:rPr>
      <w:rFonts w:ascii="Times New Roman" w:eastAsiaTheme="minorEastAsia" w:hAnsi="Times New Roman" w:cs="Times New Roman"/>
      <w:color w:val="000000" w:themeColor="text1"/>
      <w:sz w:val="24"/>
      <w:szCs w:val="24"/>
    </w:rPr>
  </w:style>
  <w:style w:type="paragraph" w:styleId="Footer">
    <w:name w:val="footer"/>
    <w:basedOn w:val="Normal"/>
    <w:link w:val="FooterChar"/>
    <w:uiPriority w:val="99"/>
    <w:unhideWhenUsed/>
    <w:rsid w:val="00D95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B10"/>
    <w:rPr>
      <w:rFonts w:ascii="Times New Roman" w:eastAsiaTheme="minorEastAsia" w:hAnsi="Times New Roman" w:cs="Times New Roman"/>
      <w:color w:val="000000" w:themeColor="text1"/>
      <w:sz w:val="24"/>
      <w:szCs w:val="24"/>
    </w:rPr>
  </w:style>
  <w:style w:type="paragraph" w:styleId="Title">
    <w:name w:val="Title"/>
    <w:basedOn w:val="Normal"/>
    <w:next w:val="Normal"/>
    <w:link w:val="TitleChar"/>
    <w:uiPriority w:val="10"/>
    <w:qFormat/>
    <w:rsid w:val="008C04CE"/>
    <w:pPr>
      <w:spacing w:after="0"/>
      <w:jc w:val="center"/>
    </w:pPr>
    <w:rPr>
      <w:rFonts w:eastAsiaTheme="minorHAnsi"/>
      <w:b/>
      <w:color w:val="auto"/>
    </w:rPr>
  </w:style>
  <w:style w:type="character" w:customStyle="1" w:styleId="TitleChar">
    <w:name w:val="Title Char"/>
    <w:basedOn w:val="DefaultParagraphFont"/>
    <w:link w:val="Title"/>
    <w:uiPriority w:val="10"/>
    <w:rsid w:val="008C04CE"/>
    <w:rPr>
      <w:rFonts w:ascii="Times New Roman" w:hAnsi="Times New Roman" w:cs="Times New Roman"/>
      <w:b/>
      <w:sz w:val="24"/>
      <w:szCs w:val="24"/>
    </w:rPr>
  </w:style>
  <w:style w:type="paragraph" w:styleId="Subtitle">
    <w:name w:val="Subtitle"/>
    <w:basedOn w:val="Normal"/>
    <w:next w:val="Normal"/>
    <w:link w:val="SubtitleChar"/>
    <w:uiPriority w:val="11"/>
    <w:qFormat/>
    <w:rsid w:val="008C04CE"/>
    <w:pPr>
      <w:spacing w:after="0"/>
      <w:jc w:val="center"/>
    </w:pPr>
    <w:rPr>
      <w:rFonts w:eastAsiaTheme="minorHAnsi"/>
      <w:color w:val="auto"/>
    </w:rPr>
  </w:style>
  <w:style w:type="character" w:customStyle="1" w:styleId="SubtitleChar">
    <w:name w:val="Subtitle Char"/>
    <w:basedOn w:val="DefaultParagraphFont"/>
    <w:link w:val="Subtitle"/>
    <w:uiPriority w:val="11"/>
    <w:rsid w:val="008C04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710763764">
      <w:bodyDiv w:val="1"/>
      <w:marLeft w:val="0"/>
      <w:marRight w:val="0"/>
      <w:marTop w:val="0"/>
      <w:marBottom w:val="0"/>
      <w:divBdr>
        <w:top w:val="none" w:sz="0" w:space="0" w:color="auto"/>
        <w:left w:val="none" w:sz="0" w:space="0" w:color="auto"/>
        <w:bottom w:val="none" w:sz="0" w:space="0" w:color="auto"/>
        <w:right w:val="none" w:sz="0" w:space="0" w:color="auto"/>
      </w:divBdr>
    </w:div>
    <w:div w:id="798425472">
      <w:bodyDiv w:val="1"/>
      <w:marLeft w:val="0"/>
      <w:marRight w:val="0"/>
      <w:marTop w:val="0"/>
      <w:marBottom w:val="0"/>
      <w:divBdr>
        <w:top w:val="none" w:sz="0" w:space="0" w:color="auto"/>
        <w:left w:val="none" w:sz="0" w:space="0" w:color="auto"/>
        <w:bottom w:val="none" w:sz="0" w:space="0" w:color="auto"/>
        <w:right w:val="none" w:sz="0" w:space="0" w:color="auto"/>
      </w:divBdr>
    </w:div>
    <w:div w:id="913861010">
      <w:bodyDiv w:val="1"/>
      <w:marLeft w:val="0"/>
      <w:marRight w:val="0"/>
      <w:marTop w:val="0"/>
      <w:marBottom w:val="0"/>
      <w:divBdr>
        <w:top w:val="none" w:sz="0" w:space="0" w:color="auto"/>
        <w:left w:val="none" w:sz="0" w:space="0" w:color="auto"/>
        <w:bottom w:val="none" w:sz="0" w:space="0" w:color="auto"/>
        <w:right w:val="none" w:sz="0" w:space="0" w:color="auto"/>
      </w:divBdr>
    </w:div>
    <w:div w:id="1061826329">
      <w:bodyDiv w:val="1"/>
      <w:marLeft w:val="0"/>
      <w:marRight w:val="0"/>
      <w:marTop w:val="0"/>
      <w:marBottom w:val="0"/>
      <w:divBdr>
        <w:top w:val="none" w:sz="0" w:space="0" w:color="auto"/>
        <w:left w:val="none" w:sz="0" w:space="0" w:color="auto"/>
        <w:bottom w:val="none" w:sz="0" w:space="0" w:color="auto"/>
        <w:right w:val="none" w:sz="0" w:space="0" w:color="auto"/>
      </w:divBdr>
    </w:div>
    <w:div w:id="1200628978">
      <w:bodyDiv w:val="1"/>
      <w:marLeft w:val="0"/>
      <w:marRight w:val="0"/>
      <w:marTop w:val="0"/>
      <w:marBottom w:val="0"/>
      <w:divBdr>
        <w:top w:val="none" w:sz="0" w:space="0" w:color="auto"/>
        <w:left w:val="none" w:sz="0" w:space="0" w:color="auto"/>
        <w:bottom w:val="none" w:sz="0" w:space="0" w:color="auto"/>
        <w:right w:val="none" w:sz="0" w:space="0" w:color="auto"/>
      </w:divBdr>
    </w:div>
    <w:div w:id="1788084814">
      <w:bodyDiv w:val="1"/>
      <w:marLeft w:val="0"/>
      <w:marRight w:val="0"/>
      <w:marTop w:val="0"/>
      <w:marBottom w:val="0"/>
      <w:divBdr>
        <w:top w:val="none" w:sz="0" w:space="0" w:color="auto"/>
        <w:left w:val="none" w:sz="0" w:space="0" w:color="auto"/>
        <w:bottom w:val="none" w:sz="0" w:space="0" w:color="auto"/>
        <w:right w:val="none" w:sz="0" w:space="0" w:color="auto"/>
      </w:divBdr>
    </w:div>
    <w:div w:id="1810316158">
      <w:bodyDiv w:val="1"/>
      <w:marLeft w:val="0"/>
      <w:marRight w:val="0"/>
      <w:marTop w:val="0"/>
      <w:marBottom w:val="0"/>
      <w:divBdr>
        <w:top w:val="none" w:sz="0" w:space="0" w:color="auto"/>
        <w:left w:val="none" w:sz="0" w:space="0" w:color="auto"/>
        <w:bottom w:val="none" w:sz="0" w:space="0" w:color="auto"/>
        <w:right w:val="none" w:sz="0" w:space="0" w:color="auto"/>
      </w:divBdr>
    </w:div>
    <w:div w:id="1875775643">
      <w:bodyDiv w:val="1"/>
      <w:marLeft w:val="0"/>
      <w:marRight w:val="0"/>
      <w:marTop w:val="0"/>
      <w:marBottom w:val="0"/>
      <w:divBdr>
        <w:top w:val="none" w:sz="0" w:space="0" w:color="auto"/>
        <w:left w:val="none" w:sz="0" w:space="0" w:color="auto"/>
        <w:bottom w:val="none" w:sz="0" w:space="0" w:color="auto"/>
        <w:right w:val="none" w:sz="0" w:space="0" w:color="auto"/>
      </w:divBdr>
    </w:div>
    <w:div w:id="2000191427">
      <w:bodyDiv w:val="1"/>
      <w:marLeft w:val="0"/>
      <w:marRight w:val="0"/>
      <w:marTop w:val="0"/>
      <w:marBottom w:val="0"/>
      <w:divBdr>
        <w:top w:val="none" w:sz="0" w:space="0" w:color="auto"/>
        <w:left w:val="none" w:sz="0" w:space="0" w:color="auto"/>
        <w:bottom w:val="none" w:sz="0" w:space="0" w:color="auto"/>
        <w:right w:val="none" w:sz="0" w:space="0" w:color="auto"/>
      </w:divBdr>
    </w:div>
    <w:div w:id="2052537572">
      <w:bodyDiv w:val="1"/>
      <w:marLeft w:val="0"/>
      <w:marRight w:val="0"/>
      <w:marTop w:val="0"/>
      <w:marBottom w:val="0"/>
      <w:divBdr>
        <w:top w:val="none" w:sz="0" w:space="0" w:color="auto"/>
        <w:left w:val="none" w:sz="0" w:space="0" w:color="auto"/>
        <w:bottom w:val="none" w:sz="0" w:space="0" w:color="auto"/>
        <w:right w:val="none" w:sz="0" w:space="0" w:color="auto"/>
      </w:divBdr>
    </w:div>
    <w:div w:id="208852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Com16</b:Tag>
    <b:SourceType>ConferenceProceedings</b:SourceType>
    <b:Guid>{8DD46DFD-1895-4C08-8983-B558EABF2F72}</b:Guid>
    <b:Title>Integrating cybersecurity into NAVAIR OTPS acquisition</b:Title>
    <b:Year>2016</b:Year>
    <b:Pages>1-5</b:Pages>
    <b:ConferenceName>Institute of Eletricial and Electronics Engineering AUTOTESTCON</b:ConferenceName>
    <b:City>Anaheim, CA</b:City>
    <b:Author>
      <b:Author>
        <b:NameList>
          <b:Person>
            <b:Last>Combass</b:Last>
            <b:First>T</b:First>
          </b:Person>
          <b:Person>
            <b:Last>Shilling</b:Last>
            <b:First>A</b:First>
          </b:Person>
        </b:NameList>
      </b:Author>
    </b:Author>
    <b:DOI>https://doi-org.proxy1.ncu.edu/10.1109/AUTEST.2016.7589632</b:DOI>
    <b:RefOrder>6</b:RefOrder>
  </b:Source>
  <b:Source>
    <b:Tag>Cha13</b:Tag>
    <b:SourceType>InternetSite</b:SourceType>
    <b:Guid>{0ED2B445-E138-488C-8099-0ABBD2CDE246}</b:Guid>
    <b:Title>ISACA Unveils New Risk Mgt. Framework</b:Title>
    <b:Year>2013</b:Year>
    <b:InternetSiteTitle>Bank Info Security</b:InternetSiteTitle>
    <b:Month>September</b:Month>
    <b:Day>26</b:Day>
    <b:URL>https://www.bankinfosecurity.com/isaca-unveils-new-risk-management-framework-a-6098</b:URL>
    <b:Author>
      <b:Author>
        <b:NameList>
          <b:Person>
            <b:Last>Chabrow</b:Last>
            <b:First>E</b:First>
          </b:Person>
        </b:NameList>
      </b:Author>
    </b:Author>
    <b:YearAccessed>2020</b:YearAccessed>
    <b:MonthAccessed>June</b:MonthAccessed>
    <b:DayAccessed>14</b:DayAccessed>
    <b:RefOrder>7</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4</b:RefOrder>
  </b:Source>
  <b:Source>
    <b:Tag>Ken19</b:Tag>
    <b:SourceType>InternetSite</b:SourceType>
    <b:Guid>{AF051488-C1E5-4852-9E9B-9D00171464DF}</b:Guid>
    <b:Title>Value at Risk (VAR)</b:Title>
    <b:Year>2019</b:Year>
    <b:Month>April</b:Month>
    <b:Day>18</b:Day>
    <b:YearAccessed>2020</b:YearAccessed>
    <b:MonthAccessed>June</b:MonthAccessed>
    <b:DayAccessed>14</b:DayAccessed>
    <b:URL>https://www.investopedia.com/terms/v/var.asp</b:URL>
    <b:Author>
      <b:Author>
        <b:NameList>
          <b:Person>
            <b:Last>Kenton</b:Last>
            <b:First>W</b:First>
          </b:Person>
        </b:NameList>
      </b:Author>
    </b:Author>
    <b:InternetSiteTitle>Investopedia</b:InternetSiteTitle>
    <b:RefOrder>5</b:RefOrder>
  </b:Source>
  <b:Source>
    <b:Tag>Eli19</b:Tag>
    <b:SourceType>JournalArticle</b:SourceType>
    <b:Guid>{6E680FD6-BE93-492E-A65E-156EB7601CC5}</b:Guid>
    <b:Title>What are the actual costs of cyber risk events</b:Title>
    <b:Year>2019</b:Year>
    <b:DOI>https://doi.org/10.1016/j.ejor.2018.07.021</b:DOI>
    <b:Author>
      <b:Author>
        <b:NameList>
          <b:Person>
            <b:Last>Eling</b:Last>
            <b:First>M</b:First>
          </b:Person>
          <b:Person>
            <b:Last>Wirfs</b:Last>
            <b:First>J</b:First>
          </b:Person>
        </b:NameList>
      </b:Author>
    </b:Author>
    <b:JournalName>European Journal of Operational Research</b:JournalName>
    <b:Pages>1109-1119</b:Pages>
    <b:Volume>272</b:Volume>
    <b:Issue>1</b:Issue>
    <b:RefOrder>8</b:RefOrder>
  </b:Source>
  <b:Source>
    <b:Tag>Lib19</b:Tag>
    <b:SourceType>InternetSite</b:SourceType>
    <b:Guid>{4FEFF96A-D18F-4E16-AD82-976C6B314CCB}</b:Guid>
    <b:Title>Financial Economics</b:Title>
    <b:Year>2019</b:Year>
    <b:InternetSiteTitle>Investopedia</b:InternetSiteTitle>
    <b:Month>June</b:Month>
    <b:Day>26</b:Day>
    <b:URL>https://www.investopedia.com/terms/f/financial-economics.asp</b:URL>
    <b:Author>
      <b:Author>
        <b:NameList>
          <b:Person>
            <b:Last>Liberto</b:Last>
            <b:First>D</b:First>
          </b:Person>
        </b:NameList>
      </b:Author>
    </b:Author>
    <b:YearAccessed>2020</b:YearAccessed>
    <b:MonthAccessed>June</b:MonthAccessed>
    <b:DayAccessed>14</b:DayAccessed>
    <b:RefOrder>9</b:RefOrder>
  </b:Source>
  <b:Source>
    <b:Tag>BRE20</b:Tag>
    <b:SourceType>InternetSite</b:SourceType>
    <b:Guid>{DCD2B36D-8F8B-44E7-BC70-013E7E44C4A6}</b:Guid>
    <b:Author>
      <b:Author>
        <b:Corporate>BRE</b:Corporate>
      </b:Author>
    </b:Author>
    <b:Title>What is ABRE</b:Title>
    <b:InternetSiteTitle>BRE Group</b:InternetSiteTitle>
    <b:Year>2020</b:Year>
    <b:Month>June</b:Month>
    <b:Day>14</b:Day>
    <b:URL>https://www.bregroup.com/sabre/</b:URL>
    <b:YearAccessed>2020</b:YearAccessed>
    <b:MonthAccessed>June</b:MonthAccessed>
    <b:DayAccessed>14</b:DayAccessed>
    <b:RefOrder>10</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3</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1</b:RefOrder>
  </b:Source>
  <b:Source>
    <b:Tag>Gil11</b:Tag>
    <b:SourceType>JournalArticle</b:SourceType>
    <b:Guid>{70D96DA1-5095-4D27-A278-C09EB246C354}</b:Guid>
    <b:Title>Improving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2</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11</b:RefOrder>
  </b:Source>
</b:Sources>
</file>

<file path=customXml/itemProps1.xml><?xml version="1.0" encoding="utf-8"?>
<ds:datastoreItem xmlns:ds="http://schemas.openxmlformats.org/officeDocument/2006/customXml" ds:itemID="{92CF367B-9ED1-4EC9-884F-EC4867C25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Rose</dc:creator>
  <cp:keywords/>
  <dc:description/>
  <cp:lastModifiedBy>Nate Bachmeier</cp:lastModifiedBy>
  <cp:revision>15</cp:revision>
  <dcterms:created xsi:type="dcterms:W3CDTF">2019-05-06T16:32:00Z</dcterms:created>
  <dcterms:modified xsi:type="dcterms:W3CDTF">2020-06-15T00:05:00Z</dcterms:modified>
</cp:coreProperties>
</file>