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8223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9EA2BEF" w:rsidR="0082223F" w:rsidRDefault="0082223F" w:rsidP="0082223F">
      <w:pPr>
        <w:pStyle w:val="Title"/>
      </w:pPr>
      <w:r>
        <w:t xml:space="preserve">Section 1: Week </w:t>
      </w:r>
      <w:r w:rsidR="00952B2B">
        <w:t>3</w:t>
      </w:r>
      <w:r>
        <w:t xml:space="preserve">: </w:t>
      </w:r>
      <w:r w:rsidR="00505514" w:rsidRPr="00505514">
        <w:t>Avoid or Control Persistent Threats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3D267A06" w:rsidR="00CB25E9" w:rsidRDefault="00B13ADF" w:rsidP="0082223F">
      <w:pPr>
        <w:jc w:val="center"/>
      </w:pPr>
      <w:r>
        <w:t>June</w:t>
      </w:r>
      <w:r w:rsidR="006D793E">
        <w:t xml:space="preserve"> </w:t>
      </w:r>
      <w:r w:rsidR="00952B2B">
        <w:t>21</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54484F8" w:rsidR="0082223F" w:rsidRDefault="00505514" w:rsidP="005B7079">
      <w:pPr>
        <w:pStyle w:val="Heading1"/>
      </w:pPr>
      <w:r>
        <w:lastRenderedPageBreak/>
        <w:t>Avoid or Control Persistent Threats</w:t>
      </w:r>
    </w:p>
    <w:p w14:paraId="27495675" w14:textId="11790317" w:rsidR="00952B2B" w:rsidRDefault="00952B2B" w:rsidP="00952B2B">
      <w:r>
        <w:tab/>
        <w:t>Malicious actors, targeted attacks, and advanced persistent threats (APT) each seek to disrupt the confidentiality, integrity, and availability of information systems.  These different groups seek out their victims with varying levels of specificity and sophistication</w:t>
      </w:r>
      <w:r w:rsidR="00505514">
        <w:t xml:space="preserve"> (see Table 1)</w:t>
      </w:r>
      <w:r>
        <w:t>.</w:t>
      </w:r>
      <w:r w:rsidR="00192681">
        <w:t xml:space="preserve">  After gaining access through phishing emails, an APT has established a foothold with</w:t>
      </w:r>
      <w:r w:rsidR="003B6820">
        <w:t>in</w:t>
      </w:r>
      <w:r w:rsidR="00192681">
        <w:t xml:space="preserve"> the NCU Financial (NCU-F) network.  The organization needs a strategy to remove the uninvited guest</w:t>
      </w:r>
      <w:r w:rsidR="00A03A6F">
        <w:t>s</w:t>
      </w:r>
      <w:r w:rsidR="00192681">
        <w:t xml:space="preserve"> and recover control of the </w:t>
      </w:r>
      <w:r w:rsidR="00A03A6F">
        <w:t>network</w:t>
      </w:r>
      <w:r w:rsidR="00192681">
        <w:t>.</w:t>
      </w:r>
      <w:r w:rsidR="008E4ED9">
        <w:t xml:space="preserve">  </w:t>
      </w:r>
      <w:r w:rsidR="00243683">
        <w:t>When a significant security breach occurs, and the business experiences a state of crisis, this can be a highly efficient period to enact change and strength the overall security posture</w:t>
      </w:r>
      <w:sdt>
        <w:sdtPr>
          <w:id w:val="-1814164936"/>
          <w:citation/>
        </w:sdtPr>
        <w:sdtContent>
          <w:r w:rsidR="00243683">
            <w:fldChar w:fldCharType="begin"/>
          </w:r>
          <w:r w:rsidR="00243683">
            <w:instrText xml:space="preserve"> CITATION Wes18 \l 1033 </w:instrText>
          </w:r>
          <w:r w:rsidR="00243683">
            <w:fldChar w:fldCharType="separate"/>
          </w:r>
          <w:r w:rsidR="00243683">
            <w:rPr>
              <w:noProof/>
            </w:rPr>
            <w:t xml:space="preserve"> (Weston, Conklin, &amp; Drobnis, 2018)</w:t>
          </w:r>
          <w:r w:rsidR="00243683">
            <w:fldChar w:fldCharType="end"/>
          </w:r>
        </w:sdtContent>
      </w:sdt>
      <w:r w:rsidR="00243683">
        <w:t xml:space="preserve">.  This reinforcement process needs to consider changes to people, processes, and products through the lens of Risk Management Frameworks (RMF), regulatory and ethical standards, and </w:t>
      </w:r>
      <w:r w:rsidR="00A12793">
        <w:t>new</w:t>
      </w:r>
      <w:r w:rsidR="00243683">
        <w:t xml:space="preserve"> </w:t>
      </w:r>
      <w:r w:rsidR="00A12793">
        <w:t>Intrusion Detection and Prevention Systems (IDS/IPS)</w:t>
      </w:r>
      <w:r w:rsidR="00243683">
        <w:t>.</w:t>
      </w:r>
    </w:p>
    <w:p w14:paraId="00A090BF" w14:textId="2C4FB03F" w:rsidR="00192681" w:rsidRDefault="00192681" w:rsidP="00192681">
      <w:pPr>
        <w:pStyle w:val="Caption"/>
      </w:pPr>
      <w:r>
        <w:t>Table 1: Classifications of Attackers</w:t>
      </w:r>
    </w:p>
    <w:tbl>
      <w:tblPr>
        <w:tblStyle w:val="GridTable4"/>
        <w:tblW w:w="0" w:type="auto"/>
        <w:tblLook w:val="04A0" w:firstRow="1" w:lastRow="0" w:firstColumn="1" w:lastColumn="0" w:noHBand="0" w:noVBand="1"/>
      </w:tblPr>
      <w:tblGrid>
        <w:gridCol w:w="2527"/>
        <w:gridCol w:w="2322"/>
        <w:gridCol w:w="2473"/>
        <w:gridCol w:w="2028"/>
      </w:tblGrid>
      <w:tr w:rsidR="00952B2B" w14:paraId="4AEF618B" w14:textId="130BE034" w:rsidTr="00952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77A12400" w14:textId="1F8BA751" w:rsidR="00952B2B" w:rsidRDefault="00952B2B" w:rsidP="00952B2B">
            <w:r>
              <w:t>Category</w:t>
            </w:r>
          </w:p>
        </w:tc>
        <w:tc>
          <w:tcPr>
            <w:tcW w:w="2322" w:type="dxa"/>
          </w:tcPr>
          <w:p w14:paraId="7BEF1878" w14:textId="0D38F2F4" w:rsidR="00952B2B" w:rsidRDefault="00952B2B" w:rsidP="00952B2B">
            <w:pPr>
              <w:cnfStyle w:val="100000000000" w:firstRow="1" w:lastRow="0" w:firstColumn="0" w:lastColumn="0" w:oddVBand="0" w:evenVBand="0" w:oddHBand="0" w:evenHBand="0" w:firstRowFirstColumn="0" w:firstRowLastColumn="0" w:lastRowFirstColumn="0" w:lastRowLastColumn="0"/>
            </w:pPr>
            <w:r>
              <w:t>Target Selection</w:t>
            </w:r>
          </w:p>
        </w:tc>
        <w:tc>
          <w:tcPr>
            <w:tcW w:w="2473" w:type="dxa"/>
          </w:tcPr>
          <w:p w14:paraId="1E8AB931" w14:textId="5D279F67" w:rsidR="00952B2B" w:rsidRDefault="00952B2B" w:rsidP="00952B2B">
            <w:pPr>
              <w:cnfStyle w:val="100000000000" w:firstRow="1" w:lastRow="0" w:firstColumn="0" w:lastColumn="0" w:oddVBand="0" w:evenVBand="0" w:oddHBand="0" w:evenHBand="0" w:firstRowFirstColumn="0" w:firstRowLastColumn="0" w:lastRowFirstColumn="0" w:lastRowLastColumn="0"/>
            </w:pPr>
            <w:r>
              <w:t>Description</w:t>
            </w:r>
          </w:p>
        </w:tc>
        <w:tc>
          <w:tcPr>
            <w:tcW w:w="2028" w:type="dxa"/>
          </w:tcPr>
          <w:p w14:paraId="49A4F25F" w14:textId="71DF4DF6" w:rsidR="00952B2B" w:rsidRDefault="00952B2B" w:rsidP="00952B2B">
            <w:pPr>
              <w:cnfStyle w:val="100000000000" w:firstRow="1" w:lastRow="0" w:firstColumn="0" w:lastColumn="0" w:oddVBand="0" w:evenVBand="0" w:oddHBand="0" w:evenHBand="0" w:firstRowFirstColumn="0" w:firstRowLastColumn="0" w:lastRowFirstColumn="0" w:lastRowLastColumn="0"/>
            </w:pPr>
            <w:r>
              <w:t>Sophistication</w:t>
            </w:r>
          </w:p>
        </w:tc>
      </w:tr>
      <w:tr w:rsidR="00952B2B" w14:paraId="4B133006" w14:textId="57F30B4A" w:rsidTr="0095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6B052571" w14:textId="4EDD29D5" w:rsidR="00952B2B" w:rsidRDefault="00952B2B" w:rsidP="00952B2B">
            <w:r>
              <w:t xml:space="preserve">Generic Malicious Actor </w:t>
            </w:r>
            <w:sdt>
              <w:sdtPr>
                <w:rPr>
                  <w:b w:val="0"/>
                  <w:bCs w:val="0"/>
                </w:rPr>
                <w:id w:val="-2080278664"/>
                <w:citation/>
              </w:sdtPr>
              <w:sdtContent>
                <w:r w:rsidRPr="00952B2B">
                  <w:rPr>
                    <w:b w:val="0"/>
                    <w:bCs w:val="0"/>
                  </w:rPr>
                  <w:fldChar w:fldCharType="begin"/>
                </w:r>
                <w:r w:rsidRPr="00952B2B">
                  <w:rPr>
                    <w:b w:val="0"/>
                    <w:bCs w:val="0"/>
                  </w:rPr>
                  <w:instrText xml:space="preserve"> CITATION Fis17 \l 1033 </w:instrText>
                </w:r>
                <w:r w:rsidRPr="00952B2B">
                  <w:rPr>
                    <w:b w:val="0"/>
                    <w:bCs w:val="0"/>
                  </w:rPr>
                  <w:fldChar w:fldCharType="separate"/>
                </w:r>
                <w:r w:rsidRPr="00952B2B">
                  <w:rPr>
                    <w:b w:val="0"/>
                    <w:bCs w:val="0"/>
                    <w:noProof/>
                  </w:rPr>
                  <w:t xml:space="preserve"> (Fischerkeller &amp; Harknett, 2017)</w:t>
                </w:r>
                <w:r w:rsidRPr="00952B2B">
                  <w:rPr>
                    <w:b w:val="0"/>
                    <w:bCs w:val="0"/>
                  </w:rPr>
                  <w:fldChar w:fldCharType="end"/>
                </w:r>
              </w:sdtContent>
            </w:sdt>
          </w:p>
        </w:tc>
        <w:tc>
          <w:tcPr>
            <w:tcW w:w="2322" w:type="dxa"/>
          </w:tcPr>
          <w:p w14:paraId="3F7A5311" w14:textId="2C2C7249" w:rsidR="00952B2B" w:rsidRDefault="00952B2B" w:rsidP="00952B2B">
            <w:pPr>
              <w:cnfStyle w:val="000000100000" w:firstRow="0" w:lastRow="0" w:firstColumn="0" w:lastColumn="0" w:oddVBand="0" w:evenVBand="0" w:oddHBand="1" w:evenHBand="0" w:firstRowFirstColumn="0" w:firstRowLastColumn="0" w:lastRowFirstColumn="0" w:lastRowLastColumn="0"/>
            </w:pPr>
            <w:r>
              <w:t>Random Selection</w:t>
            </w:r>
          </w:p>
        </w:tc>
        <w:tc>
          <w:tcPr>
            <w:tcW w:w="2473" w:type="dxa"/>
          </w:tcPr>
          <w:p w14:paraId="52D1861F" w14:textId="54FAA8E1" w:rsidR="00952B2B" w:rsidRDefault="00952B2B" w:rsidP="00952B2B">
            <w:pPr>
              <w:cnfStyle w:val="000000100000" w:firstRow="0" w:lastRow="0" w:firstColumn="0" w:lastColumn="0" w:oddVBand="0" w:evenVBand="0" w:oddHBand="1" w:evenHBand="0" w:firstRowFirstColumn="0" w:firstRowLastColumn="0" w:lastRowFirstColumn="0" w:lastRowLastColumn="0"/>
            </w:pPr>
            <w:r>
              <w:t>Use automation to attack thousands of systems, exploiting attacker defender economics</w:t>
            </w:r>
          </w:p>
        </w:tc>
        <w:tc>
          <w:tcPr>
            <w:tcW w:w="2028" w:type="dxa"/>
          </w:tcPr>
          <w:p w14:paraId="2204FB7D" w14:textId="5C19B296" w:rsidR="00952B2B" w:rsidRDefault="00952B2B" w:rsidP="00952B2B">
            <w:pPr>
              <w:cnfStyle w:val="000000100000" w:firstRow="0" w:lastRow="0" w:firstColumn="0" w:lastColumn="0" w:oddVBand="0" w:evenVBand="0" w:oddHBand="1" w:evenHBand="0" w:firstRowFirstColumn="0" w:firstRowLastColumn="0" w:lastRowFirstColumn="0" w:lastRowLastColumn="0"/>
            </w:pPr>
            <w:r>
              <w:t>Relies on the Law of Large Numbers</w:t>
            </w:r>
          </w:p>
        </w:tc>
      </w:tr>
      <w:tr w:rsidR="00952B2B" w14:paraId="62CF3393" w14:textId="3430A993" w:rsidTr="00952B2B">
        <w:tc>
          <w:tcPr>
            <w:cnfStyle w:val="001000000000" w:firstRow="0" w:lastRow="0" w:firstColumn="1" w:lastColumn="0" w:oddVBand="0" w:evenVBand="0" w:oddHBand="0" w:evenHBand="0" w:firstRowFirstColumn="0" w:firstRowLastColumn="0" w:lastRowFirstColumn="0" w:lastRowLastColumn="0"/>
            <w:tcW w:w="2527" w:type="dxa"/>
          </w:tcPr>
          <w:p w14:paraId="6572AC37" w14:textId="27DDEB91" w:rsidR="00952B2B" w:rsidRDefault="00952B2B" w:rsidP="00952B2B">
            <w:r>
              <w:t xml:space="preserve">Targeted Attackers </w:t>
            </w:r>
            <w:sdt>
              <w:sdtPr>
                <w:rPr>
                  <w:b w:val="0"/>
                  <w:bCs w:val="0"/>
                </w:rPr>
                <w:id w:val="17367175"/>
                <w:citation/>
              </w:sdtPr>
              <w:sdtContent>
                <w:r w:rsidRPr="00952B2B">
                  <w:rPr>
                    <w:b w:val="0"/>
                    <w:bCs w:val="0"/>
                  </w:rPr>
                  <w:fldChar w:fldCharType="begin"/>
                </w:r>
                <w:r w:rsidRPr="00952B2B">
                  <w:rPr>
                    <w:b w:val="0"/>
                    <w:bCs w:val="0"/>
                  </w:rPr>
                  <w:instrText xml:space="preserve"> CITATION Als19 \l 1033 </w:instrText>
                </w:r>
                <w:r w:rsidRPr="00952B2B">
                  <w:rPr>
                    <w:b w:val="0"/>
                    <w:bCs w:val="0"/>
                  </w:rPr>
                  <w:fldChar w:fldCharType="separate"/>
                </w:r>
                <w:r w:rsidRPr="00952B2B">
                  <w:rPr>
                    <w:b w:val="0"/>
                    <w:bCs w:val="0"/>
                    <w:noProof/>
                  </w:rPr>
                  <w:t xml:space="preserve"> (Alshamrani A, 2019)</w:t>
                </w:r>
                <w:r w:rsidRPr="00952B2B">
                  <w:rPr>
                    <w:b w:val="0"/>
                    <w:bCs w:val="0"/>
                  </w:rPr>
                  <w:fldChar w:fldCharType="end"/>
                </w:r>
              </w:sdtContent>
            </w:sdt>
          </w:p>
        </w:tc>
        <w:tc>
          <w:tcPr>
            <w:tcW w:w="2322" w:type="dxa"/>
          </w:tcPr>
          <w:p w14:paraId="7B45A520" w14:textId="57EAB1A0" w:rsidR="00952B2B" w:rsidRDefault="00952B2B" w:rsidP="00952B2B">
            <w:pPr>
              <w:cnfStyle w:val="000000000000" w:firstRow="0" w:lastRow="0" w:firstColumn="0" w:lastColumn="0" w:oddVBand="0" w:evenVBand="0" w:oddHBand="0" w:evenHBand="0" w:firstRowFirstColumn="0" w:firstRowLastColumn="0" w:lastRowFirstColumn="0" w:lastRowLastColumn="0"/>
            </w:pPr>
            <w:r>
              <w:t>Specific / Short Term</w:t>
            </w:r>
          </w:p>
        </w:tc>
        <w:tc>
          <w:tcPr>
            <w:tcW w:w="2473" w:type="dxa"/>
          </w:tcPr>
          <w:p w14:paraId="39DCB316" w14:textId="07C713C4" w:rsidR="00952B2B" w:rsidRDefault="00952B2B" w:rsidP="00952B2B">
            <w:pPr>
              <w:cnfStyle w:val="000000000000" w:firstRow="0" w:lastRow="0" w:firstColumn="0" w:lastColumn="0" w:oddVBand="0" w:evenVBand="0" w:oddHBand="0" w:evenHBand="0" w:firstRowFirstColumn="0" w:firstRowLastColumn="0" w:lastRowFirstColumn="0" w:lastRowLastColumn="0"/>
            </w:pPr>
            <w:r>
              <w:t>Identity specific industries and business artifacts for exploitation</w:t>
            </w:r>
          </w:p>
        </w:tc>
        <w:tc>
          <w:tcPr>
            <w:tcW w:w="2028" w:type="dxa"/>
          </w:tcPr>
          <w:p w14:paraId="49E64AF6" w14:textId="1362E18E" w:rsidR="00952B2B" w:rsidRDefault="00952B2B" w:rsidP="00952B2B">
            <w:pPr>
              <w:cnfStyle w:val="000000000000" w:firstRow="0" w:lastRow="0" w:firstColumn="0" w:lastColumn="0" w:oddVBand="0" w:evenVBand="0" w:oddHBand="0" w:evenHBand="0" w:firstRowFirstColumn="0" w:firstRowLastColumn="0" w:lastRowFirstColumn="0" w:lastRowLastColumn="0"/>
            </w:pPr>
            <w:r>
              <w:t>Relies on social engineering and other known vulnerabilities</w:t>
            </w:r>
          </w:p>
        </w:tc>
      </w:tr>
      <w:tr w:rsidR="00952B2B" w14:paraId="37228688" w14:textId="22D6A20D" w:rsidTr="0095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496C7413" w14:textId="764C9A72" w:rsidR="00952B2B" w:rsidRDefault="00952B2B" w:rsidP="00952B2B">
            <w:r>
              <w:t xml:space="preserve">Advanced Persistent Threats </w:t>
            </w:r>
            <w:sdt>
              <w:sdtPr>
                <w:rPr>
                  <w:b w:val="0"/>
                  <w:bCs w:val="0"/>
                </w:rPr>
                <w:id w:val="1083184633"/>
                <w:citation/>
              </w:sdtPr>
              <w:sdtContent>
                <w:r w:rsidRPr="00952B2B">
                  <w:rPr>
                    <w:b w:val="0"/>
                    <w:bCs w:val="0"/>
                  </w:rPr>
                  <w:fldChar w:fldCharType="begin"/>
                </w:r>
                <w:r w:rsidRPr="00952B2B">
                  <w:rPr>
                    <w:b w:val="0"/>
                    <w:bCs w:val="0"/>
                  </w:rPr>
                  <w:instrText xml:space="preserve"> CITATION Als19 \l 1033 </w:instrText>
                </w:r>
                <w:r w:rsidRPr="00952B2B">
                  <w:rPr>
                    <w:b w:val="0"/>
                    <w:bCs w:val="0"/>
                  </w:rPr>
                  <w:fldChar w:fldCharType="separate"/>
                </w:r>
                <w:r w:rsidRPr="00952B2B">
                  <w:rPr>
                    <w:b w:val="0"/>
                    <w:bCs w:val="0"/>
                    <w:noProof/>
                  </w:rPr>
                  <w:t xml:space="preserve"> (Alshamrani A, 2019)</w:t>
                </w:r>
                <w:r w:rsidRPr="00952B2B">
                  <w:rPr>
                    <w:b w:val="0"/>
                    <w:bCs w:val="0"/>
                  </w:rPr>
                  <w:fldChar w:fldCharType="end"/>
                </w:r>
              </w:sdtContent>
            </w:sdt>
          </w:p>
        </w:tc>
        <w:tc>
          <w:tcPr>
            <w:tcW w:w="2322" w:type="dxa"/>
          </w:tcPr>
          <w:p w14:paraId="60ADCA14" w14:textId="59E3483F" w:rsidR="00952B2B" w:rsidRDefault="00952B2B" w:rsidP="00952B2B">
            <w:pPr>
              <w:cnfStyle w:val="000000100000" w:firstRow="0" w:lastRow="0" w:firstColumn="0" w:lastColumn="0" w:oddVBand="0" w:evenVBand="0" w:oddHBand="1" w:evenHBand="0" w:firstRowFirstColumn="0" w:firstRowLastColumn="0" w:lastRowFirstColumn="0" w:lastRowLastColumn="0"/>
            </w:pPr>
            <w:r>
              <w:t>Specific / Long Term</w:t>
            </w:r>
          </w:p>
        </w:tc>
        <w:tc>
          <w:tcPr>
            <w:tcW w:w="2473" w:type="dxa"/>
          </w:tcPr>
          <w:p w14:paraId="062E3E8E" w14:textId="6D5B7F5B" w:rsidR="00952B2B" w:rsidRDefault="00952B2B" w:rsidP="00952B2B">
            <w:pPr>
              <w:cnfStyle w:val="000000100000" w:firstRow="0" w:lastRow="0" w:firstColumn="0" w:lastColumn="0" w:oddVBand="0" w:evenVBand="0" w:oddHBand="1" w:evenHBand="0" w:firstRowFirstColumn="0" w:firstRowLastColumn="0" w:lastRowFirstColumn="0" w:lastRowLastColumn="0"/>
            </w:pPr>
            <w:r>
              <w:t>Seeks prolonged control over a target for months to decades</w:t>
            </w:r>
          </w:p>
        </w:tc>
        <w:tc>
          <w:tcPr>
            <w:tcW w:w="2028" w:type="dxa"/>
          </w:tcPr>
          <w:p w14:paraId="1F1388AB" w14:textId="656BD30A" w:rsidR="00952B2B" w:rsidRDefault="00952B2B" w:rsidP="00952B2B">
            <w:pPr>
              <w:cnfStyle w:val="000000100000" w:firstRow="0" w:lastRow="0" w:firstColumn="0" w:lastColumn="0" w:oddVBand="0" w:evenVBand="0" w:oddHBand="1" w:evenHBand="0" w:firstRowFirstColumn="0" w:firstRowLastColumn="0" w:lastRowFirstColumn="0" w:lastRowLastColumn="0"/>
            </w:pPr>
            <w:r>
              <w:t>Well-financed organizations with ‘state-of-the-art’ weapons</w:t>
            </w:r>
          </w:p>
        </w:tc>
      </w:tr>
    </w:tbl>
    <w:p w14:paraId="6392C881" w14:textId="31281117" w:rsidR="00952B2B" w:rsidRDefault="00952B2B" w:rsidP="00952B2B"/>
    <w:p w14:paraId="69245EAB" w14:textId="1D181F88" w:rsidR="008E4ED9" w:rsidRDefault="008E4ED9" w:rsidP="008E4ED9">
      <w:pPr>
        <w:pStyle w:val="Heading2"/>
      </w:pPr>
      <w:r>
        <w:t>Risk Management Framework</w:t>
      </w:r>
      <w:r w:rsidR="00797229">
        <w:t xml:space="preserve"> (RMF)</w:t>
      </w:r>
    </w:p>
    <w:p w14:paraId="7F6BABAC" w14:textId="2BD3D1C4" w:rsidR="00797229" w:rsidRDefault="00797229" w:rsidP="008E4ED9">
      <w:r>
        <w:tab/>
        <w:t xml:space="preserve">When an attacker compromises an organization, there can be a sense that discarding the RMF is the best course of action.  However, most frameworks fundamentally follow the same </w:t>
      </w:r>
      <w:r>
        <w:lastRenderedPageBreak/>
        <w:t>feedback loop of ‘plan-do-act-check’</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xml:space="preserve">.  Instead, the business needs to assess their needs in terms of regulatory requirements, process maturity, and cultural norms (see Table 2).  </w:t>
      </w:r>
      <w:r w:rsidR="00A24109">
        <w:t>If the process does not align with the expectations of internal partners, then it will face political pressure and avoidance</w:t>
      </w:r>
      <w:sdt>
        <w:sdtPr>
          <w:id w:val="1810590271"/>
          <w:citation/>
        </w:sdtPr>
        <w:sdtContent>
          <w:r w:rsidR="00FA425B">
            <w:fldChar w:fldCharType="begin"/>
          </w:r>
          <w:r w:rsidR="00FA425B">
            <w:instrText xml:space="preserve"> CITATION Dun14 \l 1033 </w:instrText>
          </w:r>
          <w:r w:rsidR="00FA425B">
            <w:fldChar w:fldCharType="separate"/>
          </w:r>
          <w:r w:rsidR="00FA425B">
            <w:rPr>
              <w:noProof/>
            </w:rPr>
            <w:t xml:space="preserve"> (Dunn, 2014)</w:t>
          </w:r>
          <w:r w:rsidR="00FA425B">
            <w:fldChar w:fldCharType="end"/>
          </w:r>
        </w:sdtContent>
      </w:sdt>
      <w:r>
        <w:t>.</w:t>
      </w:r>
      <w:r w:rsidR="00FA425B">
        <w:t xml:space="preserve">  After considering these aspects, the NCU-F security team recommends remaining on ISO 27000, as it addresses the regulatory expectations of financial institutions.</w:t>
      </w:r>
      <w:r w:rsidR="00E256D8">
        <w:t xml:space="preserve">  Nevertheless, the system compromise highlights that improper controls exist, and changes to the framework</w:t>
      </w:r>
      <w:r w:rsidR="00A80354">
        <w:t>’s</w:t>
      </w:r>
      <w:r w:rsidR="00E256D8">
        <w:t xml:space="preserve"> implementation are necessary.</w:t>
      </w:r>
    </w:p>
    <w:p w14:paraId="51B063A7" w14:textId="370D5367" w:rsidR="008E4ED9" w:rsidRDefault="00797229" w:rsidP="00797229">
      <w:pPr>
        <w:pStyle w:val="Caption"/>
      </w:pPr>
      <w:r>
        <w:t>Table 2: Risk Management Frameworks</w:t>
      </w:r>
    </w:p>
    <w:tbl>
      <w:tblPr>
        <w:tblStyle w:val="GridTable4"/>
        <w:tblW w:w="0" w:type="auto"/>
        <w:tblLook w:val="04A0" w:firstRow="1" w:lastRow="0" w:firstColumn="1" w:lastColumn="0" w:noHBand="0" w:noVBand="1"/>
      </w:tblPr>
      <w:tblGrid>
        <w:gridCol w:w="3116"/>
        <w:gridCol w:w="3117"/>
        <w:gridCol w:w="3117"/>
      </w:tblGrid>
      <w:tr w:rsidR="0098470B" w14:paraId="7B9C1F2D" w14:textId="77777777" w:rsidTr="00797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F78A5D" w14:textId="270478D2" w:rsidR="0098470B" w:rsidRDefault="0098470B" w:rsidP="008E4ED9">
            <w:r>
              <w:t>Name</w:t>
            </w:r>
          </w:p>
        </w:tc>
        <w:tc>
          <w:tcPr>
            <w:tcW w:w="3117" w:type="dxa"/>
          </w:tcPr>
          <w:p w14:paraId="348409D2" w14:textId="114A4046" w:rsidR="0098470B" w:rsidRDefault="0098470B" w:rsidP="008E4ED9">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87996D4" w14:textId="6B0FDFC5" w:rsidR="0098470B" w:rsidRDefault="0098470B" w:rsidP="008E4ED9">
            <w:pPr>
              <w:cnfStyle w:val="100000000000" w:firstRow="1" w:lastRow="0" w:firstColumn="0" w:lastColumn="0" w:oddVBand="0" w:evenVBand="0" w:oddHBand="0" w:evenHBand="0" w:firstRowFirstColumn="0" w:firstRowLastColumn="0" w:lastRowFirstColumn="0" w:lastRowLastColumn="0"/>
            </w:pPr>
            <w:r>
              <w:t>Ideal Environment</w:t>
            </w:r>
          </w:p>
        </w:tc>
      </w:tr>
      <w:tr w:rsidR="0098470B" w14:paraId="1D31A33D" w14:textId="77777777" w:rsidTr="0079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AA1FBA" w14:textId="2D56A0C3" w:rsidR="0098470B" w:rsidRDefault="0098470B" w:rsidP="008E4ED9">
            <w:r>
              <w:t>National Institute of Standards and Technology (NIST) Cybersecurity Framework</w:t>
            </w:r>
            <w:r>
              <w:t xml:space="preserve"> </w:t>
            </w:r>
            <w:sdt>
              <w:sdtPr>
                <w:rPr>
                  <w:b w:val="0"/>
                  <w:bCs w:val="0"/>
                </w:rPr>
                <w:id w:val="-1285424395"/>
                <w:citation/>
              </w:sdtPr>
              <w:sdtContent>
                <w:r w:rsidRPr="00797229">
                  <w:rPr>
                    <w:b w:val="0"/>
                    <w:bCs w:val="0"/>
                  </w:rPr>
                  <w:fldChar w:fldCharType="begin"/>
                </w:r>
                <w:r w:rsidRPr="00797229">
                  <w:rPr>
                    <w:b w:val="0"/>
                    <w:bCs w:val="0"/>
                  </w:rPr>
                  <w:instrText xml:space="preserve"> CITATION Gro181 \l 1033 </w:instrText>
                </w:r>
                <w:r w:rsidRPr="00797229">
                  <w:rPr>
                    <w:b w:val="0"/>
                    <w:bCs w:val="0"/>
                  </w:rPr>
                  <w:fldChar w:fldCharType="separate"/>
                </w:r>
                <w:r w:rsidRPr="00797229">
                  <w:rPr>
                    <w:b w:val="0"/>
                    <w:bCs w:val="0"/>
                    <w:noProof/>
                  </w:rPr>
                  <w:t>(Grohmann, 2018)</w:t>
                </w:r>
                <w:r w:rsidRPr="00797229">
                  <w:rPr>
                    <w:b w:val="0"/>
                    <w:bCs w:val="0"/>
                  </w:rPr>
                  <w:fldChar w:fldCharType="end"/>
                </w:r>
              </w:sdtContent>
            </w:sdt>
          </w:p>
        </w:tc>
        <w:tc>
          <w:tcPr>
            <w:tcW w:w="3117" w:type="dxa"/>
          </w:tcPr>
          <w:p w14:paraId="2C8FF90A" w14:textId="0092D238" w:rsidR="0098470B" w:rsidRDefault="0098470B" w:rsidP="008E4ED9">
            <w:pPr>
              <w:cnfStyle w:val="000000100000" w:firstRow="0" w:lastRow="0" w:firstColumn="0" w:lastColumn="0" w:oddVBand="0" w:evenVBand="0" w:oddHBand="1" w:evenHBand="0" w:firstRowFirstColumn="0" w:firstRowLastColumn="0" w:lastRowFirstColumn="0" w:lastRowLastColumn="0"/>
            </w:pPr>
            <w:r>
              <w:t>Flexible methodology to approach controls and evolve them over time</w:t>
            </w:r>
          </w:p>
        </w:tc>
        <w:tc>
          <w:tcPr>
            <w:tcW w:w="3117" w:type="dxa"/>
          </w:tcPr>
          <w:p w14:paraId="2A51BFA3" w14:textId="3864BCAF" w:rsidR="0098470B" w:rsidRDefault="0098470B" w:rsidP="008E4ED9">
            <w:pPr>
              <w:cnfStyle w:val="000000100000" w:firstRow="0" w:lastRow="0" w:firstColumn="0" w:lastColumn="0" w:oddVBand="0" w:evenVBand="0" w:oddHBand="1" w:evenHBand="0" w:firstRowFirstColumn="0" w:firstRowLastColumn="0" w:lastRowFirstColumn="0" w:lastRowLastColumn="0"/>
            </w:pPr>
            <w:r>
              <w:t>Large enterprise and businesses with varying levels of process maturity</w:t>
            </w:r>
          </w:p>
        </w:tc>
      </w:tr>
      <w:tr w:rsidR="0098470B" w14:paraId="08DE3C82" w14:textId="77777777" w:rsidTr="00797229">
        <w:tc>
          <w:tcPr>
            <w:cnfStyle w:val="001000000000" w:firstRow="0" w:lastRow="0" w:firstColumn="1" w:lastColumn="0" w:oddVBand="0" w:evenVBand="0" w:oddHBand="0" w:evenHBand="0" w:firstRowFirstColumn="0" w:firstRowLastColumn="0" w:lastRowFirstColumn="0" w:lastRowLastColumn="0"/>
            <w:tcW w:w="3116" w:type="dxa"/>
          </w:tcPr>
          <w:p w14:paraId="25D17C01" w14:textId="29395FE0" w:rsidR="0098470B" w:rsidRDefault="0098470B" w:rsidP="008E4ED9">
            <w:r>
              <w:t>International Organizational Standards (ISO) 27000</w:t>
            </w:r>
            <w:sdt>
              <w:sdtPr>
                <w:rPr>
                  <w:b w:val="0"/>
                  <w:bCs w:val="0"/>
                </w:rPr>
                <w:id w:val="1361771227"/>
                <w:citation/>
              </w:sdtPr>
              <w:sdtContent>
                <w:r w:rsidRPr="00797229">
                  <w:rPr>
                    <w:b w:val="0"/>
                    <w:bCs w:val="0"/>
                  </w:rPr>
                  <w:fldChar w:fldCharType="begin"/>
                </w:r>
                <w:r w:rsidRPr="00797229">
                  <w:rPr>
                    <w:b w:val="0"/>
                    <w:bCs w:val="0"/>
                  </w:rPr>
                  <w:instrText xml:space="preserve"> CITATION Gil11 \l 1033 </w:instrText>
                </w:r>
                <w:r w:rsidRPr="00797229">
                  <w:rPr>
                    <w:b w:val="0"/>
                    <w:bCs w:val="0"/>
                  </w:rPr>
                  <w:fldChar w:fldCharType="separate"/>
                </w:r>
                <w:r w:rsidRPr="00797229">
                  <w:rPr>
                    <w:b w:val="0"/>
                    <w:bCs w:val="0"/>
                    <w:noProof/>
                  </w:rPr>
                  <w:t xml:space="preserve"> (Gillies, 2011)</w:t>
                </w:r>
                <w:r w:rsidRPr="00797229">
                  <w:rPr>
                    <w:b w:val="0"/>
                    <w:bCs w:val="0"/>
                  </w:rPr>
                  <w:fldChar w:fldCharType="end"/>
                </w:r>
              </w:sdtContent>
            </w:sdt>
          </w:p>
        </w:tc>
        <w:tc>
          <w:tcPr>
            <w:tcW w:w="3117" w:type="dxa"/>
          </w:tcPr>
          <w:p w14:paraId="708F00BC" w14:textId="3341B94F" w:rsidR="0098470B" w:rsidRDefault="0098470B" w:rsidP="008E4ED9">
            <w:pPr>
              <w:cnfStyle w:val="000000000000" w:firstRow="0" w:lastRow="0" w:firstColumn="0" w:lastColumn="0" w:oddVBand="0" w:evenVBand="0" w:oddHBand="0" w:evenHBand="0" w:firstRowFirstColumn="0" w:firstRowLastColumn="0" w:lastRowFirstColumn="0" w:lastRowLastColumn="0"/>
            </w:pPr>
            <w:r>
              <w:t>Rigid set of requirements for ensuring appropriate controls</w:t>
            </w:r>
          </w:p>
        </w:tc>
        <w:tc>
          <w:tcPr>
            <w:tcW w:w="3117" w:type="dxa"/>
          </w:tcPr>
          <w:p w14:paraId="391C2C5A" w14:textId="4235FE3B" w:rsidR="0098470B" w:rsidRDefault="0098470B" w:rsidP="008E4ED9">
            <w:pPr>
              <w:cnfStyle w:val="000000000000" w:firstRow="0" w:lastRow="0" w:firstColumn="0" w:lastColumn="0" w:oddVBand="0" w:evenVBand="0" w:oddHBand="0" w:evenHBand="0" w:firstRowFirstColumn="0" w:firstRowLastColumn="0" w:lastRowFirstColumn="0" w:lastRowLastColumn="0"/>
            </w:pPr>
            <w:r>
              <w:t>Small enterprises and heavily regulated industries</w:t>
            </w:r>
          </w:p>
        </w:tc>
      </w:tr>
      <w:tr w:rsidR="0098470B" w14:paraId="13DEA2B8" w14:textId="77777777" w:rsidTr="0079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C08C0F" w14:textId="7FA9AB47" w:rsidR="0098470B" w:rsidRDefault="0098470B" w:rsidP="008E4ED9">
            <w:r>
              <w:t>Control Objectives for Information and Information related Technology (COBIT)</w:t>
            </w:r>
            <w:sdt>
              <w:sdtPr>
                <w:rPr>
                  <w:b w:val="0"/>
                  <w:bCs w:val="0"/>
                </w:rPr>
                <w:id w:val="-1417168635"/>
                <w:citation/>
              </w:sdtPr>
              <w:sdtContent>
                <w:r w:rsidRPr="00797229">
                  <w:rPr>
                    <w:b w:val="0"/>
                    <w:bCs w:val="0"/>
                  </w:rPr>
                  <w:fldChar w:fldCharType="begin"/>
                </w:r>
                <w:r w:rsidRPr="00797229">
                  <w:rPr>
                    <w:b w:val="0"/>
                    <w:bCs w:val="0"/>
                  </w:rPr>
                  <w:instrText xml:space="preserve"> CITATION Dev15 \l 1033 </w:instrText>
                </w:r>
                <w:r w:rsidRPr="00797229">
                  <w:rPr>
                    <w:b w:val="0"/>
                    <w:bCs w:val="0"/>
                  </w:rPr>
                  <w:fldChar w:fldCharType="separate"/>
                </w:r>
                <w:r w:rsidRPr="00797229">
                  <w:rPr>
                    <w:b w:val="0"/>
                    <w:bCs w:val="0"/>
                    <w:noProof/>
                  </w:rPr>
                  <w:t xml:space="preserve"> (Devos &amp; Van de Ginste, 2015)</w:t>
                </w:r>
                <w:r w:rsidRPr="00797229">
                  <w:rPr>
                    <w:b w:val="0"/>
                    <w:bCs w:val="0"/>
                  </w:rPr>
                  <w:fldChar w:fldCharType="end"/>
                </w:r>
              </w:sdtContent>
            </w:sdt>
          </w:p>
        </w:tc>
        <w:tc>
          <w:tcPr>
            <w:tcW w:w="3117" w:type="dxa"/>
          </w:tcPr>
          <w:p w14:paraId="48CA1163" w14:textId="61AED35C" w:rsidR="0098470B" w:rsidRDefault="0098470B" w:rsidP="008E4ED9">
            <w:pPr>
              <w:cnfStyle w:val="000000100000" w:firstRow="0" w:lastRow="0" w:firstColumn="0" w:lastColumn="0" w:oddVBand="0" w:evenVBand="0" w:oddHBand="1" w:evenHBand="0" w:firstRowFirstColumn="0" w:firstRowLastColumn="0" w:lastRowFirstColumn="0" w:lastRowLastColumn="0"/>
            </w:pPr>
            <w:r>
              <w:t>Collection of industry best practices and guidelines</w:t>
            </w:r>
          </w:p>
        </w:tc>
        <w:tc>
          <w:tcPr>
            <w:tcW w:w="3117" w:type="dxa"/>
          </w:tcPr>
          <w:p w14:paraId="0B09D936" w14:textId="2072D252" w:rsidR="0098470B" w:rsidRDefault="0098470B" w:rsidP="008E4ED9">
            <w:pPr>
              <w:cnfStyle w:val="000000100000" w:firstRow="0" w:lastRow="0" w:firstColumn="0" w:lastColumn="0" w:oddVBand="0" w:evenVBand="0" w:oddHBand="1" w:evenHBand="0" w:firstRowFirstColumn="0" w:firstRowLastColumn="0" w:lastRowFirstColumn="0" w:lastRowLastColumn="0"/>
            </w:pPr>
            <w:r>
              <w:t>Organizations that need a middle ground between NIST and ISO frameworks</w:t>
            </w:r>
          </w:p>
        </w:tc>
      </w:tr>
    </w:tbl>
    <w:p w14:paraId="4A29C499" w14:textId="77777777" w:rsidR="0098470B" w:rsidRDefault="0098470B" w:rsidP="008E4ED9"/>
    <w:p w14:paraId="5363891E" w14:textId="310AB142" w:rsidR="008E4ED9" w:rsidRDefault="008E4ED9" w:rsidP="008E4ED9">
      <w:pPr>
        <w:pStyle w:val="Heading2"/>
      </w:pPr>
      <w:r>
        <w:t>Relevant Laws and Standards</w:t>
      </w:r>
    </w:p>
    <w:p w14:paraId="023F05E0" w14:textId="200E6D9B" w:rsidR="008E4ED9" w:rsidRDefault="004B06E6" w:rsidP="008E4ED9">
      <w:r>
        <w:tab/>
        <w:t xml:space="preserve">During the APT’s tenure within the private network, it could have been privy to confidential information about the institution and its customers.  This situation creates both regulatory and ethical expectations of </w:t>
      </w:r>
      <w:proofErr w:type="spellStart"/>
      <w:r>
        <w:t>publically</w:t>
      </w:r>
      <w:proofErr w:type="spellEnd"/>
      <w:r>
        <w:t xml:space="preserve"> disclosing the security incident.</w:t>
      </w:r>
      <w:r w:rsidR="00635292">
        <w:t xml:space="preserve">  States like California, Delaware, and Utah have strict privacy legislation that can hold NCU-F responsible for negligence.  In September 2017, Equifax announced a data breach impacting 147 million people, costing over 575 million dollars in settlements plus public relations</w:t>
      </w:r>
      <w:sdt>
        <w:sdtPr>
          <w:id w:val="1727642972"/>
          <w:citation/>
        </w:sdtPr>
        <w:sdtContent>
          <w:r w:rsidR="00635292">
            <w:fldChar w:fldCharType="begin"/>
          </w:r>
          <w:r w:rsidR="00635292">
            <w:instrText xml:space="preserve"> CITATION Pui19 \l 1033 </w:instrText>
          </w:r>
          <w:r w:rsidR="00635292">
            <w:fldChar w:fldCharType="separate"/>
          </w:r>
          <w:r w:rsidR="00635292">
            <w:rPr>
              <w:noProof/>
            </w:rPr>
            <w:t xml:space="preserve"> (Puig, 2019)</w:t>
          </w:r>
          <w:r w:rsidR="00635292">
            <w:fldChar w:fldCharType="end"/>
          </w:r>
        </w:sdtContent>
      </w:sdt>
      <w:r w:rsidR="00635292">
        <w:t>.</w:t>
      </w:r>
      <w:r w:rsidR="00E83E72">
        <w:t xml:space="preserve">  If the </w:t>
      </w:r>
      <w:r w:rsidR="00E83E72">
        <w:lastRenderedPageBreak/>
        <w:t xml:space="preserve">incident exposes European customer data, then the General Data Protection Regulation (GDPR) </w:t>
      </w:r>
      <w:r w:rsidR="00884564">
        <w:t xml:space="preserve">can impose </w:t>
      </w:r>
      <w:r w:rsidR="00884564">
        <w:t>additional fines</w:t>
      </w:r>
      <w:sdt>
        <w:sdtPr>
          <w:id w:val="-776324147"/>
          <w:citation/>
        </w:sdtPr>
        <w:sdtContent>
          <w:r w:rsidR="00884564">
            <w:fldChar w:fldCharType="begin"/>
          </w:r>
          <w:r w:rsidR="00884564">
            <w:instrText xml:space="preserve"> CITATION Kov18 \l 1033 </w:instrText>
          </w:r>
          <w:r w:rsidR="00884564">
            <w:fldChar w:fldCharType="separate"/>
          </w:r>
          <w:r w:rsidR="00884564">
            <w:rPr>
              <w:noProof/>
            </w:rPr>
            <w:t xml:space="preserve"> (Kovacs, 2017)</w:t>
          </w:r>
          <w:r w:rsidR="00884564">
            <w:fldChar w:fldCharType="end"/>
          </w:r>
        </w:sdtContent>
      </w:sdt>
      <w:r w:rsidR="00E83E72">
        <w:t>.</w:t>
      </w:r>
      <w:r w:rsidR="00884564">
        <w:t xml:space="preserve">  Even without these legal requirements, NCU-F has an ethical obligation to be forthcoming.  The truth always comes </w:t>
      </w:r>
      <w:proofErr w:type="gramStart"/>
      <w:r w:rsidR="00884564">
        <w:t>out</w:t>
      </w:r>
      <w:r w:rsidR="001C5DDC">
        <w:t>,</w:t>
      </w:r>
      <w:r w:rsidR="00884564">
        <w:t xml:space="preserve"> and</w:t>
      </w:r>
      <w:proofErr w:type="gramEnd"/>
      <w:r w:rsidR="00884564">
        <w:t xml:space="preserve"> failing to act degrades the </w:t>
      </w:r>
      <w:proofErr w:type="spellStart"/>
      <w:r w:rsidR="00884564">
        <w:t>companies</w:t>
      </w:r>
      <w:proofErr w:type="spellEnd"/>
      <w:r w:rsidR="00884564">
        <w:t xml:space="preserve"> ability to drive the </w:t>
      </w:r>
      <w:r w:rsidR="001C5DDC">
        <w:t xml:space="preserve">public </w:t>
      </w:r>
      <w:r w:rsidR="00884564">
        <w:t>narrative.</w:t>
      </w:r>
    </w:p>
    <w:p w14:paraId="5D180B30" w14:textId="696300BE" w:rsidR="008E4ED9" w:rsidRDefault="008E4ED9" w:rsidP="008E4ED9">
      <w:pPr>
        <w:pStyle w:val="Heading2"/>
      </w:pPr>
      <w:r>
        <w:t>Adoption Process</w:t>
      </w:r>
    </w:p>
    <w:p w14:paraId="19595E98" w14:textId="5FCF072D" w:rsidR="008E4ED9" w:rsidRDefault="00F90639" w:rsidP="008E4ED9">
      <w:r>
        <w:tab/>
      </w:r>
      <w:r w:rsidR="00873591">
        <w:t>The adoption of any process requires sponsorship from executive leadership and proper communication to the troops</w:t>
      </w:r>
      <w:sdt>
        <w:sdtPr>
          <w:id w:val="-1603714548"/>
          <w:citation/>
        </w:sdtPr>
        <w:sdtContent>
          <w:r w:rsidR="00873591">
            <w:fldChar w:fldCharType="begin"/>
          </w:r>
          <w:r w:rsidR="00873591">
            <w:instrText xml:space="preserve"> CITATION Wes18 \l 1033 </w:instrText>
          </w:r>
          <w:r w:rsidR="00873591">
            <w:fldChar w:fldCharType="separate"/>
          </w:r>
          <w:r w:rsidR="00873591">
            <w:rPr>
              <w:noProof/>
            </w:rPr>
            <w:t xml:space="preserve"> (Weston, Conklin, &amp; Drobnis, 2018)</w:t>
          </w:r>
          <w:r w:rsidR="00873591">
            <w:fldChar w:fldCharType="end"/>
          </w:r>
        </w:sdtContent>
      </w:sdt>
      <w:r w:rsidR="00873591">
        <w:t>.  When either the top or bottom of the organization lack agreement in the solution, it will not become a priority, and team members will sidestep it.</w:t>
      </w:r>
      <w:r w:rsidR="00307A29">
        <w:t xml:space="preserve">  Instead, having a cultural alignment ensures th</w:t>
      </w:r>
      <w:r w:rsidR="00475F54">
        <w:t>at th</w:t>
      </w:r>
      <w:r w:rsidR="00307A29">
        <w:t>e standard operating procedure makes safe decisions that minimize risk and privacy concerns.</w:t>
      </w:r>
      <w:r w:rsidR="00475F54">
        <w:t xml:space="preserve">  For instance, this intrusion began with a phishing attack.  Security awareness training could reduce the likelihood of that scenario but not eliminate it</w:t>
      </w:r>
      <w:sdt>
        <w:sdtPr>
          <w:id w:val="626121237"/>
          <w:citation/>
        </w:sdtPr>
        <w:sdtContent>
          <w:r w:rsidR="0076346B">
            <w:fldChar w:fldCharType="begin"/>
          </w:r>
          <w:r w:rsidR="0076346B">
            <w:instrText xml:space="preserve"> CITATION Hun193 \l 1033 </w:instrText>
          </w:r>
          <w:r w:rsidR="0076346B">
            <w:fldChar w:fldCharType="separate"/>
          </w:r>
          <w:r w:rsidR="0076346B">
            <w:rPr>
              <w:noProof/>
            </w:rPr>
            <w:t xml:space="preserve"> (Hunt, 2019)</w:t>
          </w:r>
          <w:r w:rsidR="0076346B">
            <w:fldChar w:fldCharType="end"/>
          </w:r>
        </w:sdtContent>
      </w:sdt>
      <w:r w:rsidR="00475F54">
        <w:t>.</w:t>
      </w:r>
      <w:r w:rsidR="0076346B">
        <w:t xml:space="preserve">  Through a similar mechanism, RSA became compromised via malicious emails automatically triggered a zero-day exploit in Adobe Flash</w:t>
      </w:r>
      <w:sdt>
        <w:sdtPr>
          <w:id w:val="-2129457131"/>
          <w:citation/>
        </w:sdtPr>
        <w:sdtContent>
          <w:r w:rsidR="0076346B">
            <w:fldChar w:fldCharType="begin"/>
          </w:r>
          <w:r w:rsidR="0076346B">
            <w:instrText xml:space="preserve"> CITATION Ley11 \l 1033 </w:instrText>
          </w:r>
          <w:r w:rsidR="0076346B">
            <w:fldChar w:fldCharType="separate"/>
          </w:r>
          <w:r w:rsidR="0076346B">
            <w:rPr>
              <w:noProof/>
            </w:rPr>
            <w:t xml:space="preserve"> (Leyden, 2011)</w:t>
          </w:r>
          <w:r w:rsidR="0076346B">
            <w:fldChar w:fldCharType="end"/>
          </w:r>
        </w:sdtContent>
      </w:sdt>
      <w:r w:rsidR="0076346B">
        <w:t>.</w:t>
      </w:r>
      <w:r w:rsidR="009D546C">
        <w:t xml:space="preserve">  After slipping past the firewall, many enterprise environments lack defense</w:t>
      </w:r>
      <w:r w:rsidR="00DC05AE">
        <w:t>-</w:t>
      </w:r>
      <w:r w:rsidR="009D546C">
        <w:t>in</w:t>
      </w:r>
      <w:r w:rsidR="00DC05AE">
        <w:t>-</w:t>
      </w:r>
      <w:r w:rsidR="009D546C">
        <w:t xml:space="preserve">depth </w:t>
      </w:r>
      <w:r w:rsidR="00DC05AE">
        <w:t>controls</w:t>
      </w:r>
      <w:r w:rsidR="00F13C78">
        <w:t xml:space="preserve"> allowing lateral movement </w:t>
      </w:r>
      <w:r w:rsidR="00AD05E3">
        <w:t>across</w:t>
      </w:r>
      <w:r w:rsidR="00F13C78">
        <w:t xml:space="preserve"> the network</w:t>
      </w:r>
      <w:sdt>
        <w:sdtPr>
          <w:id w:val="-950852588"/>
          <w:citation/>
        </w:sdtPr>
        <w:sdtContent>
          <w:r w:rsidR="00F60495">
            <w:fldChar w:fldCharType="begin"/>
          </w:r>
          <w:r w:rsidR="00F60495">
            <w:instrText xml:space="preserve"> CITATION Ste18 \l 1033 </w:instrText>
          </w:r>
          <w:r w:rsidR="00F60495">
            <w:fldChar w:fldCharType="separate"/>
          </w:r>
          <w:r w:rsidR="00F60495">
            <w:rPr>
              <w:noProof/>
            </w:rPr>
            <w:t xml:space="preserve"> (Stevens, 2018)</w:t>
          </w:r>
          <w:r w:rsidR="00F60495">
            <w:fldChar w:fldCharType="end"/>
          </w:r>
        </w:sdtContent>
      </w:sdt>
      <w:r w:rsidR="009D546C">
        <w:t>.</w:t>
      </w:r>
      <w:r w:rsidR="00F60495">
        <w:t xml:space="preserve">  Removes these auxiliary threats require a fundamental shift in approach that centers around zero-trust and an assume breach mindset.</w:t>
      </w:r>
      <w:r w:rsidR="00BB0D50">
        <w:t xml:space="preserve">  Promoting such </w:t>
      </w:r>
      <w:r w:rsidR="007208F4">
        <w:t xml:space="preserve">a shift </w:t>
      </w:r>
      <w:r w:rsidR="00BB0D50">
        <w:t>is only possible under a shared vision of success and collective agreement that change is necessary.</w:t>
      </w:r>
    </w:p>
    <w:p w14:paraId="3E0E05F7" w14:textId="21C8868C" w:rsidR="008E4ED9" w:rsidRDefault="008E4ED9" w:rsidP="008E4ED9">
      <w:pPr>
        <w:pStyle w:val="Heading2"/>
      </w:pPr>
      <w:r>
        <w:t>Changes to Operations and Services</w:t>
      </w:r>
    </w:p>
    <w:p w14:paraId="24DE6E2C" w14:textId="2136D4C2" w:rsidR="006970FB" w:rsidRDefault="006970FB" w:rsidP="006970FB">
      <w:r>
        <w:tab/>
        <w:t>The forensic analysis concludes that the attack against NCU-F began with malware embedded in email communications</w:t>
      </w:r>
      <w:r w:rsidR="00CC0136">
        <w:t xml:space="preserve"> (see Figure 1)</w:t>
      </w:r>
      <w:r>
        <w:t xml:space="preserve">.  When the user interacts with the message, it provisions a command and control (C&amp;C) service to receive commands from the attacker.  These commands </w:t>
      </w:r>
      <w:r w:rsidR="00CC0136">
        <w:t xml:space="preserve">execute under the same security context </w:t>
      </w:r>
      <w:r>
        <w:t xml:space="preserve">as the local workstation, </w:t>
      </w:r>
      <w:r w:rsidR="00CC0136">
        <w:t xml:space="preserve">allowing actions </w:t>
      </w:r>
      <w:r>
        <w:lastRenderedPageBreak/>
        <w:t xml:space="preserve">such as monitoring network traffic to discover unprotected credentials.  After </w:t>
      </w:r>
      <w:r w:rsidR="00CC0136">
        <w:t>discovering hashes</w:t>
      </w:r>
      <w:r>
        <w:t xml:space="preserve"> and </w:t>
      </w:r>
      <w:r w:rsidR="00CC0136">
        <w:t>passwords</w:t>
      </w:r>
      <w:r>
        <w:t xml:space="preserve">, the </w:t>
      </w:r>
      <w:r w:rsidR="00CC0136">
        <w:t xml:space="preserve">breach </w:t>
      </w:r>
      <w:r>
        <w:t>laterally moves to internal services (e.g., file shares and repositories).</w:t>
      </w:r>
      <w:r w:rsidR="00CC0136">
        <w:t xml:space="preserve">  </w:t>
      </w:r>
      <w:r>
        <w:t>Each hop across the network topology expands the APT’s control as they collect privileges to auxiliary connected systems (e.g., databases and management solutions).</w:t>
      </w:r>
      <w:r w:rsidR="00CC0136">
        <w:t xml:space="preserve">  Recovering the system can be challenging, as the APT becomes free to install backdoors across the internal resources.</w:t>
      </w:r>
    </w:p>
    <w:p w14:paraId="7F054ECB" w14:textId="707AA3D1" w:rsidR="006970FB" w:rsidRDefault="00CC0136" w:rsidP="00CC0136">
      <w:pPr>
        <w:pStyle w:val="Caption"/>
      </w:pPr>
      <w:r>
        <w:t>Figure 1: Sequence of Events</w:t>
      </w:r>
    </w:p>
    <w:p w14:paraId="0B598420" w14:textId="3C64B876" w:rsidR="008E4ED9" w:rsidRDefault="006970FB" w:rsidP="006970FB">
      <w:pPr>
        <w:jc w:val="center"/>
      </w:pPr>
      <w:r>
        <w:rPr>
          <w:noProof/>
        </w:rPr>
        <w:drawing>
          <wp:inline distT="0" distB="0" distL="0" distR="0" wp14:anchorId="64A089AB" wp14:editId="1785EA93">
            <wp:extent cx="2777706" cy="24850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4714" cy="2509260"/>
                    </a:xfrm>
                    <a:prstGeom prst="rect">
                      <a:avLst/>
                    </a:prstGeom>
                  </pic:spPr>
                </pic:pic>
              </a:graphicData>
            </a:graphic>
          </wp:inline>
        </w:drawing>
      </w:r>
    </w:p>
    <w:p w14:paraId="07E25D03" w14:textId="2A9DF6FF" w:rsidR="008E4ED9" w:rsidRDefault="008E4ED9" w:rsidP="008E4ED9">
      <w:pPr>
        <w:pStyle w:val="Heading2"/>
      </w:pPr>
      <w:r>
        <w:t>Best Practices for Security and Risk Management</w:t>
      </w:r>
    </w:p>
    <w:p w14:paraId="09195647" w14:textId="4B27B01E" w:rsidR="008E4ED9" w:rsidRDefault="00CC0136" w:rsidP="008E4ED9">
      <w:r>
        <w:tab/>
        <w:t>Multiple controls and policy changes are necessary</w:t>
      </w:r>
      <w:r>
        <w:t xml:space="preserve"> to prevent these scenarios from reoccurring (see Table 3).  Applying these best practices requires identifying the resources that constitute the internal network, then exploring the mechanisms for authentication, authorization, and auditing (AAA) their interactions.  While it is often easy to identify a solution to preventing exploitation of a path, this can often come at odds with business priorities.  Removing the email service would remove this series of unfortunate events, but that would be unrealistic for the sales and marketing department to divorce themselves from the medium.  Even if a solution would possible, an attacker could target phishing attacks at the employe</w:t>
      </w:r>
      <w:r w:rsidR="005207AC">
        <w:t>es’</w:t>
      </w:r>
      <w:r>
        <w:t xml:space="preserve"> </w:t>
      </w:r>
      <w:r w:rsidR="005207AC">
        <w:t xml:space="preserve">private </w:t>
      </w:r>
      <w:r>
        <w:t>account</w:t>
      </w:r>
      <w:r w:rsidR="005207AC">
        <w:t>s</w:t>
      </w:r>
      <w:r>
        <w:t xml:space="preserve"> or social </w:t>
      </w:r>
      <w:r w:rsidR="005207AC">
        <w:t xml:space="preserve">media </w:t>
      </w:r>
      <w:r>
        <w:t>network</w:t>
      </w:r>
      <w:r w:rsidR="00BE7FC7">
        <w:t>s</w:t>
      </w:r>
      <w:r>
        <w:t>.</w:t>
      </w:r>
    </w:p>
    <w:p w14:paraId="52FCB333" w14:textId="74DD602E" w:rsidR="00CC0136" w:rsidRDefault="00CC0136" w:rsidP="00CC0136">
      <w:pPr>
        <w:pStyle w:val="Caption"/>
      </w:pPr>
      <w:r>
        <w:lastRenderedPageBreak/>
        <w:t>Table 3: System Improvements</w:t>
      </w:r>
    </w:p>
    <w:tbl>
      <w:tblPr>
        <w:tblStyle w:val="GridTable4"/>
        <w:tblW w:w="0" w:type="auto"/>
        <w:tblLook w:val="04A0" w:firstRow="1" w:lastRow="0" w:firstColumn="1" w:lastColumn="0" w:noHBand="0" w:noVBand="1"/>
      </w:tblPr>
      <w:tblGrid>
        <w:gridCol w:w="3212"/>
        <w:gridCol w:w="3324"/>
        <w:gridCol w:w="2814"/>
      </w:tblGrid>
      <w:tr w:rsidR="00CC0136" w14:paraId="09C3E4C6" w14:textId="68AAD72A" w:rsidTr="00CC0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614C1C20" w14:textId="419CFD0B" w:rsidR="00CC0136" w:rsidRDefault="00CC0136" w:rsidP="008E4ED9">
            <w:r>
              <w:t>Threat</w:t>
            </w:r>
          </w:p>
        </w:tc>
        <w:tc>
          <w:tcPr>
            <w:tcW w:w="3324" w:type="dxa"/>
          </w:tcPr>
          <w:p w14:paraId="3FDFDA3B" w14:textId="7AFC3577" w:rsidR="00CC0136" w:rsidRDefault="00CC0136" w:rsidP="008E4ED9">
            <w:pPr>
              <w:cnfStyle w:val="100000000000" w:firstRow="1" w:lastRow="0" w:firstColumn="0" w:lastColumn="0" w:oddVBand="0" w:evenVBand="0" w:oddHBand="0" w:evenHBand="0" w:firstRowFirstColumn="0" w:firstRowLastColumn="0" w:lastRowFirstColumn="0" w:lastRowLastColumn="0"/>
            </w:pPr>
            <w:r>
              <w:t>Remediation</w:t>
            </w:r>
          </w:p>
        </w:tc>
        <w:tc>
          <w:tcPr>
            <w:tcW w:w="2814" w:type="dxa"/>
          </w:tcPr>
          <w:p w14:paraId="7D0D566C" w14:textId="71EB1A54" w:rsidR="00CC0136" w:rsidRDefault="00CC0136" w:rsidP="008E4ED9">
            <w:pPr>
              <w:cnfStyle w:val="100000000000" w:firstRow="1" w:lastRow="0" w:firstColumn="0" w:lastColumn="0" w:oddVBand="0" w:evenVBand="0" w:oddHBand="0" w:evenHBand="0" w:firstRowFirstColumn="0" w:firstRowLastColumn="0" w:lastRowFirstColumn="0" w:lastRowLastColumn="0"/>
            </w:pPr>
            <w:r>
              <w:t>Challenge</w:t>
            </w:r>
          </w:p>
        </w:tc>
      </w:tr>
      <w:tr w:rsidR="00CC0136" w14:paraId="0A33E261" w14:textId="03B96A38" w:rsidTr="00CC0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036E355" w14:textId="10FD3E84" w:rsidR="00CC0136" w:rsidRDefault="00CC0136" w:rsidP="008E4ED9">
            <w:r>
              <w:t>Malicious email reaches the employee</w:t>
            </w:r>
          </w:p>
        </w:tc>
        <w:tc>
          <w:tcPr>
            <w:tcW w:w="3324" w:type="dxa"/>
          </w:tcPr>
          <w:p w14:paraId="14BBF85E" w14:textId="778CF2B1" w:rsidR="00CC0136" w:rsidRDefault="00CC0136" w:rsidP="008E4ED9">
            <w:pPr>
              <w:cnfStyle w:val="000000100000" w:firstRow="0" w:lastRow="0" w:firstColumn="0" w:lastColumn="0" w:oddVBand="0" w:evenVBand="0" w:oddHBand="1" w:evenHBand="0" w:firstRowFirstColumn="0" w:firstRowLastColumn="0" w:lastRowFirstColumn="0" w:lastRowLastColumn="0"/>
            </w:pPr>
            <w:r>
              <w:t>Spam and anti-virus software can reduce the likelihood of success</w:t>
            </w:r>
            <w:sdt>
              <w:sdtPr>
                <w:id w:val="1863939177"/>
                <w:citation/>
              </w:sdtPr>
              <w:sdtContent>
                <w:r>
                  <w:fldChar w:fldCharType="begin"/>
                </w:r>
                <w:r>
                  <w:instrText xml:space="preserve"> CITATION Lee17 \l 1033 </w:instrText>
                </w:r>
                <w:r>
                  <w:fldChar w:fldCharType="separate"/>
                </w:r>
                <w:r>
                  <w:rPr>
                    <w:noProof/>
                  </w:rPr>
                  <w:t xml:space="preserve"> (Lee, Moon, &amp; Park, 2017)</w:t>
                </w:r>
                <w:r>
                  <w:fldChar w:fldCharType="end"/>
                </w:r>
              </w:sdtContent>
            </w:sdt>
          </w:p>
        </w:tc>
        <w:tc>
          <w:tcPr>
            <w:tcW w:w="2814" w:type="dxa"/>
          </w:tcPr>
          <w:p w14:paraId="7B2C98EB" w14:textId="1B513C2F" w:rsidR="00CC0136" w:rsidRDefault="00CC0136" w:rsidP="008E4ED9">
            <w:pPr>
              <w:cnfStyle w:val="000000100000" w:firstRow="0" w:lastRow="0" w:firstColumn="0" w:lastColumn="0" w:oddVBand="0" w:evenVBand="0" w:oddHBand="1" w:evenHBand="0" w:firstRowFirstColumn="0" w:firstRowLastColumn="0" w:lastRowFirstColumn="0" w:lastRowLastColumn="0"/>
            </w:pPr>
            <w:r>
              <w:t>Completely blocking document exchange is challenging to impossible</w:t>
            </w:r>
          </w:p>
        </w:tc>
      </w:tr>
      <w:tr w:rsidR="00CC0136" w14:paraId="31C10CB5" w14:textId="78F36082" w:rsidTr="00CC0136">
        <w:tc>
          <w:tcPr>
            <w:cnfStyle w:val="001000000000" w:firstRow="0" w:lastRow="0" w:firstColumn="1" w:lastColumn="0" w:oddVBand="0" w:evenVBand="0" w:oddHBand="0" w:evenHBand="0" w:firstRowFirstColumn="0" w:firstRowLastColumn="0" w:lastRowFirstColumn="0" w:lastRowLastColumn="0"/>
            <w:tcW w:w="3212" w:type="dxa"/>
          </w:tcPr>
          <w:p w14:paraId="26DECCB9" w14:textId="4B13E570" w:rsidR="00CC0136" w:rsidRDefault="00CC0136" w:rsidP="008E4ED9">
            <w:r>
              <w:t>Installation of C&amp;C</w:t>
            </w:r>
          </w:p>
        </w:tc>
        <w:tc>
          <w:tcPr>
            <w:tcW w:w="3324" w:type="dxa"/>
          </w:tcPr>
          <w:p w14:paraId="4C609F03" w14:textId="6CE0A255" w:rsidR="00CC0136" w:rsidRDefault="00CC0136" w:rsidP="008E4ED9">
            <w:pPr>
              <w:cnfStyle w:val="000000000000" w:firstRow="0" w:lastRow="0" w:firstColumn="0" w:lastColumn="0" w:oddVBand="0" w:evenVBand="0" w:oddHBand="0" w:evenHBand="0" w:firstRowFirstColumn="0" w:firstRowLastColumn="0" w:lastRowFirstColumn="0" w:lastRowLastColumn="0"/>
            </w:pPr>
            <w:r>
              <w:t>Running systems with least privileges prevent success</w:t>
            </w:r>
            <w:sdt>
              <w:sdtPr>
                <w:id w:val="-366293890"/>
                <w:citation/>
              </w:sdtPr>
              <w:sdtContent>
                <w:r>
                  <w:fldChar w:fldCharType="begin"/>
                </w:r>
                <w:r>
                  <w:instrText xml:space="preserve"> CITATION Fis17 \l 1033 </w:instrText>
                </w:r>
                <w:r>
                  <w:fldChar w:fldCharType="separate"/>
                </w:r>
                <w:r>
                  <w:rPr>
                    <w:noProof/>
                  </w:rPr>
                  <w:t xml:space="preserve"> (Fischerkeller &amp; Harknett, 2017)</w:t>
                </w:r>
                <w:r>
                  <w:fldChar w:fldCharType="end"/>
                </w:r>
              </w:sdtContent>
            </w:sdt>
          </w:p>
        </w:tc>
        <w:tc>
          <w:tcPr>
            <w:tcW w:w="2814" w:type="dxa"/>
          </w:tcPr>
          <w:p w14:paraId="2BCA6638" w14:textId="36290828" w:rsidR="00CC0136" w:rsidRDefault="00CC0136" w:rsidP="008E4ED9">
            <w:pPr>
              <w:cnfStyle w:val="000000000000" w:firstRow="0" w:lastRow="0" w:firstColumn="0" w:lastColumn="0" w:oddVBand="0" w:evenVBand="0" w:oddHBand="0" w:evenHBand="0" w:firstRowFirstColumn="0" w:firstRowLastColumn="0" w:lastRowFirstColumn="0" w:lastRowLastColumn="0"/>
            </w:pPr>
            <w:r>
              <w:t>Many users require dangerous permission to perform their role</w:t>
            </w:r>
          </w:p>
        </w:tc>
      </w:tr>
      <w:tr w:rsidR="00CC0136" w14:paraId="7B492D17" w14:textId="77777777" w:rsidTr="00CC0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63200F9C" w14:textId="37F6D273" w:rsidR="00CC0136" w:rsidRDefault="00CC0136" w:rsidP="008E4ED9">
            <w:r>
              <w:t>C&amp;C Communicates with a remote attacker</w:t>
            </w:r>
          </w:p>
        </w:tc>
        <w:tc>
          <w:tcPr>
            <w:tcW w:w="3324" w:type="dxa"/>
          </w:tcPr>
          <w:p w14:paraId="6003B36E" w14:textId="72E0B5BC" w:rsidR="00CC0136" w:rsidRDefault="00CC0136" w:rsidP="008E4ED9">
            <w:pPr>
              <w:cnfStyle w:val="000000100000" w:firstRow="0" w:lastRow="0" w:firstColumn="0" w:lastColumn="0" w:oddVBand="0" w:evenVBand="0" w:oddHBand="1" w:evenHBand="0" w:firstRowFirstColumn="0" w:firstRowLastColumn="0" w:lastRowFirstColumn="0" w:lastRowLastColumn="0"/>
            </w:pPr>
            <w:r>
              <w:t>Prevent communicating with untrusted networks</w:t>
            </w:r>
          </w:p>
        </w:tc>
        <w:tc>
          <w:tcPr>
            <w:tcW w:w="2814" w:type="dxa"/>
          </w:tcPr>
          <w:p w14:paraId="0907620C" w14:textId="55780257" w:rsidR="00CC0136" w:rsidRDefault="00CC0136" w:rsidP="008E4ED9">
            <w:pPr>
              <w:cnfStyle w:val="000000100000" w:firstRow="0" w:lastRow="0" w:firstColumn="0" w:lastColumn="0" w:oddVBand="0" w:evenVBand="0" w:oddHBand="1" w:evenHBand="0" w:firstRowFirstColumn="0" w:firstRowLastColumn="0" w:lastRowFirstColumn="0" w:lastRowLastColumn="0"/>
            </w:pPr>
            <w:r>
              <w:t>Preventing access to public clouds is nearly impossible</w:t>
            </w:r>
            <w:sdt>
              <w:sdtPr>
                <w:id w:val="92446228"/>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p>
        </w:tc>
      </w:tr>
      <w:tr w:rsidR="00CC0136" w14:paraId="77746D9F" w14:textId="77777777" w:rsidTr="00CC0136">
        <w:tc>
          <w:tcPr>
            <w:cnfStyle w:val="001000000000" w:firstRow="0" w:lastRow="0" w:firstColumn="1" w:lastColumn="0" w:oddVBand="0" w:evenVBand="0" w:oddHBand="0" w:evenHBand="0" w:firstRowFirstColumn="0" w:firstRowLastColumn="0" w:lastRowFirstColumn="0" w:lastRowLastColumn="0"/>
            <w:tcW w:w="3212" w:type="dxa"/>
          </w:tcPr>
          <w:p w14:paraId="36985530" w14:textId="18FFD18F" w:rsidR="00CC0136" w:rsidRDefault="00CC0136" w:rsidP="008E4ED9">
            <w:r>
              <w:t>The attacker steals credentials from the network</w:t>
            </w:r>
          </w:p>
        </w:tc>
        <w:tc>
          <w:tcPr>
            <w:tcW w:w="3324" w:type="dxa"/>
          </w:tcPr>
          <w:p w14:paraId="0D08F5DF" w14:textId="2BA326F1" w:rsidR="00CC0136" w:rsidRDefault="00CC0136" w:rsidP="008E4ED9">
            <w:pPr>
              <w:cnfStyle w:val="000000000000" w:firstRow="0" w:lastRow="0" w:firstColumn="0" w:lastColumn="0" w:oddVBand="0" w:evenVBand="0" w:oddHBand="0" w:evenHBand="0" w:firstRowFirstColumn="0" w:firstRowLastColumn="0" w:lastRowFirstColumn="0" w:lastRowLastColumn="0"/>
            </w:pPr>
            <w:r>
              <w:t xml:space="preserve">Install </w:t>
            </w:r>
            <w:proofErr w:type="spellStart"/>
            <w:r>
              <w:t>IPSec</w:t>
            </w:r>
            <w:proofErr w:type="spellEnd"/>
            <w:r>
              <w:t xml:space="preserve"> and use TLS encryption</w:t>
            </w:r>
          </w:p>
        </w:tc>
        <w:tc>
          <w:tcPr>
            <w:tcW w:w="2814" w:type="dxa"/>
          </w:tcPr>
          <w:p w14:paraId="2BCD20EA" w14:textId="191AA977" w:rsidR="00CC0136" w:rsidRDefault="00CC0136" w:rsidP="008E4ED9">
            <w:pPr>
              <w:cnfStyle w:val="000000000000" w:firstRow="0" w:lastRow="0" w:firstColumn="0" w:lastColumn="0" w:oddVBand="0" w:evenVBand="0" w:oddHBand="0" w:evenHBand="0" w:firstRowFirstColumn="0" w:firstRowLastColumn="0" w:lastRowFirstColumn="0" w:lastRowLastColumn="0"/>
            </w:pPr>
            <w:r>
              <w:t>Not all systems fully support these protocols</w:t>
            </w:r>
          </w:p>
        </w:tc>
      </w:tr>
      <w:tr w:rsidR="00CC0136" w14:paraId="606B9188" w14:textId="77777777" w:rsidTr="00CC0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849B65F" w14:textId="19662FAC" w:rsidR="00CC0136" w:rsidRDefault="00CC0136" w:rsidP="008E4ED9">
            <w:r>
              <w:t>The attacker compromises switch ARP tables</w:t>
            </w:r>
          </w:p>
        </w:tc>
        <w:tc>
          <w:tcPr>
            <w:tcW w:w="3324" w:type="dxa"/>
          </w:tcPr>
          <w:p w14:paraId="5EE609DD" w14:textId="06BA1465" w:rsidR="00CC0136" w:rsidRDefault="00CC0136" w:rsidP="008E4ED9">
            <w:pPr>
              <w:cnfStyle w:val="000000100000" w:firstRow="0" w:lastRow="0" w:firstColumn="0" w:lastColumn="0" w:oddVBand="0" w:evenVBand="0" w:oddHBand="1" w:evenHBand="0" w:firstRowFirstColumn="0" w:firstRowLastColumn="0" w:lastRowFirstColumn="0" w:lastRowLastColumn="0"/>
            </w:pPr>
            <w:r>
              <w:t>Use static ARP tables via domain policy</w:t>
            </w:r>
          </w:p>
        </w:tc>
        <w:tc>
          <w:tcPr>
            <w:tcW w:w="2814" w:type="dxa"/>
          </w:tcPr>
          <w:p w14:paraId="3A155BB2" w14:textId="1AFBFA84" w:rsidR="00CC0136" w:rsidRDefault="00CC0136" w:rsidP="008E4ED9">
            <w:pPr>
              <w:cnfStyle w:val="000000100000" w:firstRow="0" w:lastRow="0" w:firstColumn="0" w:lastColumn="0" w:oddVBand="0" w:evenVBand="0" w:oddHBand="1" w:evenHBand="0" w:firstRowFirstColumn="0" w:firstRowLastColumn="0" w:lastRowFirstColumn="0" w:lastRowLastColumn="0"/>
            </w:pPr>
            <w:r>
              <w:t>Prohibitively expensive in dynamic environments</w:t>
            </w:r>
          </w:p>
        </w:tc>
      </w:tr>
      <w:tr w:rsidR="00CC0136" w14:paraId="1DA2399D" w14:textId="77777777" w:rsidTr="00CC0136">
        <w:tc>
          <w:tcPr>
            <w:cnfStyle w:val="001000000000" w:firstRow="0" w:lastRow="0" w:firstColumn="1" w:lastColumn="0" w:oddVBand="0" w:evenVBand="0" w:oddHBand="0" w:evenHBand="0" w:firstRowFirstColumn="0" w:firstRowLastColumn="0" w:lastRowFirstColumn="0" w:lastRowLastColumn="0"/>
            <w:tcW w:w="3212" w:type="dxa"/>
          </w:tcPr>
          <w:p w14:paraId="5B7CE815" w14:textId="781D8037" w:rsidR="00CC0136" w:rsidRDefault="00CC0136" w:rsidP="008E4ED9">
            <w:r>
              <w:t>Attacker accesses internal services using stolen credentials</w:t>
            </w:r>
          </w:p>
        </w:tc>
        <w:tc>
          <w:tcPr>
            <w:tcW w:w="3324" w:type="dxa"/>
          </w:tcPr>
          <w:p w14:paraId="61E04196" w14:textId="2539C2AA" w:rsidR="00CC0136" w:rsidRDefault="00CC0136" w:rsidP="008E4ED9">
            <w:pPr>
              <w:cnfStyle w:val="000000000000" w:firstRow="0" w:lastRow="0" w:firstColumn="0" w:lastColumn="0" w:oddVBand="0" w:evenVBand="0" w:oddHBand="0" w:evenHBand="0" w:firstRowFirstColumn="0" w:firstRowLastColumn="0" w:lastRowFirstColumn="0" w:lastRowLastColumn="0"/>
            </w:pPr>
            <w:r>
              <w:t>Rotate credentials frequently, use Multi-Factor Auth (MFA)</w:t>
            </w:r>
            <w:sdt>
              <w:sdtPr>
                <w:id w:val="1081794555"/>
                <w:citation/>
              </w:sdtPr>
              <w:sdtContent>
                <w:r>
                  <w:fldChar w:fldCharType="begin"/>
                </w:r>
                <w:r>
                  <w:instrText xml:space="preserve"> CITATION Hen18 \l 1033 </w:instrText>
                </w:r>
                <w:r>
                  <w:fldChar w:fldCharType="separate"/>
                </w:r>
                <w:r>
                  <w:rPr>
                    <w:noProof/>
                  </w:rPr>
                  <w:t xml:space="preserve"> (Hennig, 2018)</w:t>
                </w:r>
                <w:r>
                  <w:fldChar w:fldCharType="end"/>
                </w:r>
              </w:sdtContent>
            </w:sdt>
          </w:p>
        </w:tc>
        <w:tc>
          <w:tcPr>
            <w:tcW w:w="2814" w:type="dxa"/>
          </w:tcPr>
          <w:p w14:paraId="7340F274" w14:textId="2231151D" w:rsidR="00CC0136" w:rsidRDefault="00CC0136" w:rsidP="008E4ED9">
            <w:pPr>
              <w:cnfStyle w:val="000000000000" w:firstRow="0" w:lastRow="0" w:firstColumn="0" w:lastColumn="0" w:oddVBand="0" w:evenVBand="0" w:oddHBand="0" w:evenHBand="0" w:firstRowFirstColumn="0" w:firstRowLastColumn="0" w:lastRowFirstColumn="0" w:lastRowLastColumn="0"/>
            </w:pPr>
            <w:r>
              <w:t>Does not prevent stolen hash</w:t>
            </w:r>
          </w:p>
        </w:tc>
      </w:tr>
      <w:tr w:rsidR="00CC0136" w14:paraId="1BCA8D2A" w14:textId="77777777" w:rsidTr="00CC0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18978F8" w14:textId="4C261960" w:rsidR="00CC0136" w:rsidRDefault="00CC0136" w:rsidP="008E4ED9">
            <w:r>
              <w:t>Local Elevation of Privilege on Internal Systems</w:t>
            </w:r>
          </w:p>
        </w:tc>
        <w:tc>
          <w:tcPr>
            <w:tcW w:w="3324" w:type="dxa"/>
          </w:tcPr>
          <w:p w14:paraId="21F2AEE5" w14:textId="2195C502" w:rsidR="00CC0136" w:rsidRDefault="00CC0136" w:rsidP="008E4ED9">
            <w:pPr>
              <w:cnfStyle w:val="000000100000" w:firstRow="0" w:lastRow="0" w:firstColumn="0" w:lastColumn="0" w:oddVBand="0" w:evenVBand="0" w:oddHBand="1" w:evenHBand="0" w:firstRowFirstColumn="0" w:firstRowLastColumn="0" w:lastRowFirstColumn="0" w:lastRowLastColumn="0"/>
            </w:pPr>
            <w:r>
              <w:t>Patch management and disable unused services</w:t>
            </w:r>
            <w:sdt>
              <w:sdtPr>
                <w:id w:val="400097082"/>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p>
        </w:tc>
        <w:tc>
          <w:tcPr>
            <w:tcW w:w="2814" w:type="dxa"/>
          </w:tcPr>
          <w:p w14:paraId="762C47C7" w14:textId="6162F423" w:rsidR="00CC0136" w:rsidRDefault="00CC0136" w:rsidP="008E4ED9">
            <w:pPr>
              <w:cnfStyle w:val="000000100000" w:firstRow="0" w:lastRow="0" w:firstColumn="0" w:lastColumn="0" w:oddVBand="0" w:evenVBand="0" w:oddHBand="1" w:evenHBand="0" w:firstRowFirstColumn="0" w:firstRowLastColumn="0" w:lastRowFirstColumn="0" w:lastRowLastColumn="0"/>
            </w:pPr>
            <w:r>
              <w:t>Difficult to schedule on mission-critical systems</w:t>
            </w:r>
            <w:sdt>
              <w:sdtPr>
                <w:id w:val="-155387188"/>
                <w:citation/>
              </w:sdtPr>
              <w:sdtContent>
                <w:r>
                  <w:fldChar w:fldCharType="begin"/>
                </w:r>
                <w:r>
                  <w:instrText xml:space="preserve"> CITATION Tho17 \l 1033 </w:instrText>
                </w:r>
                <w:r>
                  <w:fldChar w:fldCharType="separate"/>
                </w:r>
                <w:r>
                  <w:rPr>
                    <w:noProof/>
                  </w:rPr>
                  <w:t xml:space="preserve"> (Thomas &amp; Adelwahed, 2017)</w:t>
                </w:r>
                <w:r>
                  <w:fldChar w:fldCharType="end"/>
                </w:r>
              </w:sdtContent>
            </w:sdt>
          </w:p>
        </w:tc>
      </w:tr>
      <w:tr w:rsidR="00CC0136" w14:paraId="048FB9E3" w14:textId="77777777" w:rsidTr="00CC0136">
        <w:tc>
          <w:tcPr>
            <w:cnfStyle w:val="001000000000" w:firstRow="0" w:lastRow="0" w:firstColumn="1" w:lastColumn="0" w:oddVBand="0" w:evenVBand="0" w:oddHBand="0" w:evenHBand="0" w:firstRowFirstColumn="0" w:firstRowLastColumn="0" w:lastRowFirstColumn="0" w:lastRowLastColumn="0"/>
            <w:tcW w:w="3212" w:type="dxa"/>
          </w:tcPr>
          <w:p w14:paraId="07525E7D" w14:textId="38D8141B" w:rsidR="00CC0136" w:rsidRDefault="00CC0136" w:rsidP="008E4ED9">
            <w:r>
              <w:t>Attacker repeats the process to access auxiliary connected systems</w:t>
            </w:r>
          </w:p>
        </w:tc>
        <w:tc>
          <w:tcPr>
            <w:tcW w:w="3324" w:type="dxa"/>
          </w:tcPr>
          <w:p w14:paraId="7DFF9675" w14:textId="114FD3BA" w:rsidR="00CC0136" w:rsidRDefault="00CC0136" w:rsidP="008E4ED9">
            <w:pPr>
              <w:cnfStyle w:val="000000000000" w:firstRow="0" w:lastRow="0" w:firstColumn="0" w:lastColumn="0" w:oddVBand="0" w:evenVBand="0" w:oddHBand="0" w:evenHBand="0" w:firstRowFirstColumn="0" w:firstRowLastColumn="0" w:lastRowFirstColumn="0" w:lastRowLastColumn="0"/>
            </w:pPr>
            <w:r>
              <w:t>Use authorization policy to limit capabilities</w:t>
            </w:r>
          </w:p>
        </w:tc>
        <w:tc>
          <w:tcPr>
            <w:tcW w:w="2814" w:type="dxa"/>
          </w:tcPr>
          <w:p w14:paraId="513BF76C" w14:textId="642D0355" w:rsidR="00CC0136" w:rsidRDefault="00CC0136" w:rsidP="008E4ED9">
            <w:pPr>
              <w:cnfStyle w:val="000000000000" w:firstRow="0" w:lastRow="0" w:firstColumn="0" w:lastColumn="0" w:oddVBand="0" w:evenVBand="0" w:oddHBand="0" w:evenHBand="0" w:firstRowFirstColumn="0" w:firstRowLastColumn="0" w:lastRowFirstColumn="0" w:lastRowLastColumn="0"/>
            </w:pPr>
            <w:r>
              <w:t>Not all systems fully support these restrictions</w:t>
            </w:r>
          </w:p>
        </w:tc>
      </w:tr>
    </w:tbl>
    <w:p w14:paraId="514137F4" w14:textId="77777777" w:rsidR="00CC0136" w:rsidRDefault="00CC0136" w:rsidP="008E4ED9"/>
    <w:p w14:paraId="6D8AC1FA" w14:textId="7B671F4B" w:rsidR="008E4ED9" w:rsidRDefault="008E4ED9" w:rsidP="008E4ED9">
      <w:pPr>
        <w:pStyle w:val="Heading2"/>
      </w:pPr>
      <w:r>
        <w:t>Soft</w:t>
      </w:r>
      <w:r w:rsidR="004B06E6">
        <w:t>w</w:t>
      </w:r>
      <w:r>
        <w:t>are Solution Recommendations</w:t>
      </w:r>
    </w:p>
    <w:p w14:paraId="3E287BA7" w14:textId="370E9EBB" w:rsidR="009D4D8E" w:rsidRDefault="00FA007D" w:rsidP="00F52065">
      <w:r>
        <w:tab/>
        <w:t>In addition to standard solutions, such as anti-virus and patch management, the business should also consider intrusion detection systems that rely on signatures</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t xml:space="preserve">.  These technologies confirm that the system meets cryptographical proofs that tampering has not occurred.  For instance, the operating system can use a Trusted Platform Module (TPM) to confirm the integrity of the boot loader and other critical components.  An argument exists for network traffic anomaly detection and </w:t>
      </w:r>
      <w:proofErr w:type="spellStart"/>
      <w:r>
        <w:t>HoneyPots</w:t>
      </w:r>
      <w:proofErr w:type="spellEnd"/>
      <w:sdt>
        <w:sdtPr>
          <w:id w:val="1866798396"/>
          <w:citation/>
        </w:sdtPr>
        <w:sdtContent>
          <w:r>
            <w:fldChar w:fldCharType="begin"/>
          </w:r>
          <w:r>
            <w:instrText xml:space="preserve"> CITATION Wes181 \l 1033 </w:instrText>
          </w:r>
          <w:r>
            <w:fldChar w:fldCharType="separate"/>
          </w:r>
          <w:r>
            <w:rPr>
              <w:noProof/>
            </w:rPr>
            <w:t xml:space="preserve"> (Westcon-Comstor, 2018)</w:t>
          </w:r>
          <w:r>
            <w:fldChar w:fldCharType="end"/>
          </w:r>
        </w:sdtContent>
      </w:sdt>
      <w:r>
        <w:t xml:space="preserve">.  </w:t>
      </w:r>
      <w:r w:rsidR="00F52065">
        <w:t>However, these tools can report false positives and be challenging to co</w:t>
      </w:r>
      <w:r w:rsidR="00362053">
        <w:t>nfigure correctly</w:t>
      </w:r>
      <w:r w:rsidR="00F52065">
        <w:t>.</w:t>
      </w:r>
    </w:p>
    <w:sdt>
      <w:sdtPr>
        <w:id w:val="-1086461039"/>
        <w:docPartObj>
          <w:docPartGallery w:val="Bibliographies"/>
          <w:docPartUnique/>
        </w:docPartObj>
      </w:sdtPr>
      <w:sdtEndPr>
        <w:rPr>
          <w:b w:val="0"/>
        </w:rPr>
      </w:sdtEndPr>
      <w:sdtContent>
        <w:p w14:paraId="24E408BC" w14:textId="6D25D667" w:rsidR="00362053" w:rsidRPr="00362053" w:rsidRDefault="00362053">
          <w:pPr>
            <w:pStyle w:val="Heading1"/>
            <w:rPr>
              <w:b w:val="0"/>
              <w:bCs/>
            </w:rPr>
          </w:pPr>
          <w:r w:rsidRPr="00362053">
            <w:rPr>
              <w:b w:val="0"/>
              <w:bCs/>
            </w:rPr>
            <w:t>References</w:t>
          </w:r>
        </w:p>
        <w:sdt>
          <w:sdtPr>
            <w:id w:val="-573587230"/>
            <w:bibliography/>
          </w:sdtPr>
          <w:sdtContent>
            <w:p w14:paraId="6D2FC190" w14:textId="3AFB4798" w:rsidR="00362053" w:rsidRDefault="00362053" w:rsidP="00362053">
              <w:pPr>
                <w:pStyle w:val="Bibliography"/>
                <w:ind w:left="720" w:hanging="720"/>
                <w:rPr>
                  <w:noProof/>
                </w:rPr>
              </w:pPr>
              <w:r>
                <w:fldChar w:fldCharType="begin"/>
              </w:r>
              <w:r>
                <w:instrText xml:space="preserve"> BIBLIOGRAPHY </w:instrText>
              </w:r>
              <w:r>
                <w:fldChar w:fldCharType="separate"/>
              </w:r>
              <w:r>
                <w:rPr>
                  <w:noProof/>
                </w:rPr>
                <w:t xml:space="preserve">Alshamrani A, M. S. (2019). A survey on advanced persistent threats: techniques, solutions, challenges, and research opportunities. </w:t>
              </w:r>
              <w:r>
                <w:rPr>
                  <w:i/>
                  <w:iCs/>
                  <w:noProof/>
                </w:rPr>
                <w:t>IEEE Communications Surveys and Tutorials, 21</w:t>
              </w:r>
              <w:r>
                <w:rPr>
                  <w:noProof/>
                </w:rPr>
                <w:t>(2), 1851-1877. doi:https://doi.org/10.1109/COMST.2019.2891891</w:t>
              </w:r>
            </w:p>
            <w:p w14:paraId="5C21A167" w14:textId="77777777" w:rsidR="00362053" w:rsidRDefault="00362053" w:rsidP="00362053">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from https://search-ebscohost-com.proxy1.ncu.edu/login.aspx?direct=true&amp;db=edb&amp;AN=109261833&amp;site=eds-live</w:t>
              </w:r>
            </w:p>
            <w:p w14:paraId="1139E26F" w14:textId="77777777" w:rsidR="00362053" w:rsidRDefault="00362053" w:rsidP="00362053">
              <w:pPr>
                <w:pStyle w:val="Bibliography"/>
                <w:ind w:left="720" w:hanging="720"/>
                <w:rPr>
                  <w:noProof/>
                </w:rPr>
              </w:pPr>
              <w:r>
                <w:rPr>
                  <w:noProof/>
                </w:rPr>
                <w:t xml:space="preserve">Dunn, M. (2014). Breaking the cyber-security dilemma: aligning security needs and removing vulnerabilities. </w:t>
              </w:r>
              <w:r>
                <w:rPr>
                  <w:i/>
                  <w:iCs/>
                  <w:noProof/>
                </w:rPr>
                <w:t>Science and engineering ethics, 20</w:t>
              </w:r>
              <w:r>
                <w:rPr>
                  <w:noProof/>
                </w:rPr>
                <w:t>(3), 701-715. doi:https://doi.org/10.1007/s11948-014-9551-y</w:t>
              </w:r>
            </w:p>
            <w:p w14:paraId="74B07305" w14:textId="77777777" w:rsidR="00362053" w:rsidRDefault="00362053" w:rsidP="00362053">
              <w:pPr>
                <w:pStyle w:val="Bibliography"/>
                <w:ind w:left="720" w:hanging="720"/>
                <w:rPr>
                  <w:noProof/>
                </w:rPr>
              </w:pPr>
              <w:r>
                <w:rPr>
                  <w:noProof/>
                </w:rPr>
                <w:t xml:space="preserve">Fischerkeller, M., &amp; Harknett, R. (2017). Deterrence is not a credible strategy for cyberspace. </w:t>
              </w:r>
              <w:r>
                <w:rPr>
                  <w:i/>
                  <w:iCs/>
                  <w:noProof/>
                </w:rPr>
                <w:t>Orbis, 61</w:t>
              </w:r>
              <w:r>
                <w:rPr>
                  <w:noProof/>
                </w:rPr>
                <w:t>(3), 381-393. doi:https://doi.org/10.1016/j.orbis.2017.05.003</w:t>
              </w:r>
            </w:p>
            <w:p w14:paraId="30397796" w14:textId="77777777" w:rsidR="00362053" w:rsidRDefault="00362053" w:rsidP="00362053">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27AD7735" w14:textId="77777777" w:rsidR="00362053" w:rsidRDefault="00362053" w:rsidP="00362053">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44C2EB32" w14:textId="77777777" w:rsidR="00362053" w:rsidRDefault="00362053" w:rsidP="00362053">
              <w:pPr>
                <w:pStyle w:val="Bibliography"/>
                <w:ind w:left="720" w:hanging="720"/>
                <w:rPr>
                  <w:noProof/>
                </w:rPr>
              </w:pPr>
              <w:r>
                <w:rPr>
                  <w:noProof/>
                </w:rPr>
                <w:t xml:space="preserve">Grohmann, A. (2018). Evolution of the cybersecurity framework. </w:t>
              </w:r>
              <w:r>
                <w:rPr>
                  <w:i/>
                  <w:iCs/>
                  <w:noProof/>
                </w:rPr>
                <w:t>Information Systems Security Association, 16</w:t>
              </w:r>
              <w:r>
                <w:rPr>
                  <w:noProof/>
                </w:rPr>
                <w:t>(7), 14-18. Retrieved May 2, 2020, from https://search-ebscohost-com.proxy1.ncu.edu/login.aspx?direct=true&amp;db=tsh&amp;AN=130572679&amp;site=eds-live</w:t>
              </w:r>
            </w:p>
            <w:p w14:paraId="04C5A6D3" w14:textId="77777777" w:rsidR="00362053" w:rsidRDefault="00362053" w:rsidP="00362053">
              <w:pPr>
                <w:pStyle w:val="Bibliography"/>
                <w:ind w:left="720" w:hanging="720"/>
                <w:rPr>
                  <w:noProof/>
                </w:rPr>
              </w:pPr>
              <w:r>
                <w:rPr>
                  <w:noProof/>
                </w:rPr>
                <w:lastRenderedPageBreak/>
                <w:t xml:space="preserve">Hennig, N. (2018). Privacy and Security Online: Best Practices for Cybersecurity. </w:t>
              </w:r>
              <w:r>
                <w:rPr>
                  <w:i/>
                  <w:iCs/>
                  <w:noProof/>
                </w:rPr>
                <w:t>Library Technology Reports, 54</w:t>
              </w:r>
              <w:r>
                <w:rPr>
                  <w:noProof/>
                </w:rPr>
                <w:t>(3), 1-37. Retrieved from https://search-ebscohost-com.proxy1.ncu.edu/login.aspx?direct=true&amp;db=ehh&amp;AN=128707555&amp;site=eds-live</w:t>
              </w:r>
            </w:p>
            <w:p w14:paraId="2D9D8EF9" w14:textId="77777777" w:rsidR="00362053" w:rsidRDefault="00362053" w:rsidP="00362053">
              <w:pPr>
                <w:pStyle w:val="Bibliography"/>
                <w:ind w:left="720" w:hanging="720"/>
                <w:rPr>
                  <w:noProof/>
                </w:rPr>
              </w:pPr>
              <w:r>
                <w:rPr>
                  <w:noProof/>
                </w:rPr>
                <w:t xml:space="preserve">Hunt, T. (2019). Hack to the Future. </w:t>
              </w:r>
              <w:r>
                <w:rPr>
                  <w:i/>
                  <w:iCs/>
                  <w:noProof/>
                </w:rPr>
                <w:t>NDC Conferences.</w:t>
              </w:r>
              <w:r>
                <w:rPr>
                  <w:noProof/>
                </w:rPr>
                <w:t xml:space="preserve"> Minnesota: NDC. Retrieved May 9, 2020, from https://www.youtube.com/watch?v=qCOefMiakps</w:t>
              </w:r>
            </w:p>
            <w:p w14:paraId="1082A147" w14:textId="0DD2BF28" w:rsidR="00362053" w:rsidRDefault="00362053" w:rsidP="00362053">
              <w:pPr>
                <w:pStyle w:val="Bibliography"/>
                <w:ind w:left="720" w:hanging="720"/>
                <w:rPr>
                  <w:noProof/>
                </w:rPr>
              </w:pPr>
              <w:r>
                <w:rPr>
                  <w:noProof/>
                </w:rPr>
                <w:t xml:space="preserve">Kovacs, L. (2017). Cybersecurity policy and strategy in the European Union and NATO. </w:t>
              </w:r>
              <w:r>
                <w:rPr>
                  <w:i/>
                  <w:iCs/>
                  <w:noProof/>
                </w:rPr>
                <w:t>Revista Academiei Fortelor Terrestre, 23</w:t>
              </w:r>
              <w:r>
                <w:rPr>
                  <w:noProof/>
                </w:rPr>
                <w:t>(1), 16-24. Retrieved from https://search-ebscohost-com.proxy1.ncu.edu/login.aspx?direct=true&amp;db=a9h&amp;AN=128789540&amp;site=eds-live</w:t>
              </w:r>
            </w:p>
            <w:p w14:paraId="7E71EAD2" w14:textId="77777777" w:rsidR="00362053" w:rsidRDefault="00362053" w:rsidP="00362053">
              <w:pPr>
                <w:pStyle w:val="Bibliography"/>
                <w:ind w:left="720" w:hanging="720"/>
                <w:rPr>
                  <w:noProof/>
                </w:rPr>
              </w:pPr>
              <w:r>
                <w:rPr>
                  <w:noProof/>
                </w:rPr>
                <w:t xml:space="preserve">Lee, J., Moon, S., &amp; Park, J. (2017, July). CloudRPS: a cloud analysis based enhanced ransomware prevention system. </w:t>
              </w:r>
              <w:r>
                <w:rPr>
                  <w:i/>
                  <w:iCs/>
                  <w:noProof/>
                </w:rPr>
                <w:t>Journal of Supercomputing, 73</w:t>
              </w:r>
              <w:r>
                <w:rPr>
                  <w:noProof/>
                </w:rPr>
                <w:t>(7), 3065-3084. doi:https://doi-org.proxy1.ncu.edu/10.1007/s11227-016-1825-5</w:t>
              </w:r>
            </w:p>
            <w:p w14:paraId="734A65CF" w14:textId="77777777" w:rsidR="00362053" w:rsidRDefault="00362053" w:rsidP="00362053">
              <w:pPr>
                <w:pStyle w:val="Bibliography"/>
                <w:ind w:left="720" w:hanging="720"/>
                <w:rPr>
                  <w:noProof/>
                </w:rPr>
              </w:pPr>
              <w:r>
                <w:rPr>
                  <w:noProof/>
                </w:rPr>
                <w:t xml:space="preserve">Leyden, J. (2011, April 11). </w:t>
              </w:r>
              <w:r>
                <w:rPr>
                  <w:i/>
                  <w:iCs/>
                  <w:noProof/>
                </w:rPr>
                <w:t>RSA explains how attackers breached its systems</w:t>
              </w:r>
              <w:r>
                <w:rPr>
                  <w:noProof/>
                </w:rPr>
                <w:t>. Retrieved June 21, 2020, from The Register: https://www.theregister.com/2011/04/04/rsa_hack_howdunnit/</w:t>
              </w:r>
            </w:p>
            <w:p w14:paraId="0830A938" w14:textId="77777777" w:rsidR="00362053" w:rsidRDefault="00362053" w:rsidP="00362053">
              <w:pPr>
                <w:pStyle w:val="Bibliography"/>
                <w:ind w:left="720" w:hanging="720"/>
                <w:rPr>
                  <w:noProof/>
                </w:rPr>
              </w:pPr>
              <w:r>
                <w:rPr>
                  <w:noProof/>
                </w:rPr>
                <w:t xml:space="preserve">Mehresh, R., &amp; Upadhyaya, S. (2015). Surviving advanced persistent threats in a distributed environment - architecture and analysis. </w:t>
              </w:r>
              <w:r>
                <w:rPr>
                  <w:i/>
                  <w:iCs/>
                  <w:noProof/>
                </w:rPr>
                <w:t>Information Systems Frontiers, 17</w:t>
              </w:r>
              <w:r>
                <w:rPr>
                  <w:noProof/>
                </w:rPr>
                <w:t>(5), 987-997. Retrieved from https://search-ebscohost-com.proxy1.ncu.edu/login.aspx?direct=true&amp;db=edb&amp;AN=109474409&amp;site=eds-live</w:t>
              </w:r>
            </w:p>
            <w:p w14:paraId="4DD875ED" w14:textId="77777777" w:rsidR="00362053" w:rsidRDefault="00362053" w:rsidP="00362053">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 2020, from https://youtu.be/xz7IFVJf3Lk</w:t>
              </w:r>
            </w:p>
            <w:p w14:paraId="0430E1DD" w14:textId="77777777" w:rsidR="00362053" w:rsidRDefault="00362053" w:rsidP="00362053">
              <w:pPr>
                <w:pStyle w:val="Bibliography"/>
                <w:ind w:left="720" w:hanging="720"/>
                <w:rPr>
                  <w:noProof/>
                </w:rPr>
              </w:pPr>
              <w:r>
                <w:rPr>
                  <w:noProof/>
                </w:rPr>
                <w:t xml:space="preserve">Puig, A. (2019). </w:t>
              </w:r>
              <w:r>
                <w:rPr>
                  <w:i/>
                  <w:iCs/>
                  <w:noProof/>
                </w:rPr>
                <w:t>Equifax Data Breach Settlement: What You Should Know</w:t>
              </w:r>
              <w:r>
                <w:rPr>
                  <w:noProof/>
                </w:rPr>
                <w:t xml:space="preserve">. Retrieved June 21, 2020, from Federal Trade Commission: </w:t>
              </w:r>
              <w:r>
                <w:rPr>
                  <w:noProof/>
                </w:rPr>
                <w:lastRenderedPageBreak/>
                <w:t>https://www.consumer.ftc.gov/blog/2019/07/equifax-data-breach-settlement-what-you-should-know</w:t>
              </w:r>
            </w:p>
            <w:p w14:paraId="625589D0" w14:textId="77777777" w:rsidR="00362053" w:rsidRDefault="00362053" w:rsidP="00362053">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0694E90D" w14:textId="77777777" w:rsidR="00362053" w:rsidRDefault="00362053" w:rsidP="00362053">
              <w:pPr>
                <w:pStyle w:val="Bibliography"/>
                <w:ind w:left="720" w:hanging="720"/>
                <w:rPr>
                  <w:noProof/>
                </w:rPr>
              </w:pPr>
              <w:r>
                <w:rPr>
                  <w:noProof/>
                </w:rPr>
                <w:t xml:space="preserve">Stevens, T. (2018). Global cybersecurity: new directions in theory and methods. </w:t>
              </w:r>
              <w:r>
                <w:rPr>
                  <w:i/>
                  <w:iCs/>
                  <w:noProof/>
                </w:rPr>
                <w:t>Politics and Governance, 6</w:t>
              </w:r>
              <w:r>
                <w:rPr>
                  <w:noProof/>
                </w:rPr>
                <w:t>(2), 1-4. doi:https://doi.org/10.17645/pag.v6i2.1569</w:t>
              </w:r>
            </w:p>
            <w:p w14:paraId="19BD4E33" w14:textId="68FC23D7" w:rsidR="00362053" w:rsidRDefault="00362053" w:rsidP="00362053">
              <w:pPr>
                <w:pStyle w:val="Bibliography"/>
                <w:ind w:left="720" w:hanging="720"/>
                <w:rPr>
                  <w:noProof/>
                </w:rPr>
              </w:pPr>
              <w:r>
                <w:rPr>
                  <w:noProof/>
                </w:rPr>
                <w:t xml:space="preserve">Thomas, Z., &amp; Adelwahed, S. (2017). Active Malware Countermeasure Approach for Mission Critical Systems. </w:t>
              </w:r>
              <w:r>
                <w:rPr>
                  <w:i/>
                  <w:iCs/>
                  <w:noProof/>
                </w:rPr>
                <w:t>2017 IEEE 15th Intl Conf on Dependable, Autonomic and Secure Computing, 15th Intl Conf on Pervasive Intelligence and Computing</w:t>
              </w:r>
              <w:r>
                <w:rPr>
                  <w:noProof/>
                </w:rPr>
                <w:t>. doi:https://doi.org/10.1109/DASC-PICom-DataCom-CyberSciTec.2017.11</w:t>
              </w:r>
            </w:p>
            <w:p w14:paraId="0E6DB008" w14:textId="77777777" w:rsidR="00362053" w:rsidRDefault="00362053" w:rsidP="00362053">
              <w:pPr>
                <w:pStyle w:val="Bibliography"/>
                <w:ind w:left="720" w:hanging="720"/>
                <w:rPr>
                  <w:noProof/>
                </w:rPr>
              </w:pPr>
              <w:r>
                <w:rPr>
                  <w:noProof/>
                </w:rPr>
                <w:t xml:space="preserve">Westcon-Comstor. (2018). </w:t>
              </w:r>
              <w:r>
                <w:rPr>
                  <w:i/>
                  <w:iCs/>
                  <w:noProof/>
                </w:rPr>
                <w:t>Security Lifecycle Review</w:t>
              </w:r>
              <w:r>
                <w:rPr>
                  <w:noProof/>
                </w:rPr>
                <w:t>. Retrieved June 21, 2020, from YouTube: https://youtu.be/agf1BdOHmMI</w:t>
              </w:r>
            </w:p>
            <w:p w14:paraId="2106CA8C" w14:textId="2BF7E5CB" w:rsidR="00362053" w:rsidRDefault="00362053" w:rsidP="00362053">
              <w:pPr>
                <w:pStyle w:val="Bibliography"/>
                <w:ind w:left="720" w:hanging="720"/>
                <w:rPr>
                  <w:noProof/>
                </w:rPr>
              </w:pPr>
              <w:r>
                <w:rPr>
                  <w:noProof/>
                </w:rPr>
                <w:t xml:space="preserve">Weston, H., Conklin, T., &amp; Drobnis, K. (2018). Assessing and resetting culture in enterprise risk management. </w:t>
              </w:r>
              <w:r>
                <w:rPr>
                  <w:i/>
                  <w:iCs/>
                  <w:noProof/>
                </w:rPr>
                <w:t>Assurances et Gestion Des Risques, 85</w:t>
              </w:r>
              <w:r>
                <w:rPr>
                  <w:noProof/>
                </w:rPr>
                <w:t>(1), 131-166. doi:https://doi-org.proxy1.ncu.edu/10.7202/1051319ar</w:t>
              </w:r>
            </w:p>
            <w:p w14:paraId="5B2FEAEA" w14:textId="14787B7B" w:rsidR="00362053" w:rsidRDefault="00362053" w:rsidP="00362053">
              <w:r>
                <w:rPr>
                  <w:b/>
                  <w:bCs/>
                  <w:noProof/>
                </w:rPr>
                <w:fldChar w:fldCharType="end"/>
              </w:r>
            </w:p>
          </w:sdtContent>
        </w:sdt>
      </w:sdtContent>
    </w:sdt>
    <w:p w14:paraId="46EC2A33" w14:textId="77777777" w:rsidR="00362053" w:rsidRPr="009D4D8E" w:rsidRDefault="00362053" w:rsidP="00F52065"/>
    <w:sectPr w:rsidR="00362053" w:rsidRPr="009D4D8E"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859C0" w14:textId="77777777" w:rsidR="00982238" w:rsidRDefault="00982238" w:rsidP="0082223F">
      <w:pPr>
        <w:spacing w:line="240" w:lineRule="auto"/>
      </w:pPr>
      <w:r>
        <w:separator/>
      </w:r>
    </w:p>
  </w:endnote>
  <w:endnote w:type="continuationSeparator" w:id="0">
    <w:p w14:paraId="46B7A596" w14:textId="77777777" w:rsidR="00982238" w:rsidRDefault="0098223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C469A" w14:textId="77777777" w:rsidR="00982238" w:rsidRDefault="00982238" w:rsidP="0082223F">
      <w:pPr>
        <w:spacing w:line="240" w:lineRule="auto"/>
      </w:pPr>
      <w:r>
        <w:separator/>
      </w:r>
    </w:p>
  </w:footnote>
  <w:footnote w:type="continuationSeparator" w:id="0">
    <w:p w14:paraId="5E725FF7" w14:textId="77777777" w:rsidR="00982238" w:rsidRDefault="0098223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16203"/>
    <w:rsid w:val="00036708"/>
    <w:rsid w:val="00036F58"/>
    <w:rsid w:val="00044949"/>
    <w:rsid w:val="00146E98"/>
    <w:rsid w:val="00183597"/>
    <w:rsid w:val="00192681"/>
    <w:rsid w:val="001C5DDC"/>
    <w:rsid w:val="00243683"/>
    <w:rsid w:val="002806B7"/>
    <w:rsid w:val="00307A29"/>
    <w:rsid w:val="00362053"/>
    <w:rsid w:val="003B6820"/>
    <w:rsid w:val="003F4714"/>
    <w:rsid w:val="00401D65"/>
    <w:rsid w:val="004223E8"/>
    <w:rsid w:val="00475F54"/>
    <w:rsid w:val="004A784B"/>
    <w:rsid w:val="004B06E6"/>
    <w:rsid w:val="00505514"/>
    <w:rsid w:val="005207AC"/>
    <w:rsid w:val="005B7079"/>
    <w:rsid w:val="00635292"/>
    <w:rsid w:val="006970FB"/>
    <w:rsid w:val="006D793E"/>
    <w:rsid w:val="007208F4"/>
    <w:rsid w:val="0073677D"/>
    <w:rsid w:val="0076346B"/>
    <w:rsid w:val="00797229"/>
    <w:rsid w:val="007D780C"/>
    <w:rsid w:val="0082223F"/>
    <w:rsid w:val="00873591"/>
    <w:rsid w:val="00877007"/>
    <w:rsid w:val="00884564"/>
    <w:rsid w:val="008B5129"/>
    <w:rsid w:val="008E4ED9"/>
    <w:rsid w:val="00952B2B"/>
    <w:rsid w:val="00982238"/>
    <w:rsid w:val="0098470B"/>
    <w:rsid w:val="009A757D"/>
    <w:rsid w:val="009D4D8E"/>
    <w:rsid w:val="009D546C"/>
    <w:rsid w:val="00A03A6F"/>
    <w:rsid w:val="00A12793"/>
    <w:rsid w:val="00A24109"/>
    <w:rsid w:val="00A80354"/>
    <w:rsid w:val="00AD05E3"/>
    <w:rsid w:val="00B13ADF"/>
    <w:rsid w:val="00BB0D50"/>
    <w:rsid w:val="00BE7FC7"/>
    <w:rsid w:val="00C54DC8"/>
    <w:rsid w:val="00C73692"/>
    <w:rsid w:val="00C93BB7"/>
    <w:rsid w:val="00CB25E9"/>
    <w:rsid w:val="00CC0136"/>
    <w:rsid w:val="00D00C94"/>
    <w:rsid w:val="00D36D5C"/>
    <w:rsid w:val="00D75C7B"/>
    <w:rsid w:val="00D85C7B"/>
    <w:rsid w:val="00DC05AE"/>
    <w:rsid w:val="00DE2224"/>
    <w:rsid w:val="00E234E9"/>
    <w:rsid w:val="00E256D8"/>
    <w:rsid w:val="00E54C88"/>
    <w:rsid w:val="00E83E72"/>
    <w:rsid w:val="00ED3713"/>
    <w:rsid w:val="00F13C78"/>
    <w:rsid w:val="00F52065"/>
    <w:rsid w:val="00F60495"/>
    <w:rsid w:val="00F90639"/>
    <w:rsid w:val="00FA007D"/>
    <w:rsid w:val="00FA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952B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2B2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362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17756">
      <w:bodyDiv w:val="1"/>
      <w:marLeft w:val="0"/>
      <w:marRight w:val="0"/>
      <w:marTop w:val="0"/>
      <w:marBottom w:val="0"/>
      <w:divBdr>
        <w:top w:val="none" w:sz="0" w:space="0" w:color="auto"/>
        <w:left w:val="none" w:sz="0" w:space="0" w:color="auto"/>
        <w:bottom w:val="none" w:sz="0" w:space="0" w:color="auto"/>
        <w:right w:val="none" w:sz="0" w:space="0" w:color="auto"/>
      </w:divBdr>
    </w:div>
    <w:div w:id="249313932">
      <w:bodyDiv w:val="1"/>
      <w:marLeft w:val="0"/>
      <w:marRight w:val="0"/>
      <w:marTop w:val="0"/>
      <w:marBottom w:val="0"/>
      <w:divBdr>
        <w:top w:val="none" w:sz="0" w:space="0" w:color="auto"/>
        <w:left w:val="none" w:sz="0" w:space="0" w:color="auto"/>
        <w:bottom w:val="none" w:sz="0" w:space="0" w:color="auto"/>
        <w:right w:val="none" w:sz="0" w:space="0" w:color="auto"/>
      </w:divBdr>
    </w:div>
    <w:div w:id="260451293">
      <w:bodyDiv w:val="1"/>
      <w:marLeft w:val="0"/>
      <w:marRight w:val="0"/>
      <w:marTop w:val="0"/>
      <w:marBottom w:val="0"/>
      <w:divBdr>
        <w:top w:val="none" w:sz="0" w:space="0" w:color="auto"/>
        <w:left w:val="none" w:sz="0" w:space="0" w:color="auto"/>
        <w:bottom w:val="none" w:sz="0" w:space="0" w:color="auto"/>
        <w:right w:val="none" w:sz="0" w:space="0" w:color="auto"/>
      </w:divBdr>
    </w:div>
    <w:div w:id="346756625">
      <w:bodyDiv w:val="1"/>
      <w:marLeft w:val="0"/>
      <w:marRight w:val="0"/>
      <w:marTop w:val="0"/>
      <w:marBottom w:val="0"/>
      <w:divBdr>
        <w:top w:val="none" w:sz="0" w:space="0" w:color="auto"/>
        <w:left w:val="none" w:sz="0" w:space="0" w:color="auto"/>
        <w:bottom w:val="none" w:sz="0" w:space="0" w:color="auto"/>
        <w:right w:val="none" w:sz="0" w:space="0" w:color="auto"/>
      </w:divBdr>
    </w:div>
    <w:div w:id="467553887">
      <w:bodyDiv w:val="1"/>
      <w:marLeft w:val="0"/>
      <w:marRight w:val="0"/>
      <w:marTop w:val="0"/>
      <w:marBottom w:val="0"/>
      <w:divBdr>
        <w:top w:val="none" w:sz="0" w:space="0" w:color="auto"/>
        <w:left w:val="none" w:sz="0" w:space="0" w:color="auto"/>
        <w:bottom w:val="none" w:sz="0" w:space="0" w:color="auto"/>
        <w:right w:val="none" w:sz="0" w:space="0" w:color="auto"/>
      </w:divBdr>
    </w:div>
    <w:div w:id="538397721">
      <w:bodyDiv w:val="1"/>
      <w:marLeft w:val="0"/>
      <w:marRight w:val="0"/>
      <w:marTop w:val="0"/>
      <w:marBottom w:val="0"/>
      <w:divBdr>
        <w:top w:val="none" w:sz="0" w:space="0" w:color="auto"/>
        <w:left w:val="none" w:sz="0" w:space="0" w:color="auto"/>
        <w:bottom w:val="none" w:sz="0" w:space="0" w:color="auto"/>
        <w:right w:val="none" w:sz="0" w:space="0" w:color="auto"/>
      </w:divBdr>
    </w:div>
    <w:div w:id="676470402">
      <w:bodyDiv w:val="1"/>
      <w:marLeft w:val="0"/>
      <w:marRight w:val="0"/>
      <w:marTop w:val="0"/>
      <w:marBottom w:val="0"/>
      <w:divBdr>
        <w:top w:val="none" w:sz="0" w:space="0" w:color="auto"/>
        <w:left w:val="none" w:sz="0" w:space="0" w:color="auto"/>
        <w:bottom w:val="none" w:sz="0" w:space="0" w:color="auto"/>
        <w:right w:val="none" w:sz="0" w:space="0" w:color="auto"/>
      </w:divBdr>
    </w:div>
    <w:div w:id="733160360">
      <w:bodyDiv w:val="1"/>
      <w:marLeft w:val="0"/>
      <w:marRight w:val="0"/>
      <w:marTop w:val="0"/>
      <w:marBottom w:val="0"/>
      <w:divBdr>
        <w:top w:val="none" w:sz="0" w:space="0" w:color="auto"/>
        <w:left w:val="none" w:sz="0" w:space="0" w:color="auto"/>
        <w:bottom w:val="none" w:sz="0" w:space="0" w:color="auto"/>
        <w:right w:val="none" w:sz="0" w:space="0" w:color="auto"/>
      </w:divBdr>
    </w:div>
    <w:div w:id="771054397">
      <w:bodyDiv w:val="1"/>
      <w:marLeft w:val="0"/>
      <w:marRight w:val="0"/>
      <w:marTop w:val="0"/>
      <w:marBottom w:val="0"/>
      <w:divBdr>
        <w:top w:val="none" w:sz="0" w:space="0" w:color="auto"/>
        <w:left w:val="none" w:sz="0" w:space="0" w:color="auto"/>
        <w:bottom w:val="none" w:sz="0" w:space="0" w:color="auto"/>
        <w:right w:val="none" w:sz="0" w:space="0" w:color="auto"/>
      </w:divBdr>
    </w:div>
    <w:div w:id="847136650">
      <w:bodyDiv w:val="1"/>
      <w:marLeft w:val="0"/>
      <w:marRight w:val="0"/>
      <w:marTop w:val="0"/>
      <w:marBottom w:val="0"/>
      <w:divBdr>
        <w:top w:val="none" w:sz="0" w:space="0" w:color="auto"/>
        <w:left w:val="none" w:sz="0" w:space="0" w:color="auto"/>
        <w:bottom w:val="none" w:sz="0" w:space="0" w:color="auto"/>
        <w:right w:val="none" w:sz="0" w:space="0" w:color="auto"/>
      </w:divBdr>
    </w:div>
    <w:div w:id="910114226">
      <w:bodyDiv w:val="1"/>
      <w:marLeft w:val="0"/>
      <w:marRight w:val="0"/>
      <w:marTop w:val="0"/>
      <w:marBottom w:val="0"/>
      <w:divBdr>
        <w:top w:val="none" w:sz="0" w:space="0" w:color="auto"/>
        <w:left w:val="none" w:sz="0" w:space="0" w:color="auto"/>
        <w:bottom w:val="none" w:sz="0" w:space="0" w:color="auto"/>
        <w:right w:val="none" w:sz="0" w:space="0" w:color="auto"/>
      </w:divBdr>
    </w:div>
    <w:div w:id="1067921995">
      <w:bodyDiv w:val="1"/>
      <w:marLeft w:val="0"/>
      <w:marRight w:val="0"/>
      <w:marTop w:val="0"/>
      <w:marBottom w:val="0"/>
      <w:divBdr>
        <w:top w:val="none" w:sz="0" w:space="0" w:color="auto"/>
        <w:left w:val="none" w:sz="0" w:space="0" w:color="auto"/>
        <w:bottom w:val="none" w:sz="0" w:space="0" w:color="auto"/>
        <w:right w:val="none" w:sz="0" w:space="0" w:color="auto"/>
      </w:divBdr>
    </w:div>
    <w:div w:id="1110783663">
      <w:bodyDiv w:val="1"/>
      <w:marLeft w:val="0"/>
      <w:marRight w:val="0"/>
      <w:marTop w:val="0"/>
      <w:marBottom w:val="0"/>
      <w:divBdr>
        <w:top w:val="none" w:sz="0" w:space="0" w:color="auto"/>
        <w:left w:val="none" w:sz="0" w:space="0" w:color="auto"/>
        <w:bottom w:val="none" w:sz="0" w:space="0" w:color="auto"/>
        <w:right w:val="none" w:sz="0" w:space="0" w:color="auto"/>
      </w:divBdr>
    </w:div>
    <w:div w:id="1249146432">
      <w:bodyDiv w:val="1"/>
      <w:marLeft w:val="0"/>
      <w:marRight w:val="0"/>
      <w:marTop w:val="0"/>
      <w:marBottom w:val="0"/>
      <w:divBdr>
        <w:top w:val="none" w:sz="0" w:space="0" w:color="auto"/>
        <w:left w:val="none" w:sz="0" w:space="0" w:color="auto"/>
        <w:bottom w:val="none" w:sz="0" w:space="0" w:color="auto"/>
        <w:right w:val="none" w:sz="0" w:space="0" w:color="auto"/>
      </w:divBdr>
      <w:divsChild>
        <w:div w:id="1397818053">
          <w:marLeft w:val="0"/>
          <w:marRight w:val="0"/>
          <w:marTop w:val="0"/>
          <w:marBottom w:val="0"/>
          <w:divBdr>
            <w:top w:val="none" w:sz="0" w:space="0" w:color="auto"/>
            <w:left w:val="none" w:sz="0" w:space="0" w:color="auto"/>
            <w:bottom w:val="none" w:sz="0" w:space="0" w:color="auto"/>
            <w:right w:val="none" w:sz="0" w:space="0" w:color="auto"/>
          </w:divBdr>
          <w:divsChild>
            <w:div w:id="14801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440">
      <w:bodyDiv w:val="1"/>
      <w:marLeft w:val="0"/>
      <w:marRight w:val="0"/>
      <w:marTop w:val="0"/>
      <w:marBottom w:val="0"/>
      <w:divBdr>
        <w:top w:val="none" w:sz="0" w:space="0" w:color="auto"/>
        <w:left w:val="none" w:sz="0" w:space="0" w:color="auto"/>
        <w:bottom w:val="none" w:sz="0" w:space="0" w:color="auto"/>
        <w:right w:val="none" w:sz="0" w:space="0" w:color="auto"/>
      </w:divBdr>
    </w:div>
    <w:div w:id="1345790775">
      <w:bodyDiv w:val="1"/>
      <w:marLeft w:val="0"/>
      <w:marRight w:val="0"/>
      <w:marTop w:val="0"/>
      <w:marBottom w:val="0"/>
      <w:divBdr>
        <w:top w:val="none" w:sz="0" w:space="0" w:color="auto"/>
        <w:left w:val="none" w:sz="0" w:space="0" w:color="auto"/>
        <w:bottom w:val="none" w:sz="0" w:space="0" w:color="auto"/>
        <w:right w:val="none" w:sz="0" w:space="0" w:color="auto"/>
      </w:divBdr>
    </w:div>
    <w:div w:id="1481844368">
      <w:bodyDiv w:val="1"/>
      <w:marLeft w:val="0"/>
      <w:marRight w:val="0"/>
      <w:marTop w:val="0"/>
      <w:marBottom w:val="0"/>
      <w:divBdr>
        <w:top w:val="none" w:sz="0" w:space="0" w:color="auto"/>
        <w:left w:val="none" w:sz="0" w:space="0" w:color="auto"/>
        <w:bottom w:val="none" w:sz="0" w:space="0" w:color="auto"/>
        <w:right w:val="none" w:sz="0" w:space="0" w:color="auto"/>
      </w:divBdr>
    </w:div>
    <w:div w:id="1644574975">
      <w:bodyDiv w:val="1"/>
      <w:marLeft w:val="0"/>
      <w:marRight w:val="0"/>
      <w:marTop w:val="0"/>
      <w:marBottom w:val="0"/>
      <w:divBdr>
        <w:top w:val="none" w:sz="0" w:space="0" w:color="auto"/>
        <w:left w:val="none" w:sz="0" w:space="0" w:color="auto"/>
        <w:bottom w:val="none" w:sz="0" w:space="0" w:color="auto"/>
        <w:right w:val="none" w:sz="0" w:space="0" w:color="auto"/>
      </w:divBdr>
    </w:div>
    <w:div w:id="1794252510">
      <w:bodyDiv w:val="1"/>
      <w:marLeft w:val="0"/>
      <w:marRight w:val="0"/>
      <w:marTop w:val="0"/>
      <w:marBottom w:val="0"/>
      <w:divBdr>
        <w:top w:val="none" w:sz="0" w:space="0" w:color="auto"/>
        <w:left w:val="none" w:sz="0" w:space="0" w:color="auto"/>
        <w:bottom w:val="none" w:sz="0" w:space="0" w:color="auto"/>
        <w:right w:val="none" w:sz="0" w:space="0" w:color="auto"/>
      </w:divBdr>
    </w:div>
    <w:div w:id="1985041136">
      <w:bodyDiv w:val="1"/>
      <w:marLeft w:val="0"/>
      <w:marRight w:val="0"/>
      <w:marTop w:val="0"/>
      <w:marBottom w:val="0"/>
      <w:divBdr>
        <w:top w:val="none" w:sz="0" w:space="0" w:color="auto"/>
        <w:left w:val="none" w:sz="0" w:space="0" w:color="auto"/>
        <w:bottom w:val="none" w:sz="0" w:space="0" w:color="auto"/>
        <w:right w:val="none" w:sz="0" w:space="0" w:color="auto"/>
      </w:divBdr>
    </w:div>
    <w:div w:id="1996761902">
      <w:bodyDiv w:val="1"/>
      <w:marLeft w:val="0"/>
      <w:marRight w:val="0"/>
      <w:marTop w:val="0"/>
      <w:marBottom w:val="0"/>
      <w:divBdr>
        <w:top w:val="none" w:sz="0" w:space="0" w:color="auto"/>
        <w:left w:val="none" w:sz="0" w:space="0" w:color="auto"/>
        <w:bottom w:val="none" w:sz="0" w:space="0" w:color="auto"/>
        <w:right w:val="none" w:sz="0" w:space="0" w:color="auto"/>
      </w:divBdr>
    </w:div>
    <w:div w:id="2062047571">
      <w:bodyDiv w:val="1"/>
      <w:marLeft w:val="0"/>
      <w:marRight w:val="0"/>
      <w:marTop w:val="0"/>
      <w:marBottom w:val="0"/>
      <w:divBdr>
        <w:top w:val="none" w:sz="0" w:space="0" w:color="auto"/>
        <w:left w:val="none" w:sz="0" w:space="0" w:color="auto"/>
        <w:bottom w:val="none" w:sz="0" w:space="0" w:color="auto"/>
        <w:right w:val="none" w:sz="0" w:space="0" w:color="auto"/>
      </w:divBdr>
    </w:div>
    <w:div w:id="213162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Fis17</b:Tag>
    <b:SourceType>JournalArticle</b:SourceType>
    <b:Guid>{A4AC36F1-A4EA-4CAA-BA9D-FC244D95D6E9}</b:Guid>
    <b:Author>
      <b:Author>
        <b:NameList>
          <b:Person>
            <b:Last>Fischerkeller</b:Last>
            <b:First>M</b:First>
          </b:Person>
          <b:Person>
            <b:Last>Harknett</b:Last>
            <b:First>R</b:First>
          </b:Person>
        </b:NameList>
      </b:Author>
    </b:Author>
    <b:Title>Deterrence is not a credible strategy for cyberspace</b:Title>
    <b:JournalName>Orbis</b:JournalName>
    <b:Year>2017</b:Year>
    <b:Pages>381-393</b:Pages>
    <b:Volume>61</b:Volume>
    <b:Issue>3</b:Issue>
    <b:DOI>https://doi.org/10.1016/j.orbis.2017.05.003</b:DOI>
    <b:RefOrder>2</b:RefOrder>
  </b:Source>
  <b:Source>
    <b:Tag>Als19</b:Tag>
    <b:SourceType>JournalArticle</b:SourceType>
    <b:Guid>{B7AE06D7-E39F-447B-BF7F-A76FE74526D4}</b:Guid>
    <b:Title>A survey on advanced persistent threats: techniques,solutions, challenges, and research opportunities</b:Title>
    <b:Year>2019</b:Year>
    <b:Author>
      <b:Author>
        <b:NameList>
          <b:Person>
            <b:Last>Alshamrani A</b:Last>
            <b:First>Myneni</b:First>
            <b:Middle>S, Chowdhary A, Huang D</b:Middle>
          </b:Person>
        </b:NameList>
      </b:Author>
    </b:Author>
    <b:JournalName>IEEE Communications Surveys and Tutorials</b:JournalName>
    <b:Pages>1851-1877</b:Pages>
    <b:Volume>21</b:Volume>
    <b:Issue>2</b:Issue>
    <b:DOI>https://doi.org/10.1109/COMST.2019.2891891</b:DOI>
    <b:RefOrder>3</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4</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1</b:RefOrder>
  </b:Source>
  <b:Source>
    <b:Tag>Gro181</b:Tag>
    <b:SourceType>JournalArticle</b:SourceType>
    <b:Guid>{F19109A1-E3CB-445F-9DBC-DB2EBA53D65F}</b:Guid>
    <b:Title>Evolution of the cybersecurity framework</b:Title>
    <b:JournalName>Information Systems Security Association</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6</b:RefOrder>
  </b:Source>
  <b:Source>
    <b:Tag>Gil11</b:Tag>
    <b:SourceType>JournalArticle</b:SourceType>
    <b:Guid>{70D96DA1-5095-4D27-A278-C09EB246C354}</b:Guid>
    <b:Title>Improving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7</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8</b:RefOrder>
  </b:Source>
  <b:Source>
    <b:Tag>Dun14</b:Tag>
    <b:SourceType>JournalArticle</b:SourceType>
    <b:Guid>{ABFBFBE7-606A-40CF-9411-91A1B3FAE9ED}</b:Guid>
    <b:Title>Breaking the cyber-security dilemma: aligning security needs and removing vulnerabilities</b:Title>
    <b:JournalName>Science and engineering ethics</b:JournalName>
    <b:Year>2014</b:Year>
    <b:Pages>701-715</b:Pages>
    <b:Author>
      <b:Author>
        <b:NameList>
          <b:Person>
            <b:Last>Dunn</b:Last>
            <b:First>M</b:First>
          </b:Person>
        </b:NameList>
      </b:Author>
    </b:Author>
    <b:Volume>20</b:Volume>
    <b:Issue>3</b:Issue>
    <b:DOI>https://doi.org/10.1007/s11948-014-9551-y</b:DOI>
    <b:RefOrder>5</b:RefOrder>
  </b:Source>
  <b:Source>
    <b:Tag>Pui19</b:Tag>
    <b:SourceType>InternetSite</b:SourceType>
    <b:Guid>{7C5B2AE5-1B05-4748-A24C-E281D458FF08}</b:Guid>
    <b:Title>Equifax Data Breach Settlement: What You Should Know</b:Title>
    <b:Year>2019</b:Year>
    <b:InternetSiteTitle>Federal Trade Commission</b:InternetSiteTitle>
    <b:URL>https://www.consumer.ftc.gov/blog/2019/07/equifax-data-breach-settlement-what-you-should-know</b:URL>
    <b:Author>
      <b:Author>
        <b:NameList>
          <b:Person>
            <b:Last>Puig</b:Last>
            <b:First>A</b:First>
          </b:Person>
        </b:NameList>
      </b:Author>
    </b:Author>
    <b:YearAccessed>2020</b:YearAccessed>
    <b:MonthAccessed>June</b:MonthAccessed>
    <b:DayAccessed>21</b:DayAccessed>
    <b:RefOrder>9</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10</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11</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12</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13</b:RefOrder>
  </b:Source>
  <b:Source>
    <b:Tag>Lee17</b:Tag>
    <b:SourceType>JournalArticle</b:SourceType>
    <b:Guid>{9104ECDC-C1B9-431C-B674-892105B8F674}</b:Guid>
    <b:Title>CloudRPS: a cloud analysis based enhanced ransomware prevention system</b:Title>
    <b:Year>2017</b:Year>
    <b:Author>
      <b:Author>
        <b:NameList>
          <b:Person>
            <b:Last>Lee</b:Last>
            <b:First>J</b:First>
          </b:Person>
          <b:Person>
            <b:Last>Moon</b:Last>
            <b:First>S</b:First>
          </b:Person>
          <b:Person>
            <b:Last>Park</b:Last>
            <b:First>J</b:First>
          </b:Person>
        </b:NameList>
      </b:Author>
    </b:Author>
    <b:JournalName>Journal of Supercomputing</b:JournalName>
    <b:Pages>3065-3084</b:Pages>
    <b:Month>July</b:Month>
    <b:Volume>73</b:Volume>
    <b:Issue>7</b:Issue>
    <b:DOI>https://doi-org.proxy1.ncu.edu/10.1007/s11227-016-1825-5</b:DOI>
    <b:RefOrder>14</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15</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16</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17</b:RefOrder>
  </b:Source>
  <b:Source>
    <b:Tag>Tho17</b:Tag>
    <b:SourceType>JournalArticle</b:SourceType>
    <b:Guid>{7CC655D9-D493-4644-84D5-CD1B14D7F74A}</b:Guid>
    <b:Title>Active Malware Countermeasure Approach for Mission Critical Systems </b:Title>
    <b:Year>2017</b:Year>
    <b:Author>
      <b:Author>
        <b:NameList>
          <b:Person>
            <b:Last>Thomas</b:Last>
            <b:First>Z</b:First>
          </b:Person>
          <b:Person>
            <b:Last>Adelwahed</b:Last>
            <b:First>S</b:First>
          </b:Person>
        </b:NameList>
      </b:Author>
    </b:Author>
    <b:DOI>https://doi.org/10.1109/DASC-PICom-DataCom-CyberSciTec.2017.11</b:DOI>
    <b:JournalName>2017 IEEE 15th Intl Conf on Dependable, Autonomic and Secure Computing, 15th Intl Conf on Pervasive Intelligence and Computing</b:JournalName>
    <b:RefOrder>18</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19</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20</b:RefOrder>
  </b:Source>
</b:Sources>
</file>

<file path=customXml/itemProps1.xml><?xml version="1.0" encoding="utf-8"?>
<ds:datastoreItem xmlns:ds="http://schemas.openxmlformats.org/officeDocument/2006/customXml" ds:itemID="{3EDECEA1-3D18-47ED-8C1A-55A6B176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9</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2019-05-19T17:38:00Z</dcterms:created>
  <dcterms:modified xsi:type="dcterms:W3CDTF">2020-06-21T20:00:00Z</dcterms:modified>
</cp:coreProperties>
</file>