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5F50B7"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13539BD2" w:rsidR="0082223F" w:rsidRDefault="0082223F" w:rsidP="0082223F">
      <w:pPr>
        <w:pStyle w:val="Title"/>
      </w:pPr>
      <w:r>
        <w:t xml:space="preserve">Section 1: Week </w:t>
      </w:r>
      <w:r w:rsidR="003B7BBB">
        <w:t>3</w:t>
      </w:r>
      <w:r>
        <w:t xml:space="preserve">: </w:t>
      </w:r>
      <w:r w:rsidR="003B7BBB">
        <w:t>Governance Provisions for Security Policy, Standards, and Procedure</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5DD8A3BC" w:rsidR="0082223F" w:rsidRDefault="0082223F" w:rsidP="0082223F">
      <w:pPr>
        <w:jc w:val="center"/>
      </w:pPr>
      <w:r>
        <w:t>TIM-</w:t>
      </w:r>
      <w:r w:rsidR="00B13ADF">
        <w:t>7030</w:t>
      </w:r>
      <w:r>
        <w:t xml:space="preserve">: </w:t>
      </w:r>
      <w:r w:rsidR="00B13ADF">
        <w:t>Managing Risk, Security, and Privacy</w:t>
      </w:r>
    </w:p>
    <w:p w14:paraId="13BFFB78" w14:textId="453A590D" w:rsidR="00CB25E9" w:rsidRDefault="00B13ADF" w:rsidP="0082223F">
      <w:pPr>
        <w:jc w:val="center"/>
      </w:pPr>
      <w:r>
        <w:t>June</w:t>
      </w:r>
      <w:r w:rsidR="006D793E">
        <w:t xml:space="preserve"> </w:t>
      </w:r>
      <w:r>
        <w:t>7</w:t>
      </w:r>
      <w:r w:rsidR="006D793E">
        <w:t>,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629C1C85" w:rsidR="0082223F" w:rsidRDefault="00892AF7" w:rsidP="00892AF7">
      <w:pPr>
        <w:pStyle w:val="Heading1"/>
      </w:pPr>
      <w:r w:rsidRPr="00892AF7">
        <w:lastRenderedPageBreak/>
        <w:t>Governance Provisions for Security Policy, Standards, and Procedure</w:t>
      </w:r>
    </w:p>
    <w:p w14:paraId="083EB6C7" w14:textId="24E11ACA" w:rsidR="00382EAD" w:rsidRDefault="00382EAD" w:rsidP="00382EAD">
      <w:pPr>
        <w:pStyle w:val="Heading2"/>
      </w:pPr>
      <w:r>
        <w:t>Information Security Lifecycle</w:t>
      </w:r>
    </w:p>
    <w:p w14:paraId="45789DD6" w14:textId="3A1FA85D" w:rsidR="000067A8" w:rsidRDefault="00382EAD" w:rsidP="00A42F58">
      <w:r>
        <w:tab/>
        <w:t>The security lifecycle follows the Identify, Protect, Detect, Respond, and Recover stages</w:t>
      </w:r>
      <w:sdt>
        <w:sdtPr>
          <w:id w:val="376895004"/>
          <w:citation/>
        </w:sdtPr>
        <w:sdtContent>
          <w:r>
            <w:fldChar w:fldCharType="begin"/>
          </w:r>
          <w:r>
            <w:instrText xml:space="preserve"> CITATION Sad17 \l 1033 </w:instrText>
          </w:r>
          <w:r>
            <w:fldChar w:fldCharType="separate"/>
          </w:r>
          <w:r>
            <w:rPr>
              <w:noProof/>
            </w:rPr>
            <w:t xml:space="preserve"> (Sadgune &amp; Dadgune, 2017)</w:t>
          </w:r>
          <w:r>
            <w:fldChar w:fldCharType="end"/>
          </w:r>
        </w:sdtContent>
      </w:sdt>
      <w:r>
        <w:t xml:space="preserve">.  These stages reasonably </w:t>
      </w:r>
      <w:r>
        <w:t xml:space="preserve">align </w:t>
      </w:r>
      <w:r>
        <w:t xml:space="preserve">with the core feedback </w:t>
      </w:r>
      <w:r>
        <w:t>loop of ‘plan-do-act-check’</w:t>
      </w:r>
      <w:r>
        <w:t xml:space="preserve"> available in many </w:t>
      </w:r>
      <w:r>
        <w:t xml:space="preserve">Risk Management </w:t>
      </w:r>
      <w:r>
        <w:t>Frameworks</w:t>
      </w:r>
      <w:sdt>
        <w:sdtPr>
          <w:id w:val="1720087293"/>
          <w:citation/>
        </w:sdtPr>
        <w:sdtContent>
          <w:r>
            <w:fldChar w:fldCharType="begin"/>
          </w:r>
          <w:r>
            <w:instrText xml:space="preserve"> CITATION Rad15 \l 1033 </w:instrText>
          </w:r>
          <w:r>
            <w:fldChar w:fldCharType="separate"/>
          </w:r>
          <w:r>
            <w:rPr>
              <w:noProof/>
            </w:rPr>
            <w:t xml:space="preserve"> (Radhakrishnan, 2015)</w:t>
          </w:r>
          <w:r>
            <w:fldChar w:fldCharType="end"/>
          </w:r>
        </w:sdtContent>
      </w:sdt>
      <w:r>
        <w:t>.  Both follow the same precursor steps of enumerating threats against business artifacts and reducing that risk through protection schemes.  After reducing risk, the processes diverge with the security lifecycle focusing on detecting and responding to infractions.  Meanwhile, Risk Management, confirms the mitigations are appropriate and then seeks the next item from a prioritized list.</w:t>
      </w:r>
      <w:r w:rsidR="00B4441F">
        <w:t xml:space="preserve">  However, not all risk management frameworks</w:t>
      </w:r>
      <w:r w:rsidR="00A42F58">
        <w:t xml:space="preserve"> </w:t>
      </w:r>
      <w:r w:rsidR="00B4441F">
        <w:t>follow only the PDAC feedback loop and can extend the workflow to include more aspects of the security lifecycle.</w:t>
      </w:r>
      <w:r w:rsidR="00A42F58">
        <w:t xml:space="preserve">  For instance, the NIST Cybersecurity Framework explicitly includes each guidance for each stage of the security lifecycle</w:t>
      </w:r>
      <w:sdt>
        <w:sdtPr>
          <w:id w:val="-1635633442"/>
          <w:citation/>
        </w:sdtPr>
        <w:sdtContent>
          <w:r w:rsidR="00A42F58">
            <w:fldChar w:fldCharType="begin"/>
          </w:r>
          <w:r w:rsidR="00A42F58">
            <w:instrText xml:space="preserve"> CITATION Gro18 \l 1033 </w:instrText>
          </w:r>
          <w:r w:rsidR="00A42F58">
            <w:fldChar w:fldCharType="separate"/>
          </w:r>
          <w:r w:rsidR="00A42F58">
            <w:rPr>
              <w:noProof/>
            </w:rPr>
            <w:t xml:space="preserve"> (Grohmann, 2018)</w:t>
          </w:r>
          <w:r w:rsidR="00A42F58">
            <w:fldChar w:fldCharType="end"/>
          </w:r>
        </w:sdtContent>
      </w:sdt>
      <w:r w:rsidR="00A42F58">
        <w:t xml:space="preserve">. </w:t>
      </w:r>
    </w:p>
    <w:p w14:paraId="6B8ADCF0" w14:textId="3D7BF574" w:rsidR="000067A8" w:rsidRDefault="000067A8" w:rsidP="000067A8">
      <w:pPr>
        <w:pStyle w:val="Heading2"/>
      </w:pPr>
      <w:r>
        <w:t>Components of Risk Management Strategy</w:t>
      </w:r>
    </w:p>
    <w:p w14:paraId="75C75933" w14:textId="77777777" w:rsidR="002729B4" w:rsidRPr="000067A8" w:rsidRDefault="002729B4" w:rsidP="002729B4">
      <w:pPr>
        <w:pStyle w:val="Caption"/>
      </w:pPr>
      <w:r>
        <w:t>Table 1: Artifacts of Risk Management Strategy</w:t>
      </w:r>
    </w:p>
    <w:tbl>
      <w:tblPr>
        <w:tblStyle w:val="GridTable4"/>
        <w:tblW w:w="0" w:type="auto"/>
        <w:tblLook w:val="04A0" w:firstRow="1" w:lastRow="0" w:firstColumn="1" w:lastColumn="0" w:noHBand="0" w:noVBand="1"/>
      </w:tblPr>
      <w:tblGrid>
        <w:gridCol w:w="3232"/>
        <w:gridCol w:w="3337"/>
        <w:gridCol w:w="2781"/>
      </w:tblGrid>
      <w:tr w:rsidR="002729B4" w14:paraId="786C75F0" w14:textId="77777777" w:rsidTr="001E0D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2" w:type="dxa"/>
          </w:tcPr>
          <w:p w14:paraId="7BB60291" w14:textId="77777777" w:rsidR="002729B4" w:rsidRDefault="002729B4" w:rsidP="001E0D88">
            <w:r>
              <w:t>Name</w:t>
            </w:r>
          </w:p>
        </w:tc>
        <w:tc>
          <w:tcPr>
            <w:tcW w:w="3337" w:type="dxa"/>
          </w:tcPr>
          <w:p w14:paraId="108D7D6C" w14:textId="77777777" w:rsidR="002729B4" w:rsidRDefault="002729B4" w:rsidP="001E0D88">
            <w:pPr>
              <w:cnfStyle w:val="100000000000" w:firstRow="1" w:lastRow="0" w:firstColumn="0" w:lastColumn="0" w:oddVBand="0" w:evenVBand="0" w:oddHBand="0" w:evenHBand="0" w:firstRowFirstColumn="0" w:firstRowLastColumn="0" w:lastRowFirstColumn="0" w:lastRowLastColumn="0"/>
            </w:pPr>
            <w:r>
              <w:t>Description</w:t>
            </w:r>
          </w:p>
        </w:tc>
        <w:tc>
          <w:tcPr>
            <w:tcW w:w="2781" w:type="dxa"/>
          </w:tcPr>
          <w:p w14:paraId="1F115EBF" w14:textId="77777777" w:rsidR="002729B4" w:rsidRDefault="002729B4" w:rsidP="001E0D88">
            <w:pPr>
              <w:cnfStyle w:val="100000000000" w:firstRow="1" w:lastRow="0" w:firstColumn="0" w:lastColumn="0" w:oddVBand="0" w:evenVBand="0" w:oddHBand="0" w:evenHBand="0" w:firstRowFirstColumn="0" w:firstRowLastColumn="0" w:lastRowFirstColumn="0" w:lastRowLastColumn="0"/>
            </w:pPr>
            <w:r>
              <w:t>Examples</w:t>
            </w:r>
          </w:p>
        </w:tc>
      </w:tr>
      <w:tr w:rsidR="002729B4" w14:paraId="436C607F" w14:textId="77777777" w:rsidTr="001E0D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2" w:type="dxa"/>
          </w:tcPr>
          <w:p w14:paraId="73F56CFF" w14:textId="77777777" w:rsidR="002729B4" w:rsidRDefault="002729B4" w:rsidP="001E0D88">
            <w:r>
              <w:t>Policies</w:t>
            </w:r>
          </w:p>
        </w:tc>
        <w:tc>
          <w:tcPr>
            <w:tcW w:w="3337" w:type="dxa"/>
          </w:tcPr>
          <w:p w14:paraId="296379BC" w14:textId="77777777" w:rsidR="002729B4" w:rsidRDefault="002729B4" w:rsidP="001E0D88">
            <w:pPr>
              <w:cnfStyle w:val="000000100000" w:firstRow="0" w:lastRow="0" w:firstColumn="0" w:lastColumn="0" w:oddVBand="0" w:evenVBand="0" w:oddHBand="1" w:evenHBand="0" w:firstRowFirstColumn="0" w:firstRowLastColumn="0" w:lastRowFirstColumn="0" w:lastRowLastColumn="0"/>
            </w:pPr>
            <w:r>
              <w:t>Set the high-level expectations of approach</w:t>
            </w:r>
            <w:sdt>
              <w:sdtPr>
                <w:id w:val="721027695"/>
                <w:citation/>
              </w:sdtPr>
              <w:sdtContent>
                <w:r>
                  <w:fldChar w:fldCharType="begin"/>
                </w:r>
                <w:r>
                  <w:instrText xml:space="preserve"> CITATION Comud \l 1033 </w:instrText>
                </w:r>
                <w:r>
                  <w:fldChar w:fldCharType="separate"/>
                </w:r>
                <w:r>
                  <w:rPr>
                    <w:noProof/>
                  </w:rPr>
                  <w:t xml:space="preserve"> (Compliance Forge, u.d.)</w:t>
                </w:r>
                <w:r>
                  <w:fldChar w:fldCharType="end"/>
                </w:r>
              </w:sdtContent>
            </w:sdt>
          </w:p>
        </w:tc>
        <w:tc>
          <w:tcPr>
            <w:tcW w:w="2781" w:type="dxa"/>
          </w:tcPr>
          <w:p w14:paraId="6841E7F4" w14:textId="77777777" w:rsidR="002729B4" w:rsidRDefault="002729B4" w:rsidP="001E0D88">
            <w:pPr>
              <w:cnfStyle w:val="000000100000" w:firstRow="0" w:lastRow="0" w:firstColumn="0" w:lastColumn="0" w:oddVBand="0" w:evenVBand="0" w:oddHBand="1" w:evenHBand="0" w:firstRowFirstColumn="0" w:firstRowLastColumn="0" w:lastRowFirstColumn="0" w:lastRowLastColumn="0"/>
            </w:pPr>
            <w:r>
              <w:t>Data must be encrypted in transit and at rest</w:t>
            </w:r>
            <w:r>
              <w:br/>
              <w:t>Employees should not reuse passwords</w:t>
            </w:r>
          </w:p>
        </w:tc>
      </w:tr>
      <w:tr w:rsidR="002729B4" w14:paraId="0566405D" w14:textId="77777777" w:rsidTr="001E0D88">
        <w:tc>
          <w:tcPr>
            <w:cnfStyle w:val="001000000000" w:firstRow="0" w:lastRow="0" w:firstColumn="1" w:lastColumn="0" w:oddVBand="0" w:evenVBand="0" w:oddHBand="0" w:evenHBand="0" w:firstRowFirstColumn="0" w:firstRowLastColumn="0" w:lastRowFirstColumn="0" w:lastRowLastColumn="0"/>
            <w:tcW w:w="3232" w:type="dxa"/>
          </w:tcPr>
          <w:p w14:paraId="2FBEAE59" w14:textId="77777777" w:rsidR="002729B4" w:rsidRDefault="002729B4" w:rsidP="001E0D88">
            <w:r>
              <w:t>Guidelines</w:t>
            </w:r>
          </w:p>
        </w:tc>
        <w:tc>
          <w:tcPr>
            <w:tcW w:w="3337" w:type="dxa"/>
          </w:tcPr>
          <w:p w14:paraId="41334760" w14:textId="77777777" w:rsidR="002729B4" w:rsidRDefault="002729B4" w:rsidP="001E0D88">
            <w:pPr>
              <w:cnfStyle w:val="000000000000" w:firstRow="0" w:lastRow="0" w:firstColumn="0" w:lastColumn="0" w:oddVBand="0" w:evenVBand="0" w:oddHBand="0" w:evenHBand="0" w:firstRowFirstColumn="0" w:firstRowLastColumn="0" w:lastRowFirstColumn="0" w:lastRowLastColumn="0"/>
            </w:pPr>
            <w:r>
              <w:t>The cultural norms that justify our actions</w:t>
            </w:r>
            <w:sdt>
              <w:sdtPr>
                <w:id w:val="510264355"/>
                <w:citation/>
              </w:sdtPr>
              <w:sdtContent>
                <w:r>
                  <w:fldChar w:fldCharType="begin"/>
                </w:r>
                <w:r>
                  <w:instrText xml:space="preserve"> CITATION Wes18 \l 1033 </w:instrText>
                </w:r>
                <w:r>
                  <w:fldChar w:fldCharType="separate"/>
                </w:r>
                <w:r>
                  <w:rPr>
                    <w:noProof/>
                  </w:rPr>
                  <w:t xml:space="preserve"> (Weston, Conklin, &amp; Drobnis, 2018)</w:t>
                </w:r>
                <w:r>
                  <w:fldChar w:fldCharType="end"/>
                </w:r>
              </w:sdtContent>
            </w:sdt>
          </w:p>
        </w:tc>
        <w:tc>
          <w:tcPr>
            <w:tcW w:w="2781" w:type="dxa"/>
          </w:tcPr>
          <w:p w14:paraId="67460CCF" w14:textId="77777777" w:rsidR="002729B4" w:rsidRDefault="002729B4" w:rsidP="001E0D88">
            <w:pPr>
              <w:cnfStyle w:val="000000000000" w:firstRow="0" w:lastRow="0" w:firstColumn="0" w:lastColumn="0" w:oddVBand="0" w:evenVBand="0" w:oddHBand="0" w:evenHBand="0" w:firstRowFirstColumn="0" w:firstRowLastColumn="0" w:lastRowFirstColumn="0" w:lastRowLastColumn="0"/>
            </w:pPr>
            <w:r>
              <w:t>If you see something, say something</w:t>
            </w:r>
            <w:r>
              <w:br/>
              <w:t>Avoid unlicensed contractors unless necessary</w:t>
            </w:r>
          </w:p>
        </w:tc>
      </w:tr>
      <w:tr w:rsidR="002729B4" w14:paraId="5767430F" w14:textId="77777777" w:rsidTr="001E0D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2" w:type="dxa"/>
          </w:tcPr>
          <w:p w14:paraId="3EBFD71F" w14:textId="77777777" w:rsidR="002729B4" w:rsidRDefault="002729B4" w:rsidP="001E0D88">
            <w:r>
              <w:t>Standard Operating Procedures</w:t>
            </w:r>
          </w:p>
        </w:tc>
        <w:tc>
          <w:tcPr>
            <w:tcW w:w="3337" w:type="dxa"/>
          </w:tcPr>
          <w:p w14:paraId="60ACA7F6" w14:textId="77777777" w:rsidR="002729B4" w:rsidRDefault="002729B4" w:rsidP="001E0D88">
            <w:pPr>
              <w:cnfStyle w:val="000000100000" w:firstRow="0" w:lastRow="0" w:firstColumn="0" w:lastColumn="0" w:oddVBand="0" w:evenVBand="0" w:oddHBand="1" w:evenHBand="0" w:firstRowFirstColumn="0" w:firstRowLastColumn="0" w:lastRowFirstColumn="0" w:lastRowLastColumn="0"/>
            </w:pPr>
            <w:r>
              <w:t>A checklist that enumerates steps to arrive at a desirable outcome</w:t>
            </w:r>
            <w:sdt>
              <w:sdtPr>
                <w:id w:val="2068988920"/>
                <w:citation/>
              </w:sdtPr>
              <w:sdtContent>
                <w:r>
                  <w:fldChar w:fldCharType="begin"/>
                </w:r>
                <w:r>
                  <w:instrText xml:space="preserve"> CITATION Bizud \l 1033 </w:instrText>
                </w:r>
                <w:r>
                  <w:fldChar w:fldCharType="separate"/>
                </w:r>
                <w:r>
                  <w:rPr>
                    <w:noProof/>
                  </w:rPr>
                  <w:t xml:space="preserve"> (BizManualz, u.d.)</w:t>
                </w:r>
                <w:r>
                  <w:fldChar w:fldCharType="end"/>
                </w:r>
              </w:sdtContent>
            </w:sdt>
          </w:p>
        </w:tc>
        <w:tc>
          <w:tcPr>
            <w:tcW w:w="2781" w:type="dxa"/>
          </w:tcPr>
          <w:p w14:paraId="5AB47131" w14:textId="77777777" w:rsidR="002729B4" w:rsidRDefault="002729B4" w:rsidP="001E0D88">
            <w:pPr>
              <w:cnfStyle w:val="000000100000" w:firstRow="0" w:lastRow="0" w:firstColumn="0" w:lastColumn="0" w:oddVBand="0" w:evenVBand="0" w:oddHBand="1" w:evenHBand="0" w:firstRowFirstColumn="0" w:firstRowLastColumn="0" w:lastRowFirstColumn="0" w:lastRowLastColumn="0"/>
            </w:pPr>
            <w:r>
              <w:t>Process for adding or removing a user</w:t>
            </w:r>
            <w:r>
              <w:br/>
              <w:t>Process for deploying service updates</w:t>
            </w:r>
          </w:p>
        </w:tc>
      </w:tr>
      <w:tr w:rsidR="002729B4" w14:paraId="1364115D" w14:textId="77777777" w:rsidTr="001E0D88">
        <w:tc>
          <w:tcPr>
            <w:cnfStyle w:val="001000000000" w:firstRow="0" w:lastRow="0" w:firstColumn="1" w:lastColumn="0" w:oddVBand="0" w:evenVBand="0" w:oddHBand="0" w:evenHBand="0" w:firstRowFirstColumn="0" w:firstRowLastColumn="0" w:lastRowFirstColumn="0" w:lastRowLastColumn="0"/>
            <w:tcW w:w="3232" w:type="dxa"/>
          </w:tcPr>
          <w:p w14:paraId="2F84839F" w14:textId="77777777" w:rsidR="002729B4" w:rsidRDefault="002729B4" w:rsidP="001E0D88">
            <w:r>
              <w:t>Baselines</w:t>
            </w:r>
          </w:p>
        </w:tc>
        <w:tc>
          <w:tcPr>
            <w:tcW w:w="3337" w:type="dxa"/>
          </w:tcPr>
          <w:p w14:paraId="09BA3731" w14:textId="77777777" w:rsidR="002729B4" w:rsidRDefault="002729B4" w:rsidP="001E0D88">
            <w:pPr>
              <w:cnfStyle w:val="000000000000" w:firstRow="0" w:lastRow="0" w:firstColumn="0" w:lastColumn="0" w:oddVBand="0" w:evenVBand="0" w:oddHBand="0" w:evenHBand="0" w:firstRowFirstColumn="0" w:firstRowLastColumn="0" w:lastRowFirstColumn="0" w:lastRowLastColumn="0"/>
            </w:pPr>
            <w:r>
              <w:t>Minimum acceptable criteria for work acceptance</w:t>
            </w:r>
          </w:p>
        </w:tc>
        <w:tc>
          <w:tcPr>
            <w:tcW w:w="2781" w:type="dxa"/>
          </w:tcPr>
          <w:p w14:paraId="47E410C4" w14:textId="5A33D9FA" w:rsidR="002729B4" w:rsidRDefault="000A0919" w:rsidP="001E0D88">
            <w:pPr>
              <w:cnfStyle w:val="000000000000" w:firstRow="0" w:lastRow="0" w:firstColumn="0" w:lastColumn="0" w:oddVBand="0" w:evenVBand="0" w:oddHBand="0" w:evenHBand="0" w:firstRowFirstColumn="0" w:firstRowLastColumn="0" w:lastRowFirstColumn="0" w:lastRowLastColumn="0"/>
            </w:pPr>
            <w:r>
              <w:t>Performance and reliability SLA</w:t>
            </w:r>
          </w:p>
        </w:tc>
      </w:tr>
    </w:tbl>
    <w:p w14:paraId="7732DFF9" w14:textId="77777777" w:rsidR="002729B4" w:rsidRDefault="002729B4" w:rsidP="000067A8"/>
    <w:p w14:paraId="578436AF" w14:textId="646E5154" w:rsidR="000067A8" w:rsidRDefault="000067A8" w:rsidP="000067A8">
      <w:r>
        <w:lastRenderedPageBreak/>
        <w:tab/>
        <w:t xml:space="preserve">Risk Management Strategies tend to be hierarchical with the root nodes consisting of generic themes.  At the lower levels of the tree, ideas become less abstract and read more as process decisions.  </w:t>
      </w:r>
      <w:r w:rsidR="00E74110">
        <w:t>Since the leaves provide the implementation details to support their parent branches, team members can focus on the layer most relevant to their role.</w:t>
      </w:r>
      <w:r w:rsidR="003D5489">
        <w:t xml:space="preserve">  If the executive leadership team needs to monitor every minor detail of the implementation, then it would be challenging to deliver efficiently across larger enterprises.</w:t>
      </w:r>
    </w:p>
    <w:p w14:paraId="5412CB1B" w14:textId="00FACE51" w:rsidR="000067A8" w:rsidRDefault="000067A8" w:rsidP="000067A8">
      <w:pPr>
        <w:pStyle w:val="Heading2"/>
      </w:pPr>
      <w:r>
        <w:t>Ideal Risk Management Framework</w:t>
      </w:r>
    </w:p>
    <w:p w14:paraId="7E587380" w14:textId="3598DA40" w:rsidR="000067A8" w:rsidRDefault="00B079D0" w:rsidP="00B079D0">
      <w:r>
        <w:tab/>
        <w:t>Choosing the right framework requires assessing the needs of flexibility and regulatory requirements.  When the organization lacks consistent or mature processes, then the NIST Cybersecurity framework can be an ideal choice because of the highly adaptive design</w:t>
      </w:r>
      <w:sdt>
        <w:sdtPr>
          <w:id w:val="-779871745"/>
          <w:citation/>
        </w:sdtPr>
        <w:sdtContent>
          <w:r>
            <w:fldChar w:fldCharType="begin"/>
          </w:r>
          <w:r>
            <w:instrText xml:space="preserve"> CITATION Gro18 \l 1033 </w:instrText>
          </w:r>
          <w:r>
            <w:fldChar w:fldCharType="separate"/>
          </w:r>
          <w:r>
            <w:rPr>
              <w:noProof/>
            </w:rPr>
            <w:t xml:space="preserve"> (Grohmann, 2018)</w:t>
          </w:r>
          <w:r>
            <w:fldChar w:fldCharType="end"/>
          </w:r>
        </w:sdtContent>
      </w:sdt>
      <w:r>
        <w:t>.  Businesses use NIST’s guidelines to determine which aspects of the management lifecycle are “good, better, or best” and then prioritize future improvements.  In contrast, more rigid solutions like ISO27000 require significant cultural shifts and can encounter political pressure to fail</w:t>
      </w:r>
      <w:r w:rsidR="009410C6">
        <w:t>.</w:t>
      </w:r>
    </w:p>
    <w:p w14:paraId="2253E3CC" w14:textId="77777777" w:rsidR="000067A8" w:rsidRDefault="000067A8" w:rsidP="000067A8">
      <w:pPr>
        <w:pStyle w:val="Caption"/>
      </w:pPr>
      <w:r>
        <w:t>Table 2: Risk Management Frameworks</w:t>
      </w:r>
    </w:p>
    <w:tbl>
      <w:tblPr>
        <w:tblStyle w:val="GridTable4"/>
        <w:tblW w:w="0" w:type="auto"/>
        <w:tblLook w:val="04A0" w:firstRow="1" w:lastRow="0" w:firstColumn="1" w:lastColumn="0" w:noHBand="0" w:noVBand="1"/>
      </w:tblPr>
      <w:tblGrid>
        <w:gridCol w:w="3116"/>
        <w:gridCol w:w="3117"/>
        <w:gridCol w:w="3117"/>
      </w:tblGrid>
      <w:tr w:rsidR="000067A8" w14:paraId="2F124176" w14:textId="77777777" w:rsidTr="001E0D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756CAFA" w14:textId="77777777" w:rsidR="000067A8" w:rsidRDefault="000067A8" w:rsidP="001E0D88">
            <w:r>
              <w:t>Name</w:t>
            </w:r>
          </w:p>
        </w:tc>
        <w:tc>
          <w:tcPr>
            <w:tcW w:w="3117" w:type="dxa"/>
          </w:tcPr>
          <w:p w14:paraId="27B57F56" w14:textId="77777777" w:rsidR="000067A8" w:rsidRDefault="000067A8" w:rsidP="001E0D88">
            <w:pPr>
              <w:cnfStyle w:val="100000000000" w:firstRow="1" w:lastRow="0" w:firstColumn="0" w:lastColumn="0" w:oddVBand="0" w:evenVBand="0" w:oddHBand="0" w:evenHBand="0" w:firstRowFirstColumn="0" w:firstRowLastColumn="0" w:lastRowFirstColumn="0" w:lastRowLastColumn="0"/>
            </w:pPr>
            <w:r>
              <w:t>Description</w:t>
            </w:r>
          </w:p>
        </w:tc>
        <w:tc>
          <w:tcPr>
            <w:tcW w:w="3117" w:type="dxa"/>
          </w:tcPr>
          <w:p w14:paraId="78E2C7A7" w14:textId="77777777" w:rsidR="000067A8" w:rsidRDefault="000067A8" w:rsidP="001E0D88">
            <w:pPr>
              <w:cnfStyle w:val="100000000000" w:firstRow="1" w:lastRow="0" w:firstColumn="0" w:lastColumn="0" w:oddVBand="0" w:evenVBand="0" w:oddHBand="0" w:evenHBand="0" w:firstRowFirstColumn="0" w:firstRowLastColumn="0" w:lastRowFirstColumn="0" w:lastRowLastColumn="0"/>
            </w:pPr>
            <w:r>
              <w:t>Ideal Environment</w:t>
            </w:r>
          </w:p>
        </w:tc>
      </w:tr>
      <w:tr w:rsidR="000067A8" w14:paraId="5501A105" w14:textId="77777777" w:rsidTr="001E0D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A662601" w14:textId="19040BB8" w:rsidR="000067A8" w:rsidRDefault="000067A8" w:rsidP="001E0D88">
            <w:r>
              <w:t xml:space="preserve">National Institute of Standards and Technology (NIST) Cybersecurity Framework </w:t>
            </w:r>
            <w:sdt>
              <w:sdtPr>
                <w:rPr>
                  <w:b w:val="0"/>
                  <w:bCs w:val="0"/>
                </w:rPr>
                <w:id w:val="355390104"/>
                <w:citation/>
              </w:sdtPr>
              <w:sdtContent>
                <w:r w:rsidR="00B079D0" w:rsidRPr="00B079D0">
                  <w:rPr>
                    <w:b w:val="0"/>
                    <w:bCs w:val="0"/>
                  </w:rPr>
                  <w:fldChar w:fldCharType="begin"/>
                </w:r>
                <w:r w:rsidR="00B079D0" w:rsidRPr="00B079D0">
                  <w:rPr>
                    <w:b w:val="0"/>
                    <w:bCs w:val="0"/>
                  </w:rPr>
                  <w:instrText xml:space="preserve"> CITATION Gro18 \l 1033 </w:instrText>
                </w:r>
                <w:r w:rsidR="00B079D0" w:rsidRPr="00B079D0">
                  <w:rPr>
                    <w:b w:val="0"/>
                    <w:bCs w:val="0"/>
                  </w:rPr>
                  <w:fldChar w:fldCharType="separate"/>
                </w:r>
                <w:r w:rsidR="00B079D0" w:rsidRPr="00B079D0">
                  <w:rPr>
                    <w:b w:val="0"/>
                    <w:bCs w:val="0"/>
                    <w:noProof/>
                  </w:rPr>
                  <w:t>(Grohmann, 2018)</w:t>
                </w:r>
                <w:r w:rsidR="00B079D0" w:rsidRPr="00B079D0">
                  <w:rPr>
                    <w:b w:val="0"/>
                    <w:bCs w:val="0"/>
                  </w:rPr>
                  <w:fldChar w:fldCharType="end"/>
                </w:r>
              </w:sdtContent>
            </w:sdt>
          </w:p>
        </w:tc>
        <w:tc>
          <w:tcPr>
            <w:tcW w:w="3117" w:type="dxa"/>
          </w:tcPr>
          <w:p w14:paraId="6BCCE1E8" w14:textId="77777777" w:rsidR="000067A8" w:rsidRDefault="000067A8" w:rsidP="001E0D88">
            <w:pPr>
              <w:cnfStyle w:val="000000100000" w:firstRow="0" w:lastRow="0" w:firstColumn="0" w:lastColumn="0" w:oddVBand="0" w:evenVBand="0" w:oddHBand="1" w:evenHBand="0" w:firstRowFirstColumn="0" w:firstRowLastColumn="0" w:lastRowFirstColumn="0" w:lastRowLastColumn="0"/>
            </w:pPr>
            <w:r>
              <w:t>Flexible methodology to approach controls and evolve them over time</w:t>
            </w:r>
          </w:p>
        </w:tc>
        <w:tc>
          <w:tcPr>
            <w:tcW w:w="3117" w:type="dxa"/>
          </w:tcPr>
          <w:p w14:paraId="2E03708D" w14:textId="77777777" w:rsidR="000067A8" w:rsidRDefault="000067A8" w:rsidP="001E0D88">
            <w:pPr>
              <w:cnfStyle w:val="000000100000" w:firstRow="0" w:lastRow="0" w:firstColumn="0" w:lastColumn="0" w:oddVBand="0" w:evenVBand="0" w:oddHBand="1" w:evenHBand="0" w:firstRowFirstColumn="0" w:firstRowLastColumn="0" w:lastRowFirstColumn="0" w:lastRowLastColumn="0"/>
            </w:pPr>
            <w:r>
              <w:t>Large enterprise and businesses with varying levels of process maturity</w:t>
            </w:r>
          </w:p>
        </w:tc>
      </w:tr>
      <w:tr w:rsidR="000067A8" w14:paraId="2453AB51" w14:textId="77777777" w:rsidTr="001E0D88">
        <w:tc>
          <w:tcPr>
            <w:cnfStyle w:val="001000000000" w:firstRow="0" w:lastRow="0" w:firstColumn="1" w:lastColumn="0" w:oddVBand="0" w:evenVBand="0" w:oddHBand="0" w:evenHBand="0" w:firstRowFirstColumn="0" w:firstRowLastColumn="0" w:lastRowFirstColumn="0" w:lastRowLastColumn="0"/>
            <w:tcW w:w="3116" w:type="dxa"/>
          </w:tcPr>
          <w:p w14:paraId="3A8B27D1" w14:textId="77777777" w:rsidR="000067A8" w:rsidRDefault="000067A8" w:rsidP="001E0D88">
            <w:r>
              <w:t>International Organizational Standards (ISO) 27000</w:t>
            </w:r>
            <w:sdt>
              <w:sdtPr>
                <w:rPr>
                  <w:b w:val="0"/>
                  <w:bCs w:val="0"/>
                </w:rPr>
                <w:id w:val="1361771227"/>
                <w:citation/>
              </w:sdtPr>
              <w:sdtContent>
                <w:r w:rsidRPr="00797229">
                  <w:rPr>
                    <w:b w:val="0"/>
                    <w:bCs w:val="0"/>
                  </w:rPr>
                  <w:fldChar w:fldCharType="begin"/>
                </w:r>
                <w:r w:rsidRPr="00797229">
                  <w:rPr>
                    <w:b w:val="0"/>
                    <w:bCs w:val="0"/>
                  </w:rPr>
                  <w:instrText xml:space="preserve"> CITATION Gil11 \l 1033 </w:instrText>
                </w:r>
                <w:r w:rsidRPr="00797229">
                  <w:rPr>
                    <w:b w:val="0"/>
                    <w:bCs w:val="0"/>
                  </w:rPr>
                  <w:fldChar w:fldCharType="separate"/>
                </w:r>
                <w:r w:rsidRPr="00797229">
                  <w:rPr>
                    <w:b w:val="0"/>
                    <w:bCs w:val="0"/>
                    <w:noProof/>
                  </w:rPr>
                  <w:t xml:space="preserve"> (Gillies, 2011)</w:t>
                </w:r>
                <w:r w:rsidRPr="00797229">
                  <w:rPr>
                    <w:b w:val="0"/>
                    <w:bCs w:val="0"/>
                  </w:rPr>
                  <w:fldChar w:fldCharType="end"/>
                </w:r>
              </w:sdtContent>
            </w:sdt>
          </w:p>
        </w:tc>
        <w:tc>
          <w:tcPr>
            <w:tcW w:w="3117" w:type="dxa"/>
          </w:tcPr>
          <w:p w14:paraId="07833F17" w14:textId="77777777" w:rsidR="000067A8" w:rsidRDefault="000067A8" w:rsidP="001E0D88">
            <w:pPr>
              <w:cnfStyle w:val="000000000000" w:firstRow="0" w:lastRow="0" w:firstColumn="0" w:lastColumn="0" w:oddVBand="0" w:evenVBand="0" w:oddHBand="0" w:evenHBand="0" w:firstRowFirstColumn="0" w:firstRowLastColumn="0" w:lastRowFirstColumn="0" w:lastRowLastColumn="0"/>
            </w:pPr>
            <w:r>
              <w:t>Rigid set of requirements for ensuring appropriate controls</w:t>
            </w:r>
          </w:p>
        </w:tc>
        <w:tc>
          <w:tcPr>
            <w:tcW w:w="3117" w:type="dxa"/>
          </w:tcPr>
          <w:p w14:paraId="511817BE" w14:textId="77777777" w:rsidR="000067A8" w:rsidRDefault="000067A8" w:rsidP="001E0D88">
            <w:pPr>
              <w:cnfStyle w:val="000000000000" w:firstRow="0" w:lastRow="0" w:firstColumn="0" w:lastColumn="0" w:oddVBand="0" w:evenVBand="0" w:oddHBand="0" w:evenHBand="0" w:firstRowFirstColumn="0" w:firstRowLastColumn="0" w:lastRowFirstColumn="0" w:lastRowLastColumn="0"/>
            </w:pPr>
            <w:r>
              <w:t>Small enterprises and heavily regulated industries</w:t>
            </w:r>
          </w:p>
        </w:tc>
      </w:tr>
      <w:tr w:rsidR="000067A8" w14:paraId="745C9093" w14:textId="77777777" w:rsidTr="001E0D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8E00D5B" w14:textId="77777777" w:rsidR="000067A8" w:rsidRDefault="000067A8" w:rsidP="001E0D88">
            <w:r>
              <w:t>Control Objectives for Information and Information related Technology (COBIT)</w:t>
            </w:r>
            <w:sdt>
              <w:sdtPr>
                <w:rPr>
                  <w:b w:val="0"/>
                  <w:bCs w:val="0"/>
                </w:rPr>
                <w:id w:val="-1417168635"/>
                <w:citation/>
              </w:sdtPr>
              <w:sdtContent>
                <w:r w:rsidRPr="00797229">
                  <w:rPr>
                    <w:b w:val="0"/>
                    <w:bCs w:val="0"/>
                  </w:rPr>
                  <w:fldChar w:fldCharType="begin"/>
                </w:r>
                <w:r w:rsidRPr="00797229">
                  <w:rPr>
                    <w:b w:val="0"/>
                    <w:bCs w:val="0"/>
                  </w:rPr>
                  <w:instrText xml:space="preserve"> CITATION Dev15 \l 1033 </w:instrText>
                </w:r>
                <w:r w:rsidRPr="00797229">
                  <w:rPr>
                    <w:b w:val="0"/>
                    <w:bCs w:val="0"/>
                  </w:rPr>
                  <w:fldChar w:fldCharType="separate"/>
                </w:r>
                <w:r w:rsidRPr="00797229">
                  <w:rPr>
                    <w:b w:val="0"/>
                    <w:bCs w:val="0"/>
                    <w:noProof/>
                  </w:rPr>
                  <w:t xml:space="preserve"> (Devos &amp; Van de Ginste, 2015)</w:t>
                </w:r>
                <w:r w:rsidRPr="00797229">
                  <w:rPr>
                    <w:b w:val="0"/>
                    <w:bCs w:val="0"/>
                  </w:rPr>
                  <w:fldChar w:fldCharType="end"/>
                </w:r>
              </w:sdtContent>
            </w:sdt>
          </w:p>
        </w:tc>
        <w:tc>
          <w:tcPr>
            <w:tcW w:w="3117" w:type="dxa"/>
          </w:tcPr>
          <w:p w14:paraId="066D281D" w14:textId="77777777" w:rsidR="000067A8" w:rsidRDefault="000067A8" w:rsidP="001E0D88">
            <w:pPr>
              <w:cnfStyle w:val="000000100000" w:firstRow="0" w:lastRow="0" w:firstColumn="0" w:lastColumn="0" w:oddVBand="0" w:evenVBand="0" w:oddHBand="1" w:evenHBand="0" w:firstRowFirstColumn="0" w:firstRowLastColumn="0" w:lastRowFirstColumn="0" w:lastRowLastColumn="0"/>
            </w:pPr>
            <w:r>
              <w:t>Collection of industry best practices and guidelines</w:t>
            </w:r>
          </w:p>
        </w:tc>
        <w:tc>
          <w:tcPr>
            <w:tcW w:w="3117" w:type="dxa"/>
          </w:tcPr>
          <w:p w14:paraId="24A8A206" w14:textId="77777777" w:rsidR="000067A8" w:rsidRDefault="000067A8" w:rsidP="001E0D88">
            <w:pPr>
              <w:cnfStyle w:val="000000100000" w:firstRow="0" w:lastRow="0" w:firstColumn="0" w:lastColumn="0" w:oddVBand="0" w:evenVBand="0" w:oddHBand="1" w:evenHBand="0" w:firstRowFirstColumn="0" w:firstRowLastColumn="0" w:lastRowFirstColumn="0" w:lastRowLastColumn="0"/>
            </w:pPr>
            <w:r>
              <w:t>Organizations that need a middle ground between NIST and ISO frameworks</w:t>
            </w:r>
          </w:p>
        </w:tc>
      </w:tr>
    </w:tbl>
    <w:p w14:paraId="53BAE2AE" w14:textId="77777777" w:rsidR="00281C11" w:rsidRDefault="00281C11" w:rsidP="000067A8"/>
    <w:p w14:paraId="2206E7D9" w14:textId="0E6669D3" w:rsidR="000067A8" w:rsidRDefault="00281C11" w:rsidP="00281C11">
      <w:pPr>
        <w:pStyle w:val="Heading2"/>
      </w:pPr>
      <w:r>
        <w:lastRenderedPageBreak/>
        <w:t>Policy Hierarchy, Components, and Tooling</w:t>
      </w:r>
    </w:p>
    <w:p w14:paraId="5648BCF5" w14:textId="77777777" w:rsidR="00175A09" w:rsidRDefault="00281C11" w:rsidP="00281C11">
      <w:r>
        <w:tab/>
        <w:t>The policies of the risk management strategy need to identify threats to business artifacts from both negligence and malicious behavior</w:t>
      </w:r>
      <w:sdt>
        <w:sdtPr>
          <w:id w:val="-1537724350"/>
          <w:citation/>
        </w:sdtPr>
        <w:sdtContent>
          <w:r>
            <w:fldChar w:fldCharType="begin"/>
          </w:r>
          <w:r>
            <w:instrText xml:space="preserve"> CITATION Mic15 \l 1033 </w:instrText>
          </w:r>
          <w:r>
            <w:fldChar w:fldCharType="separate"/>
          </w:r>
          <w:r>
            <w:rPr>
              <w:noProof/>
            </w:rPr>
            <w:t xml:space="preserve"> (Mickens, 2015)</w:t>
          </w:r>
          <w:r>
            <w:fldChar w:fldCharType="end"/>
          </w:r>
        </w:sdtContent>
      </w:sdt>
      <w:r>
        <w:t xml:space="preserve">.  For instance, erroneous system commands should limit the blast radius by default.  Reducing the potential impact requires capabilities that build on top of authentication, authorization, and auditing (AAA).  Alice </w:t>
      </w:r>
      <w:proofErr w:type="gramStart"/>
      <w:r>
        <w:t>is allowed to</w:t>
      </w:r>
      <w:proofErr w:type="gramEnd"/>
      <w:r>
        <w:t xml:space="preserve"> send documents to the network printer, but should she be permitted to request a single 10,000-page document?  Quota management scenarios reoccur at all levels of business processes to block </w:t>
      </w:r>
      <w:r w:rsidR="00154300">
        <w:t xml:space="preserve">these </w:t>
      </w:r>
      <w:r>
        <w:t>erroneous actions.</w:t>
      </w:r>
      <w:r w:rsidR="00175A09">
        <w:t xml:space="preserve">  </w:t>
      </w:r>
    </w:p>
    <w:p w14:paraId="3DE1C63A" w14:textId="73B975EC" w:rsidR="00175A09" w:rsidRDefault="00175A09" w:rsidP="00175A09">
      <w:pPr>
        <w:ind w:firstLine="720"/>
      </w:pPr>
      <w:r>
        <w:t xml:space="preserve">Another collection of policies </w:t>
      </w:r>
      <w:proofErr w:type="gramStart"/>
      <w:r>
        <w:t>center</w:t>
      </w:r>
      <w:proofErr w:type="gramEnd"/>
      <w:r>
        <w:t xml:space="preserve"> around ensuring the confidentiality, integrity, and availability</w:t>
      </w:r>
      <w:r w:rsidR="00882DD4">
        <w:t xml:space="preserve"> (CIA)</w:t>
      </w:r>
      <w:r>
        <w:t xml:space="preserve"> of the institution.  For instance, customer data needs to </w:t>
      </w:r>
      <w:proofErr w:type="gramStart"/>
      <w:r>
        <w:t>encrypted</w:t>
      </w:r>
      <w:proofErr w:type="gramEnd"/>
      <w:r>
        <w:t xml:space="preserve"> in transit and at rest.  When systems are negligent, and customer privacy is compromised, then litigation and public relations risk come into the picture.  These challenges create the necessary incentives for businesses to be mindful and prioritize </w:t>
      </w:r>
      <w:r w:rsidR="00C11E01">
        <w:t xml:space="preserve">the </w:t>
      </w:r>
      <w:r>
        <w:t>safe handling of data.</w:t>
      </w:r>
      <w:r w:rsidR="00087248">
        <w:t xml:space="preserve">  Similar characteristics occur with integrity, such as tampering attacks leading to repudiation scenarios.  Lastly, data that is unavailable cannot assist with decision processes and is therefore useless.</w:t>
      </w:r>
      <w:r w:rsidR="00882DD4">
        <w:t xml:space="preserve">  Policies need all aspects of </w:t>
      </w:r>
      <w:r w:rsidR="00FF3AA7">
        <w:t xml:space="preserve">the data’s </w:t>
      </w:r>
      <w:r w:rsidR="00882DD4">
        <w:t>CIA.</w:t>
      </w:r>
    </w:p>
    <w:p w14:paraId="3BC1AD27" w14:textId="44857530" w:rsidR="00FF3AA7" w:rsidRDefault="00FF3AA7" w:rsidP="00175A09">
      <w:pPr>
        <w:ind w:firstLine="720"/>
      </w:pPr>
      <w:r>
        <w:t>Proper tooling can make or break the successful adoption of a risk management strategy</w:t>
      </w:r>
      <w:r>
        <w:t>. When users find a specific policy or practice to inconvenient, then they pursue solutions to minimize that friction</w:t>
      </w:r>
      <w:sdt>
        <w:sdtPr>
          <w:id w:val="435253357"/>
          <w:citation/>
        </w:sdtPr>
        <w:sdtContent>
          <w:r>
            <w:fldChar w:fldCharType="begin"/>
          </w:r>
          <w:r>
            <w:instrText xml:space="preserve"> CITATION Bus171 \l 1033 </w:instrText>
          </w:r>
          <w:r>
            <w:fldChar w:fldCharType="separate"/>
          </w:r>
          <w:r>
            <w:rPr>
              <w:noProof/>
            </w:rPr>
            <w:t xml:space="preserve"> (Busby, Green, &amp; Hutchison, 2017)</w:t>
          </w:r>
          <w:r>
            <w:fldChar w:fldCharType="end"/>
          </w:r>
        </w:sdtContent>
      </w:sdt>
      <w:r>
        <w:t xml:space="preserve">.  For example, a policy that asks all employees to sign and encrypt their email is unlikely to be sustainable if they need to execute complex commands from the terminal window.  Meanwhile, the same policy with a simple button to “send with encryption,” will meet less resistance because it does not increase the workflow.  Other scenarios also exist with firewalls and monitoring systems that need to do the </w:t>
      </w:r>
      <w:r>
        <w:lastRenderedPageBreak/>
        <w:t>‘right thing by default.</w:t>
      </w:r>
      <w:r w:rsidR="004832AE">
        <w:t>’  Policymakers must remember that the objective of security and risk management is to aid the business in its mission</w:t>
      </w:r>
      <w:sdt>
        <w:sdtPr>
          <w:id w:val="357712440"/>
          <w:citation/>
        </w:sdtPr>
        <w:sdtContent>
          <w:r w:rsidR="004832AE">
            <w:fldChar w:fldCharType="begin"/>
          </w:r>
          <w:r w:rsidR="004832AE">
            <w:instrText xml:space="preserve"> CITATION Dai191 \l 1033 </w:instrText>
          </w:r>
          <w:r w:rsidR="004832AE">
            <w:fldChar w:fldCharType="separate"/>
          </w:r>
          <w:r w:rsidR="004832AE">
            <w:rPr>
              <w:noProof/>
            </w:rPr>
            <w:t xml:space="preserve"> (Dai Zovi, 2019)</w:t>
          </w:r>
          <w:r w:rsidR="004832AE">
            <w:fldChar w:fldCharType="end"/>
          </w:r>
        </w:sdtContent>
      </w:sdt>
      <w:r w:rsidR="004832AE">
        <w:t>.  The inverse solution is not sustainable and will be riffle with political opposition.</w:t>
      </w:r>
    </w:p>
    <w:p w14:paraId="4EED7ABE" w14:textId="078AAFBB" w:rsidR="000A0919" w:rsidRDefault="000A0919" w:rsidP="000A0919"/>
    <w:p w14:paraId="6E845134" w14:textId="652C218A" w:rsidR="000A0919" w:rsidRDefault="000A0919">
      <w:r>
        <w:br w:type="page"/>
      </w:r>
    </w:p>
    <w:sdt>
      <w:sdtPr>
        <w:id w:val="373819432"/>
        <w:docPartObj>
          <w:docPartGallery w:val="Bibliographies"/>
          <w:docPartUnique/>
        </w:docPartObj>
      </w:sdtPr>
      <w:sdtEndPr>
        <w:rPr>
          <w:b w:val="0"/>
        </w:rPr>
      </w:sdtEndPr>
      <w:sdtContent>
        <w:p w14:paraId="151F6003" w14:textId="00E5CE33" w:rsidR="000A0919" w:rsidRPr="000A0919" w:rsidRDefault="000A0919">
          <w:pPr>
            <w:pStyle w:val="Heading1"/>
            <w:rPr>
              <w:b w:val="0"/>
              <w:bCs/>
            </w:rPr>
          </w:pPr>
          <w:r w:rsidRPr="000A0919">
            <w:rPr>
              <w:b w:val="0"/>
              <w:bCs/>
            </w:rPr>
            <w:t>References</w:t>
          </w:r>
        </w:p>
        <w:sdt>
          <w:sdtPr>
            <w:id w:val="-573587230"/>
            <w:bibliography/>
          </w:sdtPr>
          <w:sdtContent>
            <w:p w14:paraId="017DC2B4" w14:textId="0FCCF2B1" w:rsidR="000A0919" w:rsidRDefault="000A0919" w:rsidP="000A0919">
              <w:pPr>
                <w:pStyle w:val="Bibliography"/>
                <w:ind w:left="720" w:hanging="720"/>
                <w:rPr>
                  <w:noProof/>
                </w:rPr>
              </w:pPr>
              <w:r>
                <w:fldChar w:fldCharType="begin"/>
              </w:r>
              <w:r>
                <w:instrText xml:space="preserve"> BIBLIOGRAPHY </w:instrText>
              </w:r>
              <w:r>
                <w:fldChar w:fldCharType="separate"/>
              </w:r>
              <w:r>
                <w:rPr>
                  <w:noProof/>
                </w:rPr>
                <w:t xml:space="preserve">BizManualz. (u.d.). </w:t>
              </w:r>
              <w:r>
                <w:rPr>
                  <w:i/>
                  <w:iCs/>
                  <w:noProof/>
                </w:rPr>
                <w:t>What is a Standard Operating Procedure (SOP)</w:t>
              </w:r>
              <w:r>
                <w:rPr>
                  <w:noProof/>
                </w:rPr>
                <w:t>? Retrieved June 21, 2020, from BizManualz: https://www.bizmanualz.com/save-time-writing-procedures/what-are-policies-and-procedures-sop.html</w:t>
              </w:r>
            </w:p>
            <w:p w14:paraId="50A3272A" w14:textId="77777777" w:rsidR="000A0919" w:rsidRDefault="000A0919" w:rsidP="000A0919">
              <w:pPr>
                <w:pStyle w:val="Bibliography"/>
                <w:ind w:left="720" w:hanging="720"/>
                <w:rPr>
                  <w:noProof/>
                </w:rPr>
              </w:pPr>
              <w:r>
                <w:rPr>
                  <w:noProof/>
                </w:rPr>
                <w:t xml:space="preserve">Busby, J., Green, B., &amp; Hutchison, D. (2017). Analysis of Affordance, Time, and Adaptation in the Assessment of Industrial Control System Cybersecurity Risk. </w:t>
              </w:r>
              <w:r>
                <w:rPr>
                  <w:i/>
                  <w:iCs/>
                  <w:noProof/>
                </w:rPr>
                <w:t>Risk Analysis: An International Journal, 37</w:t>
              </w:r>
              <w:r>
                <w:rPr>
                  <w:noProof/>
                </w:rPr>
                <w:t>(7), 1298-1314. doi:https://doi-org.proxy1.ncu.edu/10.1111/risa.12681</w:t>
              </w:r>
            </w:p>
            <w:p w14:paraId="1E2263CE" w14:textId="26AC9ECD" w:rsidR="000A0919" w:rsidRDefault="000A0919" w:rsidP="000A0919">
              <w:pPr>
                <w:pStyle w:val="Bibliography"/>
                <w:ind w:left="720" w:hanging="720"/>
                <w:rPr>
                  <w:noProof/>
                </w:rPr>
              </w:pPr>
              <w:r>
                <w:rPr>
                  <w:noProof/>
                </w:rPr>
                <w:t xml:space="preserve">Compliance Forge. (u.d.). </w:t>
              </w:r>
              <w:r>
                <w:rPr>
                  <w:i/>
                  <w:iCs/>
                  <w:noProof/>
                </w:rPr>
                <w:t>Policy vs. Standard Operating Procedure vs. Control vs. Procedure</w:t>
              </w:r>
              <w:r>
                <w:rPr>
                  <w:noProof/>
                </w:rPr>
                <w:t>. Retrieved June 21, 2020, from Compliance Forge: https://www.complianceforge.com/word-crimes/policy-vs-standard-vs-control-vs-procedure</w:t>
              </w:r>
            </w:p>
            <w:p w14:paraId="285BAA35" w14:textId="77777777" w:rsidR="000A0919" w:rsidRDefault="000A0919" w:rsidP="000A0919">
              <w:pPr>
                <w:pStyle w:val="Bibliography"/>
                <w:ind w:left="720" w:hanging="720"/>
                <w:rPr>
                  <w:noProof/>
                </w:rPr>
              </w:pPr>
              <w:r>
                <w:rPr>
                  <w:noProof/>
                </w:rPr>
                <w:t xml:space="preserve">Dai Zovi, D. (2019). Every Security Team is a Software Team Now. </w:t>
              </w:r>
              <w:r>
                <w:rPr>
                  <w:i/>
                  <w:iCs/>
                  <w:noProof/>
                </w:rPr>
                <w:t>Black Hat USA.</w:t>
              </w:r>
              <w:r>
                <w:rPr>
                  <w:noProof/>
                </w:rPr>
                <w:t xml:space="preserve"> Las Vegas, NV, USA: Black Hat. Retrieved May 9, 2020, from https://www.youtube.com/watch?v=8armE3Wz0jk</w:t>
              </w:r>
            </w:p>
            <w:p w14:paraId="5F9D7AF5" w14:textId="77777777" w:rsidR="000A0919" w:rsidRDefault="000A0919" w:rsidP="000A0919">
              <w:pPr>
                <w:pStyle w:val="Bibliography"/>
                <w:ind w:left="720" w:hanging="720"/>
                <w:rPr>
                  <w:noProof/>
                </w:rPr>
              </w:pPr>
              <w:r>
                <w:rPr>
                  <w:noProof/>
                </w:rPr>
                <w:t xml:space="preserve">Devos, J., &amp; Van de Ginste, K. (2015). Towards a Theoretical Foundation of IT Governance - The COBIT 5 case. </w:t>
              </w:r>
              <w:r>
                <w:rPr>
                  <w:i/>
                  <w:iCs/>
                  <w:noProof/>
                </w:rPr>
                <w:t>Electronic Journal of Information Systems Evaluation, 18</w:t>
              </w:r>
              <w:r>
                <w:rPr>
                  <w:noProof/>
                </w:rPr>
                <w:t>(2). Retrieved from https://search-ebscohost-com.proxy1.ncu.edu/login.aspx?direct=true&amp;db=edb&amp;AN=109261833&amp;site=eds-live</w:t>
              </w:r>
            </w:p>
            <w:p w14:paraId="378302B0" w14:textId="77777777" w:rsidR="000A0919" w:rsidRDefault="000A0919" w:rsidP="000A0919">
              <w:pPr>
                <w:pStyle w:val="Bibliography"/>
                <w:ind w:left="720" w:hanging="720"/>
                <w:rPr>
                  <w:noProof/>
                </w:rPr>
              </w:pPr>
              <w:r>
                <w:rPr>
                  <w:noProof/>
                </w:rPr>
                <w:t xml:space="preserve">Gillies, A. (2011). Improving the quality of information security management systems with ISO27000. </w:t>
              </w:r>
              <w:r>
                <w:rPr>
                  <w:i/>
                  <w:iCs/>
                  <w:noProof/>
                </w:rPr>
                <w:t>TQM Journal, 23</w:t>
              </w:r>
              <w:r>
                <w:rPr>
                  <w:noProof/>
                </w:rPr>
                <w:t>(4), 367-376. doi:http://dx.doi.org.proxy1.ncu.edu/10.1108/17542731111139455</w:t>
              </w:r>
            </w:p>
            <w:p w14:paraId="380AF32E" w14:textId="77777777" w:rsidR="000A0919" w:rsidRDefault="000A0919" w:rsidP="000A0919">
              <w:pPr>
                <w:pStyle w:val="Bibliography"/>
                <w:ind w:left="720" w:hanging="720"/>
                <w:rPr>
                  <w:noProof/>
                </w:rPr>
              </w:pPr>
              <w:r>
                <w:rPr>
                  <w:noProof/>
                </w:rPr>
                <w:lastRenderedPageBreak/>
                <w:t xml:space="preserve">Grohmann, A. (2018). Evolution of the cybersecurity framework. </w:t>
              </w:r>
              <w:r>
                <w:rPr>
                  <w:i/>
                  <w:iCs/>
                  <w:noProof/>
                </w:rPr>
                <w:t>ISSA Journal, 16</w:t>
              </w:r>
              <w:r>
                <w:rPr>
                  <w:noProof/>
                </w:rPr>
                <w:t>(7), 14-18. Retrieved May 2, 2020, from https://search-ebscohost-com.proxy1.ncu.edu/login.aspx?direct=true&amp;db=tsh&amp;AN=130572679&amp;site=eds-live</w:t>
              </w:r>
            </w:p>
            <w:p w14:paraId="171FEC01" w14:textId="77777777" w:rsidR="000A0919" w:rsidRDefault="000A0919" w:rsidP="000A0919">
              <w:pPr>
                <w:pStyle w:val="Bibliography"/>
                <w:ind w:left="720" w:hanging="720"/>
                <w:rPr>
                  <w:noProof/>
                </w:rPr>
              </w:pPr>
              <w:r>
                <w:rPr>
                  <w:noProof/>
                </w:rPr>
                <w:t xml:space="preserve">Mickens, J. (2015, September 9). </w:t>
              </w:r>
              <w:r>
                <w:rPr>
                  <w:i/>
                  <w:iCs/>
                  <w:noProof/>
                </w:rPr>
                <w:t>Not Even Close, The State of Computer Security with Slides</w:t>
              </w:r>
              <w:r>
                <w:rPr>
                  <w:noProof/>
                </w:rPr>
                <w:t>. Retrieved May 24, 2020, from YouTube: https://youtu.be/tF24WHumvIc</w:t>
              </w:r>
            </w:p>
            <w:p w14:paraId="3EAD8FFF" w14:textId="77777777" w:rsidR="000A0919" w:rsidRDefault="000A0919" w:rsidP="000A0919">
              <w:pPr>
                <w:pStyle w:val="Bibliography"/>
                <w:ind w:left="720" w:hanging="720"/>
                <w:rPr>
                  <w:noProof/>
                </w:rPr>
              </w:pPr>
              <w:r>
                <w:rPr>
                  <w:noProof/>
                </w:rPr>
                <w:t xml:space="preserve">Radhakrishnan, S. (2015). COBIT Helps Organizations Meet Performance and Compliance Requirements. </w:t>
              </w:r>
              <w:r>
                <w:rPr>
                  <w:i/>
                  <w:iCs/>
                  <w:noProof/>
                </w:rPr>
                <w:t>COBIT Focus, 5</w:t>
              </w:r>
              <w:r>
                <w:rPr>
                  <w:noProof/>
                </w:rPr>
                <w:t>, 1-5. Retrieved from https://search-ebscohost-com.proxy1.ncu.edu/login.aspx?direct=true&amp;db=bth&amp;AN=102026122&amp;site=eds-live</w:t>
              </w:r>
            </w:p>
            <w:p w14:paraId="2379F4DE" w14:textId="77777777" w:rsidR="000A0919" w:rsidRDefault="000A0919" w:rsidP="000A0919">
              <w:pPr>
                <w:pStyle w:val="Bibliography"/>
                <w:ind w:left="720" w:hanging="720"/>
                <w:rPr>
                  <w:noProof/>
                </w:rPr>
              </w:pPr>
              <w:r>
                <w:rPr>
                  <w:noProof/>
                </w:rPr>
                <w:t xml:space="preserve">Sadgune, R., &amp; Dadgune, A. (2017, June 11). </w:t>
              </w:r>
              <w:r>
                <w:rPr>
                  <w:i/>
                  <w:iCs/>
                  <w:noProof/>
                </w:rPr>
                <w:t>Cyber Security Lifecycle</w:t>
              </w:r>
              <w:r>
                <w:rPr>
                  <w:noProof/>
                </w:rPr>
                <w:t>. Retrieved June 21, 2020, from HackForLab: https://hackforlab.com/cyber-security-lifecycle/</w:t>
              </w:r>
            </w:p>
            <w:p w14:paraId="18B3AA37" w14:textId="4754F4DD" w:rsidR="000A0919" w:rsidRDefault="000A0919" w:rsidP="000A0919">
              <w:pPr>
                <w:pStyle w:val="Bibliography"/>
                <w:ind w:left="720" w:hanging="720"/>
                <w:rPr>
                  <w:noProof/>
                </w:rPr>
              </w:pPr>
              <w:r>
                <w:rPr>
                  <w:noProof/>
                </w:rPr>
                <w:t xml:space="preserve">Weston, H., Conklin, T., &amp; Drobnis, K. (2018). Assessing and resetting culture in enterprise risk management. </w:t>
              </w:r>
              <w:r>
                <w:rPr>
                  <w:i/>
                  <w:iCs/>
                  <w:noProof/>
                </w:rPr>
                <w:t>Assurances et Gestion Des Risques, 85</w:t>
              </w:r>
              <w:r>
                <w:rPr>
                  <w:noProof/>
                </w:rPr>
                <w:t>(1), 131-166. doi:https://doi-org.proxy1.ncu.edu/10.7202/1051319ar</w:t>
              </w:r>
            </w:p>
            <w:p w14:paraId="6FB30BE2" w14:textId="3E132E58" w:rsidR="000A0919" w:rsidRDefault="000A0919" w:rsidP="000A0919">
              <w:r>
                <w:rPr>
                  <w:b/>
                  <w:bCs/>
                  <w:noProof/>
                </w:rPr>
                <w:fldChar w:fldCharType="end"/>
              </w:r>
            </w:p>
          </w:sdtContent>
        </w:sdt>
      </w:sdtContent>
    </w:sdt>
    <w:p w14:paraId="690F8977" w14:textId="77777777" w:rsidR="000A0919" w:rsidRPr="00281C11" w:rsidRDefault="000A0919" w:rsidP="000A0919"/>
    <w:sectPr w:rsidR="000A0919" w:rsidRPr="00281C11" w:rsidSect="00877007">
      <w:head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904A7A" w14:textId="77777777" w:rsidR="005F50B7" w:rsidRDefault="005F50B7" w:rsidP="0082223F">
      <w:pPr>
        <w:spacing w:line="240" w:lineRule="auto"/>
      </w:pPr>
      <w:r>
        <w:separator/>
      </w:r>
    </w:p>
  </w:endnote>
  <w:endnote w:type="continuationSeparator" w:id="0">
    <w:p w14:paraId="5D89420C" w14:textId="77777777" w:rsidR="005F50B7" w:rsidRDefault="005F50B7"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FE9365" w14:textId="77777777" w:rsidR="005F50B7" w:rsidRDefault="005F50B7" w:rsidP="0082223F">
      <w:pPr>
        <w:spacing w:line="240" w:lineRule="auto"/>
      </w:pPr>
      <w:r>
        <w:separator/>
      </w:r>
    </w:p>
  </w:footnote>
  <w:footnote w:type="continuationSeparator" w:id="0">
    <w:p w14:paraId="429D2D3D" w14:textId="77777777" w:rsidR="005F50B7" w:rsidRDefault="005F50B7"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5E7B9FF9" w:rsidR="00877007" w:rsidRDefault="00877007" w:rsidP="00877007">
    <w:pPr>
      <w:pStyle w:val="Header"/>
    </w:pPr>
    <w:r w:rsidRPr="00877007">
      <w:t>TIM-</w:t>
    </w:r>
    <w:r w:rsidR="00B13ADF">
      <w:t>7030</w:t>
    </w:r>
    <w:r w:rsidRPr="00877007">
      <w:t xml:space="preserve">: </w:t>
    </w:r>
    <w:r w:rsidR="00B13ADF">
      <w:t>Managing Risk, Security, and Privacy</w:t>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A056B3"/>
    <w:multiLevelType w:val="hybridMultilevel"/>
    <w:tmpl w:val="EB328738"/>
    <w:lvl w:ilvl="0" w:tplc="319EE88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rAUAUQTKiiwAAAA="/>
  </w:docVars>
  <w:rsids>
    <w:rsidRoot w:val="0082223F"/>
    <w:rsid w:val="000067A8"/>
    <w:rsid w:val="00036708"/>
    <w:rsid w:val="00036F58"/>
    <w:rsid w:val="00087248"/>
    <w:rsid w:val="000A0919"/>
    <w:rsid w:val="00154300"/>
    <w:rsid w:val="00175A09"/>
    <w:rsid w:val="00183597"/>
    <w:rsid w:val="002729B4"/>
    <w:rsid w:val="002806B7"/>
    <w:rsid w:val="00281C11"/>
    <w:rsid w:val="00382EAD"/>
    <w:rsid w:val="003B7BBB"/>
    <w:rsid w:val="003D5489"/>
    <w:rsid w:val="003F4714"/>
    <w:rsid w:val="00401D65"/>
    <w:rsid w:val="004223E8"/>
    <w:rsid w:val="004832AE"/>
    <w:rsid w:val="004A784B"/>
    <w:rsid w:val="005B7079"/>
    <w:rsid w:val="005F50B7"/>
    <w:rsid w:val="006913FB"/>
    <w:rsid w:val="006D793E"/>
    <w:rsid w:val="0073677D"/>
    <w:rsid w:val="0082223F"/>
    <w:rsid w:val="00877007"/>
    <w:rsid w:val="00882DD4"/>
    <w:rsid w:val="00892AF7"/>
    <w:rsid w:val="008B5129"/>
    <w:rsid w:val="009410C6"/>
    <w:rsid w:val="009A757D"/>
    <w:rsid w:val="00A42F58"/>
    <w:rsid w:val="00B079D0"/>
    <w:rsid w:val="00B13ADF"/>
    <w:rsid w:val="00B4441F"/>
    <w:rsid w:val="00C11E01"/>
    <w:rsid w:val="00C54DC8"/>
    <w:rsid w:val="00C73692"/>
    <w:rsid w:val="00C93BB7"/>
    <w:rsid w:val="00CB25E9"/>
    <w:rsid w:val="00D75C7B"/>
    <w:rsid w:val="00D85C7B"/>
    <w:rsid w:val="00DE2224"/>
    <w:rsid w:val="00E234E9"/>
    <w:rsid w:val="00E74110"/>
    <w:rsid w:val="00ED3713"/>
    <w:rsid w:val="00FF03BE"/>
    <w:rsid w:val="00FF3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TableGrid">
    <w:name w:val="Table Grid"/>
    <w:basedOn w:val="TableNormal"/>
    <w:uiPriority w:val="39"/>
    <w:rsid w:val="000067A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0067A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281C11"/>
    <w:pPr>
      <w:ind w:left="720"/>
      <w:contextualSpacing/>
    </w:pPr>
  </w:style>
  <w:style w:type="paragraph" w:styleId="Bibliography">
    <w:name w:val="Bibliography"/>
    <w:basedOn w:val="Normal"/>
    <w:next w:val="Normal"/>
    <w:uiPriority w:val="37"/>
    <w:unhideWhenUsed/>
    <w:rsid w:val="000A0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210052">
      <w:bodyDiv w:val="1"/>
      <w:marLeft w:val="0"/>
      <w:marRight w:val="0"/>
      <w:marTop w:val="0"/>
      <w:marBottom w:val="0"/>
      <w:divBdr>
        <w:top w:val="none" w:sz="0" w:space="0" w:color="auto"/>
        <w:left w:val="none" w:sz="0" w:space="0" w:color="auto"/>
        <w:bottom w:val="none" w:sz="0" w:space="0" w:color="auto"/>
        <w:right w:val="none" w:sz="0" w:space="0" w:color="auto"/>
      </w:divBdr>
    </w:div>
    <w:div w:id="464012625">
      <w:bodyDiv w:val="1"/>
      <w:marLeft w:val="0"/>
      <w:marRight w:val="0"/>
      <w:marTop w:val="0"/>
      <w:marBottom w:val="0"/>
      <w:divBdr>
        <w:top w:val="none" w:sz="0" w:space="0" w:color="auto"/>
        <w:left w:val="none" w:sz="0" w:space="0" w:color="auto"/>
        <w:bottom w:val="none" w:sz="0" w:space="0" w:color="auto"/>
        <w:right w:val="none" w:sz="0" w:space="0" w:color="auto"/>
      </w:divBdr>
    </w:div>
    <w:div w:id="576287927">
      <w:bodyDiv w:val="1"/>
      <w:marLeft w:val="0"/>
      <w:marRight w:val="0"/>
      <w:marTop w:val="0"/>
      <w:marBottom w:val="0"/>
      <w:divBdr>
        <w:top w:val="none" w:sz="0" w:space="0" w:color="auto"/>
        <w:left w:val="none" w:sz="0" w:space="0" w:color="auto"/>
        <w:bottom w:val="none" w:sz="0" w:space="0" w:color="auto"/>
        <w:right w:val="none" w:sz="0" w:space="0" w:color="auto"/>
      </w:divBdr>
    </w:div>
    <w:div w:id="765880896">
      <w:bodyDiv w:val="1"/>
      <w:marLeft w:val="0"/>
      <w:marRight w:val="0"/>
      <w:marTop w:val="0"/>
      <w:marBottom w:val="0"/>
      <w:divBdr>
        <w:top w:val="none" w:sz="0" w:space="0" w:color="auto"/>
        <w:left w:val="none" w:sz="0" w:space="0" w:color="auto"/>
        <w:bottom w:val="none" w:sz="0" w:space="0" w:color="auto"/>
        <w:right w:val="none" w:sz="0" w:space="0" w:color="auto"/>
      </w:divBdr>
    </w:div>
    <w:div w:id="978651451">
      <w:bodyDiv w:val="1"/>
      <w:marLeft w:val="0"/>
      <w:marRight w:val="0"/>
      <w:marTop w:val="0"/>
      <w:marBottom w:val="0"/>
      <w:divBdr>
        <w:top w:val="none" w:sz="0" w:space="0" w:color="auto"/>
        <w:left w:val="none" w:sz="0" w:space="0" w:color="auto"/>
        <w:bottom w:val="none" w:sz="0" w:space="0" w:color="auto"/>
        <w:right w:val="none" w:sz="0" w:space="0" w:color="auto"/>
      </w:divBdr>
    </w:div>
    <w:div w:id="987588578">
      <w:bodyDiv w:val="1"/>
      <w:marLeft w:val="0"/>
      <w:marRight w:val="0"/>
      <w:marTop w:val="0"/>
      <w:marBottom w:val="0"/>
      <w:divBdr>
        <w:top w:val="none" w:sz="0" w:space="0" w:color="auto"/>
        <w:left w:val="none" w:sz="0" w:space="0" w:color="auto"/>
        <w:bottom w:val="none" w:sz="0" w:space="0" w:color="auto"/>
        <w:right w:val="none" w:sz="0" w:space="0" w:color="auto"/>
      </w:divBdr>
    </w:div>
    <w:div w:id="1032419024">
      <w:bodyDiv w:val="1"/>
      <w:marLeft w:val="0"/>
      <w:marRight w:val="0"/>
      <w:marTop w:val="0"/>
      <w:marBottom w:val="0"/>
      <w:divBdr>
        <w:top w:val="none" w:sz="0" w:space="0" w:color="auto"/>
        <w:left w:val="none" w:sz="0" w:space="0" w:color="auto"/>
        <w:bottom w:val="none" w:sz="0" w:space="0" w:color="auto"/>
        <w:right w:val="none" w:sz="0" w:space="0" w:color="auto"/>
      </w:divBdr>
    </w:div>
    <w:div w:id="1121650165">
      <w:bodyDiv w:val="1"/>
      <w:marLeft w:val="0"/>
      <w:marRight w:val="0"/>
      <w:marTop w:val="0"/>
      <w:marBottom w:val="0"/>
      <w:divBdr>
        <w:top w:val="none" w:sz="0" w:space="0" w:color="auto"/>
        <w:left w:val="none" w:sz="0" w:space="0" w:color="auto"/>
        <w:bottom w:val="none" w:sz="0" w:space="0" w:color="auto"/>
        <w:right w:val="none" w:sz="0" w:space="0" w:color="auto"/>
      </w:divBdr>
    </w:div>
    <w:div w:id="1414274739">
      <w:bodyDiv w:val="1"/>
      <w:marLeft w:val="0"/>
      <w:marRight w:val="0"/>
      <w:marTop w:val="0"/>
      <w:marBottom w:val="0"/>
      <w:divBdr>
        <w:top w:val="none" w:sz="0" w:space="0" w:color="auto"/>
        <w:left w:val="none" w:sz="0" w:space="0" w:color="auto"/>
        <w:bottom w:val="none" w:sz="0" w:space="0" w:color="auto"/>
        <w:right w:val="none" w:sz="0" w:space="0" w:color="auto"/>
      </w:divBdr>
    </w:div>
    <w:div w:id="1416710173">
      <w:bodyDiv w:val="1"/>
      <w:marLeft w:val="0"/>
      <w:marRight w:val="0"/>
      <w:marTop w:val="0"/>
      <w:marBottom w:val="0"/>
      <w:divBdr>
        <w:top w:val="none" w:sz="0" w:space="0" w:color="auto"/>
        <w:left w:val="none" w:sz="0" w:space="0" w:color="auto"/>
        <w:bottom w:val="none" w:sz="0" w:space="0" w:color="auto"/>
        <w:right w:val="none" w:sz="0" w:space="0" w:color="auto"/>
      </w:divBdr>
    </w:div>
    <w:div w:id="1895967658">
      <w:bodyDiv w:val="1"/>
      <w:marLeft w:val="0"/>
      <w:marRight w:val="0"/>
      <w:marTop w:val="0"/>
      <w:marBottom w:val="0"/>
      <w:divBdr>
        <w:top w:val="none" w:sz="0" w:space="0" w:color="auto"/>
        <w:left w:val="none" w:sz="0" w:space="0" w:color="auto"/>
        <w:bottom w:val="none" w:sz="0" w:space="0" w:color="auto"/>
        <w:right w:val="none" w:sz="0" w:space="0" w:color="auto"/>
      </w:divBdr>
    </w:div>
    <w:div w:id="2142575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Sad17</b:Tag>
    <b:SourceType>InternetSite</b:SourceType>
    <b:Guid>{36FA0516-89E4-4574-8519-BBA670FC6274}</b:Guid>
    <b:Title>Cyber Security Lifecycle</b:Title>
    <b:InternetSiteTitle>HackForLab</b:InternetSiteTitle>
    <b:Year>2017</b:Year>
    <b:Month>June</b:Month>
    <b:Day>11</b:Day>
    <b:URL>https://hackforlab.com/cyber-security-lifecycle/</b:URL>
    <b:Author>
      <b:Author>
        <b:NameList>
          <b:Person>
            <b:Last>Sadgune</b:Last>
            <b:First>R</b:First>
          </b:Person>
          <b:Person>
            <b:Last>Dadgune</b:Last>
            <b:First>A</b:First>
          </b:Person>
        </b:NameList>
      </b:Author>
    </b:Author>
    <b:YearAccessed>2020</b:YearAccessed>
    <b:MonthAccessed>June</b:MonthAccessed>
    <b:DayAccessed>21</b:DayAccessed>
    <b:RefOrder>1</b:RefOrder>
  </b:Source>
  <b:Source>
    <b:Tag>Rad15</b:Tag>
    <b:SourceType>JournalArticle</b:SourceType>
    <b:Guid>{905D48B3-137A-4950-9CAB-0924FB435BA2}</b:Guid>
    <b:Title>COBIT Helps Organizations Meet Performance and Compliance Requirements</b:Title>
    <b:JournalName>COBIT Focus</b:JournalName>
    <b:Year>2015</b:Year>
    <b:Pages>1-5</b:Pages>
    <b:Author>
      <b:Author>
        <b:NameList>
          <b:Person>
            <b:Last>Radhakrishnan</b:Last>
            <b:First>S</b:First>
          </b:Person>
        </b:NameList>
      </b:Author>
    </b:Author>
    <b:Volume>5</b:Volume>
    <b:URL>https://search-ebscohost-com.proxy1.ncu.edu/login.aspx?direct=true&amp;db=bth&amp;AN=102026122&amp;site=eds-live</b:URL>
    <b:RefOrder>2</b:RefOrder>
  </b:Source>
  <b:Source>
    <b:Tag>Gro18</b:Tag>
    <b:SourceType>JournalArticle</b:SourceType>
    <b:Guid>{C556FC63-7F4D-4130-97DA-9CFF2D6085F0}</b:Guid>
    <b:Title>Evolution of the cybersecurity framework</b:Title>
    <b:JournalName>ISSA Journal</b:JournalName>
    <b:Year>2018</b:Year>
    <b:Pages>14-18</b:Pages>
    <b:Author>
      <b:Author>
        <b:NameList>
          <b:Person>
            <b:Last>Grohmann</b:Last>
            <b:First>A</b:First>
          </b:Person>
        </b:NameList>
      </b:Author>
    </b:Author>
    <b:Volume>16</b:Volume>
    <b:Issue>7</b:Issue>
    <b:YearAccessed>2020</b:YearAccessed>
    <b:MonthAccessed>May</b:MonthAccessed>
    <b:DayAccessed>2</b:DayAccessed>
    <b:URL>https://search-ebscohost-com.proxy1.ncu.edu/login.aspx?direct=true&amp;db=tsh&amp;AN=130572679&amp;site=eds-live</b:URL>
    <b:RefOrder>3</b:RefOrder>
  </b:Source>
  <b:Source>
    <b:Tag>Comud</b:Tag>
    <b:SourceType>InternetSite</b:SourceType>
    <b:Guid>{52DDB307-012D-4BE0-8281-87ECE60F264B}</b:Guid>
    <b:Author>
      <b:Author>
        <b:Corporate>Compliance Forge</b:Corporate>
      </b:Author>
    </b:Author>
    <b:Title>Policy vs Standard Operating Procedure vs Control vs Procedure</b:Title>
    <b:InternetSiteTitle>Compliance Forge</b:InternetSiteTitle>
    <b:Year>u.d.</b:Year>
    <b:URL>https://www.complianceforge.com/word-crimes/policy-vs-standard-vs-control-vs-procedure</b:URL>
    <b:YearAccessed>2020</b:YearAccessed>
    <b:MonthAccessed>June</b:MonthAccessed>
    <b:DayAccessed>21</b:DayAccessed>
    <b:RefOrder>4</b:RefOrder>
  </b:Source>
  <b:Source>
    <b:Tag>Wes18</b:Tag>
    <b:SourceType>JournalArticle</b:SourceType>
    <b:Guid>{9AFBCCA8-77C2-43A1-BCDF-8C212D3ADE59}</b:Guid>
    <b:Title>Assessing and resetting culture in enterprise risk management</b:Title>
    <b:JournalName>Assurances et Gestion Des Risques,</b:JournalName>
    <b:Year>2018</b:Year>
    <b:Pages>131-166</b:Pages>
    <b:Author>
      <b:Author>
        <b:NameList>
          <b:Person>
            <b:Last>Weston</b:Last>
            <b:First>H</b:First>
          </b:Person>
          <b:Person>
            <b:Last>Conklin</b:Last>
            <b:First>T</b:First>
          </b:Person>
          <b:Person>
            <b:Last>Drobnis</b:Last>
            <b:First>K</b:First>
          </b:Person>
        </b:NameList>
      </b:Author>
    </b:Author>
    <b:Volume>85</b:Volume>
    <b:Issue>1</b:Issue>
    <b:DOI>https://doi-org.proxy1.ncu.edu/10.7202/1051319ar</b:DOI>
    <b:RefOrder>5</b:RefOrder>
  </b:Source>
  <b:Source>
    <b:Tag>Bizud</b:Tag>
    <b:SourceType>InternetSite</b:SourceType>
    <b:Guid>{FBE80810-33CC-45C8-AEF0-EBBE13CE1811}</b:Guid>
    <b:Author>
      <b:Author>
        <b:Corporate>BizManualz</b:Corporate>
      </b:Author>
    </b:Author>
    <b:Title>What is a Standard Operating Procedure (SOP)</b:Title>
    <b:InternetSiteTitle>BizManualz</b:InternetSiteTitle>
    <b:Year>u.d.</b:Year>
    <b:URL>https://www.bizmanualz.com/save-time-writing-procedures/what-are-policies-and-procedures-sop.html</b:URL>
    <b:YearAccessed>2020</b:YearAccessed>
    <b:MonthAccessed>June</b:MonthAccessed>
    <b:DayAccessed>21</b:DayAccessed>
    <b:RefOrder>6</b:RefOrder>
  </b:Source>
  <b:Source>
    <b:Tag>Gil11</b:Tag>
    <b:SourceType>JournalArticle</b:SourceType>
    <b:Guid>{70D96DA1-5095-4D27-A278-C09EB246C354}</b:Guid>
    <b:Title>Improving the quality of information security management systems with ISO27000</b:Title>
    <b:JournalName>TQM Journal</b:JournalName>
    <b:Year>2011</b:Year>
    <b:Pages>367-376</b:Pages>
    <b:Author>
      <b:Author>
        <b:NameList>
          <b:Person>
            <b:Last>Gillies</b:Last>
            <b:First>A</b:First>
          </b:Person>
        </b:NameList>
      </b:Author>
    </b:Author>
    <b:Volume>23</b:Volume>
    <b:Issue>4</b:Issue>
    <b:YearAccessed>2020</b:YearAccessed>
    <b:MonthAccessed>March</b:MonthAccessed>
    <b:DayAccessed>2</b:DayAccessed>
    <b:DOI>http://dx.doi.org.proxy1.ncu.edu/10.1108/17542731111139455</b:DOI>
    <b:RefOrder>7</b:RefOrder>
  </b:Source>
  <b:Source>
    <b:Tag>Dev15</b:Tag>
    <b:SourceType>JournalArticle</b:SourceType>
    <b:Guid>{9EE5729D-9853-459C-B57A-82B5B303D13E}</b:Guid>
    <b:Title>Towards a Theoretical Foundation of IT Governance - The COBIT 5 case</b:Title>
    <b:JournalName>Electronic Journal of Information Systems Evaluation</b:JournalName>
    <b:Year>2015</b:Year>
    <b:Author>
      <b:Author>
        <b:NameList>
          <b:Person>
            <b:Last>Devos</b:Last>
            <b:First>J</b:First>
          </b:Person>
          <b:Person>
            <b:Last>Van de Ginste</b:Last>
            <b:First>K</b:First>
          </b:Person>
        </b:NameList>
      </b:Author>
    </b:Author>
    <b:Volume>18</b:Volume>
    <b:Issue>2</b:Issue>
    <b:URL>https://search-ebscohost-com.proxy1.ncu.edu/login.aspx?direct=true&amp;db=edb&amp;AN=109261833&amp;site=eds-live</b:URL>
    <b:RefOrder>8</b:RefOrder>
  </b:Source>
  <b:Source>
    <b:Tag>Mic15</b:Tag>
    <b:SourceType>InternetSite</b:SourceType>
    <b:Guid>{82124140-2D7F-47A5-9A3C-5207BAE9035A}</b:Guid>
    <b:Title>Not Even Close, The State of Computer Security with Slides</b:Title>
    <b:Year>2015</b:Year>
    <b:Author>
      <b:Author>
        <b:NameList>
          <b:Person>
            <b:Last>Mickens</b:Last>
            <b:First>J</b:First>
          </b:Person>
        </b:NameList>
      </b:Author>
    </b:Author>
    <b:InternetSiteTitle>YouTube</b:InternetSiteTitle>
    <b:Month>September</b:Month>
    <b:Day>9</b:Day>
    <b:URL>https://youtu.be/tF24WHumvIc</b:URL>
    <b:YearAccessed>2020</b:YearAccessed>
    <b:MonthAccessed>May</b:MonthAccessed>
    <b:DayAccessed>24</b:DayAccessed>
    <b:RefOrder>9</b:RefOrder>
  </b:Source>
  <b:Source>
    <b:Tag>Bus171</b:Tag>
    <b:SourceType>JournalArticle</b:SourceType>
    <b:Guid>{3E29D600-4EDF-4916-9886-A6E21CBAE39E}</b:Guid>
    <b:Title>Analysis of Affordance, Time, and Adaptation in the Assessment of Industrial Control System Cybersecurity Risk</b:Title>
    <b:JournalName>Risk Analysis: An International Journal</b:JournalName>
    <b:Year>2017</b:Year>
    <b:Pages>1298-1314</b:Pages>
    <b:Author>
      <b:Author>
        <b:NameList>
          <b:Person>
            <b:Last>Busby</b:Last>
            <b:First>J</b:First>
          </b:Person>
          <b:Person>
            <b:Last>Green</b:Last>
            <b:First>B</b:First>
          </b:Person>
          <b:Person>
            <b:Last>Hutchison</b:Last>
            <b:First>D</b:First>
          </b:Person>
        </b:NameList>
      </b:Author>
    </b:Author>
    <b:Volume>37</b:Volume>
    <b:Issue>7</b:Issue>
    <b:DOI>https://doi-org.proxy1.ncu.edu/10.1111/risa.12681</b:DOI>
    <b:RefOrder>10</b:RefOrder>
  </b:Source>
  <b:Source>
    <b:Tag>Dai191</b:Tag>
    <b:SourceType>ConferenceProceedings</b:SourceType>
    <b:Guid>{6BB9EB9D-CFEF-4D04-9B39-CA8D2C0DAB58}</b:Guid>
    <b:Title>Every Security Team is a Software Team Now</b:Title>
    <b:Year>2019</b:Year>
    <b:Author>
      <b:Author>
        <b:NameList>
          <b:Person>
            <b:Last>Dai Zovi</b:Last>
            <b:First>D</b:First>
          </b:Person>
        </b:NameList>
      </b:Author>
    </b:Author>
    <b:City>Las Vegas, NV, USA</b:City>
    <b:Publisher>Black Hat</b:Publisher>
    <b:Medium>Video</b:Medium>
    <b:YearAccessed>2020</b:YearAccessed>
    <b:MonthAccessed>May</b:MonthAccessed>
    <b:DayAccessed>9</b:DayAccessed>
    <b:URL>https://www.youtube.com/watch?v=8armE3Wz0jk</b:URL>
    <b:ConferenceName>Black Hat USA</b:ConferenceName>
    <b:RefOrder>11</b:RefOrder>
  </b:Source>
</b:Sources>
</file>

<file path=customXml/itemProps1.xml><?xml version="1.0" encoding="utf-8"?>
<ds:datastoreItem xmlns:ds="http://schemas.openxmlformats.org/officeDocument/2006/customXml" ds:itemID="{A5DDD1A2-FCD5-41CD-9B47-B1DD2A752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1104</TotalTime>
  <Pages>7</Pages>
  <Words>1320</Words>
  <Characters>7525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35</cp:revision>
  <dcterms:created xsi:type="dcterms:W3CDTF">2019-05-19T17:38:00Z</dcterms:created>
  <dcterms:modified xsi:type="dcterms:W3CDTF">2020-06-21T22:40:00Z</dcterms:modified>
</cp:coreProperties>
</file>