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17DA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06B8608E" w:rsidR="00D24E2E" w:rsidRDefault="00D24E2E" w:rsidP="00740932">
      <w:r>
        <w:tab/>
        <w:t xml:space="preserve">NCU Financial (NCU-F) is a matrix organization that uses decentralized development teams to build FinTech solutions.  This </w:t>
      </w:r>
      <w:r w:rsidR="00FB74D9">
        <w:t>software approach</w:t>
      </w:r>
      <w:r>
        <w:t xml:space="preserve"> enables the business to release features rapidly but at the cost of inconsistent process</w:t>
      </w:r>
      <w:r w:rsidR="00D64A72">
        <w:t>es and</w:t>
      </w:r>
      <w:r>
        <w:t xml:space="preserve"> maturity levels.  </w:t>
      </w:r>
      <w:r w:rsidR="00FB74D9">
        <w:t>Instead,</w:t>
      </w:r>
      <w:r>
        <w:t xml:space="preserve"> </w:t>
      </w:r>
      <w:r w:rsidR="00FB74D9">
        <w:t xml:space="preserve">the </w:t>
      </w:r>
      <w:r>
        <w:t xml:space="preserve">senior leadership team wants a model that promotes best practices around controls and secure software design.  An upcoming project </w:t>
      </w:r>
      <w:r w:rsidR="003825E6">
        <w:t xml:space="preserve">replaces the </w:t>
      </w:r>
      <w:r>
        <w:t>Enterprise Resource Planning (ERP)</w:t>
      </w:r>
      <w:r w:rsidR="003825E6">
        <w:t xml:space="preserve"> system</w:t>
      </w:r>
      <w:r w:rsidR="00D64A72">
        <w:t>, enabling customers to self-service various financial transactions</w:t>
      </w:r>
      <w:r w:rsidR="003825E6">
        <w:t xml:space="preserve">. </w:t>
      </w:r>
      <w:r w:rsidR="00237FD5">
        <w:t xml:space="preserve"> </w:t>
      </w:r>
      <w:r w:rsidR="003825E6">
        <w:t xml:space="preserve">This ERP system will </w:t>
      </w:r>
      <w:r w:rsidR="00237FD5">
        <w:t xml:space="preserve">also </w:t>
      </w:r>
      <w:r w:rsidR="003825E6">
        <w:t xml:space="preserve">serve as the example basis for that </w:t>
      </w:r>
      <w:r w:rsidR="00EC5732">
        <w:t xml:space="preserve">development </w:t>
      </w:r>
      <w:r w:rsidR="003825E6">
        <w:t>model</w:t>
      </w:r>
      <w:r w:rsidR="00EC5732">
        <w:t xml:space="preserve"> </w:t>
      </w:r>
      <w:r w:rsidR="00E45425">
        <w:t xml:space="preserve">and </w:t>
      </w:r>
      <w:r w:rsidR="003825E6">
        <w:t>used across future deliverables.</w:t>
      </w:r>
    </w:p>
    <w:p w14:paraId="23881E74" w14:textId="44ECACFA" w:rsidR="00800DCC" w:rsidRDefault="00800DCC" w:rsidP="00800DCC">
      <w:pPr>
        <w:pStyle w:val="Heading1"/>
      </w:pPr>
      <w:r>
        <w:t>Section I: Building the Model</w:t>
      </w:r>
    </w:p>
    <w:p w14:paraId="46B4DA5F" w14:textId="3FAABB42" w:rsidR="0045561E" w:rsidRPr="0045561E" w:rsidRDefault="0045561E" w:rsidP="0045561E">
      <w:r>
        <w:tab/>
        <w:t xml:space="preserve">Building a secure software development process requires a feedback loop </w:t>
      </w:r>
      <w:r w:rsidR="009B042E">
        <w:t>that</w:t>
      </w:r>
      <w:r>
        <w:t xml:space="preserve"> identif</w:t>
      </w:r>
      <w:r w:rsidR="009B042E">
        <w:t>ies</w:t>
      </w:r>
      <w:r>
        <w:t xml:space="preserve"> stakeholders, establishing priorities</w:t>
      </w:r>
      <w:r w:rsidR="009B042E">
        <w:t>,</w:t>
      </w:r>
      <w:r>
        <w:t xml:space="preserve"> </w:t>
      </w:r>
      <w:r w:rsidR="009B042E">
        <w:t>audits accreditation requirements, and releases a usable product (see Figure 1)</w:t>
      </w:r>
      <w:r>
        <w:t>.</w:t>
      </w:r>
      <w:r w:rsidR="009B042E">
        <w:t xml:space="preserve">  In parallel to this process are frequent requirement gatherings and considerations for data and application controls.</w:t>
      </w:r>
    </w:p>
    <w:p w14:paraId="66221A86" w14:textId="53141815" w:rsidR="0045561E" w:rsidRDefault="0045561E" w:rsidP="0045561E">
      <w:pPr>
        <w:pStyle w:val="Caption"/>
      </w:pPr>
      <w:r>
        <w:t>Figure 1: Building a model</w:t>
      </w:r>
    </w:p>
    <w:p w14:paraId="15251F63" w14:textId="57475203" w:rsidR="0045561E" w:rsidRPr="0045561E" w:rsidRDefault="0045561E" w:rsidP="0045561E">
      <w:pPr>
        <w:jc w:val="center"/>
      </w:pPr>
      <w:r>
        <w:rPr>
          <w:noProof/>
        </w:rPr>
        <w:drawing>
          <wp:inline distT="0" distB="0" distL="0" distR="0" wp14:anchorId="3C2B8371" wp14:editId="6DEDCFBC">
            <wp:extent cx="1949569" cy="18806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192B9101" w14:textId="3C3E982E" w:rsidR="00A24C80" w:rsidRPr="00A24C80" w:rsidRDefault="00A24C80" w:rsidP="00A24C80">
      <w:pPr>
        <w:pStyle w:val="Heading2"/>
      </w:pPr>
      <w:r>
        <w:t>Identify Stakeholder Incentives</w:t>
      </w:r>
    </w:p>
    <w:p w14:paraId="36AF77CF" w14:textId="0BCAD6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FB74D9">
        <w:t>are</w:t>
      </w:r>
      <w:r w:rsidR="004870B8">
        <w:t xml:space="preserve"> critical, or it </w:t>
      </w:r>
      <w:r w:rsidR="00FB74D9">
        <w:t xml:space="preserve">causes </w:t>
      </w:r>
      <w:r w:rsidR="00C46440">
        <w:t>distortion</w:t>
      </w:r>
      <w:r w:rsidR="004870B8">
        <w:t xml:space="preserve">, leading to </w:t>
      </w:r>
      <w:r w:rsidR="00C46440">
        <w:t>political confrontation</w:t>
      </w:r>
      <w:r w:rsidR="00896080">
        <w:t xml:space="preserve"> and critical </w:t>
      </w:r>
      <w:r w:rsidR="00896080">
        <w:lastRenderedPageBreak/>
        <w:t>misses</w:t>
      </w:r>
      <w:r w:rsidR="00C46440">
        <w:t>.</w:t>
      </w:r>
      <w:r w:rsidR="004870B8">
        <w:t xml:space="preserve">  These diverse ideas </w:t>
      </w:r>
      <w:r w:rsidR="0067749D">
        <w:t>originate from industry norms that seek to improve consistency, accuracy, and efficiencies</w:t>
      </w:r>
      <w:r w:rsidR="00896080">
        <w:t xml:space="preserve"> for different </w:t>
      </w:r>
      <w:r w:rsidR="00FB74D9">
        <w:t>business aspect</w:t>
      </w:r>
      <w:r w:rsidR="00896080">
        <w:t>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End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49DEC731" w:rsidR="00601D3E" w:rsidRDefault="00CB2B3F" w:rsidP="00601D3E">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4A7076B1" w:rsidR="00156F0D" w:rsidRDefault="00156F0D" w:rsidP="00156F0D">
      <w:r>
        <w:tab/>
        <w:t>The stakeholders need to reach a consensus on the overarching strategy for implementing the ERP system.  This strategy must be cognizant of the enterprise context (see Table 2) as part of appropriate scoping and costing decisions</w:t>
      </w:r>
      <w:sdt>
        <w:sdtPr>
          <w:id w:val="1658881260"/>
          <w:citation/>
        </w:sdtPr>
        <w:sdtEnd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work </w:t>
      </w:r>
      <w:r w:rsidR="00BD6E4A">
        <w:t xml:space="preserve">into buckets for </w:t>
      </w:r>
      <w:r w:rsidR="008C5DA5">
        <w:t>in-house versus outsourc</w:t>
      </w:r>
      <w:r w:rsidR="00BD6E4A">
        <w:t>ed teams</w:t>
      </w:r>
      <w:r w:rsidR="008C5DA5">
        <w:t xml:space="preserve">.  While in-house sourcing provides the most oversight and control, it can detract from other commitments and </w:t>
      </w:r>
      <w:r w:rsidR="008C5DA5">
        <w:lastRenderedPageBreak/>
        <w:t xml:space="preserve">core competencies.  For example, the ERP must schedule the execution of a sophisticated credit processing framework.  </w:t>
      </w:r>
      <w:r w:rsidR="00510022">
        <w:t xml:space="preserve">Building the </w:t>
      </w:r>
      <w:r w:rsidR="008C5DA5">
        <w:t>job scheduling component</w:t>
      </w:r>
      <w:r w:rsidR="00DF32D1">
        <w:t xml:space="preserve">s is </w:t>
      </w:r>
      <w:r w:rsidR="00510022">
        <w:t xml:space="preserve">a generic problem and </w:t>
      </w:r>
      <w:r w:rsidR="00DF32D1">
        <w:t>more easily</w:t>
      </w:r>
      <w:r w:rsidR="00510022">
        <w:t xml:space="preserve"> outsourced</w:t>
      </w:r>
      <w:r w:rsidR="00FB74D9">
        <w:t>.  It frees</w:t>
      </w:r>
      <w:r w:rsidR="008C5DA5">
        <w:t xml:space="preserve"> up NCU-F engineers to focus on the value differentiating aspect</w:t>
      </w:r>
      <w:r w:rsidR="004874FF">
        <w:t>s</w:t>
      </w:r>
      <w:r w:rsidR="008C5DA5">
        <w:t xml:space="preserve"> of the feature.</w:t>
      </w:r>
    </w:p>
    <w:p w14:paraId="4A454785" w14:textId="46319E61"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3595"/>
        <w:gridCol w:w="5755"/>
      </w:tblGrid>
      <w:tr w:rsidR="00A24C80" w14:paraId="4D3920C7" w14:textId="77777777" w:rsidTr="007D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AD28E9" w14:textId="3E445FC4" w:rsidR="00A24C80" w:rsidRDefault="00A24C80" w:rsidP="00A24C80">
            <w:pPr>
              <w:jc w:val="center"/>
            </w:pPr>
            <w:r>
              <w:t>Aspect</w:t>
            </w:r>
          </w:p>
        </w:tc>
        <w:tc>
          <w:tcPr>
            <w:tcW w:w="575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0B47A63" w14:textId="2779C614" w:rsidR="00A24C80" w:rsidRPr="00156F0D" w:rsidRDefault="00A24C80" w:rsidP="00A24C80">
            <w:pPr>
              <w:rPr>
                <w:b w:val="0"/>
                <w:bCs w:val="0"/>
              </w:rPr>
            </w:pPr>
            <w:r w:rsidRPr="00156F0D">
              <w:rPr>
                <w:b w:val="0"/>
                <w:bCs w:val="0"/>
              </w:rPr>
              <w:t>Company Mission</w:t>
            </w:r>
          </w:p>
        </w:tc>
        <w:tc>
          <w:tcPr>
            <w:tcW w:w="575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EA764CD" w14:textId="0238CAE6" w:rsidR="00A24C80" w:rsidRPr="00156F0D" w:rsidRDefault="00A24C80" w:rsidP="00A24C80">
            <w:pPr>
              <w:rPr>
                <w:b w:val="0"/>
                <w:bCs w:val="0"/>
              </w:rPr>
            </w:pPr>
            <w:r w:rsidRPr="00156F0D">
              <w:rPr>
                <w:b w:val="0"/>
                <w:bCs w:val="0"/>
              </w:rPr>
              <w:t>Company Strategy</w:t>
            </w:r>
          </w:p>
        </w:tc>
        <w:tc>
          <w:tcPr>
            <w:tcW w:w="575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388E4EC" w14:textId="5D2E70AB" w:rsidR="00A24C80" w:rsidRPr="00156F0D" w:rsidRDefault="00A24C80" w:rsidP="00A24C80">
            <w:pPr>
              <w:rPr>
                <w:b w:val="0"/>
                <w:bCs w:val="0"/>
              </w:rPr>
            </w:pPr>
            <w:r w:rsidRPr="00156F0D">
              <w:rPr>
                <w:b w:val="0"/>
                <w:bCs w:val="0"/>
              </w:rPr>
              <w:t>Risk profile</w:t>
            </w:r>
          </w:p>
        </w:tc>
        <w:tc>
          <w:tcPr>
            <w:tcW w:w="575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B86933B" w14:textId="59F36F31" w:rsidR="00A24C80" w:rsidRPr="00156F0D" w:rsidRDefault="00A24C80" w:rsidP="00A24C80">
            <w:pPr>
              <w:rPr>
                <w:b w:val="0"/>
                <w:bCs w:val="0"/>
              </w:rPr>
            </w:pPr>
            <w:r w:rsidRPr="00156F0D">
              <w:rPr>
                <w:b w:val="0"/>
                <w:bCs w:val="0"/>
              </w:rPr>
              <w:t>Existing commitments</w:t>
            </w:r>
          </w:p>
        </w:tc>
        <w:tc>
          <w:tcPr>
            <w:tcW w:w="575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C884744" w14:textId="35F1986B" w:rsidR="00A24C80" w:rsidRPr="00156F0D" w:rsidRDefault="00A24C80" w:rsidP="00A24C80">
            <w:pPr>
              <w:rPr>
                <w:b w:val="0"/>
                <w:bCs w:val="0"/>
              </w:rPr>
            </w:pPr>
            <w:r w:rsidRPr="00156F0D">
              <w:rPr>
                <w:b w:val="0"/>
                <w:bCs w:val="0"/>
              </w:rPr>
              <w:t>Industry-specific challenges</w:t>
            </w:r>
          </w:p>
        </w:tc>
        <w:tc>
          <w:tcPr>
            <w:tcW w:w="575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7101E7A2" w14:textId="25105AEC" w:rsidR="00156F0D" w:rsidRPr="00156F0D" w:rsidRDefault="00156F0D" w:rsidP="00A24C80">
            <w:pPr>
              <w:rPr>
                <w:b w:val="0"/>
                <w:bCs w:val="0"/>
              </w:rPr>
            </w:pPr>
            <w:r w:rsidRPr="00156F0D">
              <w:rPr>
                <w:b w:val="0"/>
                <w:bCs w:val="0"/>
              </w:rPr>
              <w:t>Resource Availability</w:t>
            </w:r>
          </w:p>
        </w:tc>
        <w:tc>
          <w:tcPr>
            <w:tcW w:w="575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655D7A6" w14:textId="18EFE139" w:rsidR="008C5DA5" w:rsidRPr="00156F0D" w:rsidRDefault="008C5DA5" w:rsidP="00A24C80">
            <w:pPr>
              <w:rPr>
                <w:b w:val="0"/>
                <w:bCs w:val="0"/>
              </w:rPr>
            </w:pPr>
            <w:r>
              <w:rPr>
                <w:b w:val="0"/>
                <w:bCs w:val="0"/>
              </w:rPr>
              <w:t>Core Competencies</w:t>
            </w:r>
          </w:p>
        </w:tc>
        <w:tc>
          <w:tcPr>
            <w:tcW w:w="575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387D71DB" w14:textId="77777777" w:rsidR="005E236A" w:rsidRDefault="005E236A" w:rsidP="005E236A"/>
    <w:p w14:paraId="47B971A3" w14:textId="71E69747" w:rsidR="00A24C80" w:rsidRDefault="00A9615B" w:rsidP="00A9615B">
      <w:pPr>
        <w:pStyle w:val="Heading2"/>
      </w:pPr>
      <w:r>
        <w:t>Establish Timelines and Priorities</w:t>
      </w:r>
    </w:p>
    <w:p w14:paraId="1E2676B5" w14:textId="680BB798" w:rsidR="006A2D4D" w:rsidRDefault="006A2D4D" w:rsidP="006A2D4D">
      <w:pPr>
        <w:ind w:firstLine="36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t>.  Partial mitigat</w:t>
      </w:r>
      <w:r w:rsidR="00DF32D1">
        <w:t>ion</w:t>
      </w:r>
      <w:r>
        <w:t xml:space="preserve"> </w:t>
      </w:r>
      <w:r w:rsidR="00DF32D1">
        <w:t xml:space="preserve">comes from an </w:t>
      </w:r>
      <w:r>
        <w:t xml:space="preserve">iterative design that articulates the barebones solution and lays out a path through multi-release strategies.  For instance, </w:t>
      </w:r>
      <w:r w:rsidR="00FB74D9">
        <w:t>the ERP system has rigid requirements</w:t>
      </w:r>
      <w:r>
        <w:t xml:space="preserve"> </w:t>
      </w:r>
      <w:r w:rsidR="00FB74D9">
        <w:t xml:space="preserve">for </w:t>
      </w:r>
      <w:r>
        <w:t>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End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w:t>
      </w:r>
      <w:r w:rsidR="00FB74D9">
        <w:t>ssessing</w:t>
      </w:r>
      <w:r w:rsidR="009C2362">
        <w:t xml:space="preserve"> the inherent risks </w:t>
      </w:r>
      <w:r w:rsidR="00FB74D9">
        <w:t xml:space="preserve">before </w:t>
      </w:r>
      <w:r w:rsidR="009C2362">
        <w:t>deciding which outcome is most palatable (see Table 3).</w:t>
      </w:r>
    </w:p>
    <w:p w14:paraId="7B968F7A" w14:textId="77777777" w:rsidR="007A499E" w:rsidRDefault="007A499E" w:rsidP="006A2D4D">
      <w:pPr>
        <w:ind w:firstLine="360"/>
      </w:pPr>
    </w:p>
    <w:p w14:paraId="426635D4" w14:textId="77777777" w:rsidR="00A4028A" w:rsidRDefault="00A4028A">
      <w:pPr>
        <w:rPr>
          <w:sz w:val="18"/>
          <w:szCs w:val="18"/>
        </w:rPr>
      </w:pPr>
      <w:r>
        <w:br w:type="page"/>
      </w:r>
    </w:p>
    <w:p w14:paraId="72D473D8" w14:textId="642A35FE" w:rsidR="004363B0" w:rsidRDefault="004363B0" w:rsidP="004363B0">
      <w:pPr>
        <w:pStyle w:val="Caption"/>
      </w:pPr>
      <w:r>
        <w:lastRenderedPageBreak/>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7BB21497" w14:textId="77777777" w:rsidR="0045561E" w:rsidRDefault="0045561E" w:rsidP="0045561E"/>
    <w:p w14:paraId="08318528" w14:textId="79CCCFED" w:rsidR="004363B0" w:rsidRDefault="00C341A0" w:rsidP="00C341A0">
      <w:pPr>
        <w:pStyle w:val="Heading2"/>
      </w:pPr>
      <w:r>
        <w:t>Performing Database and Application Testing</w:t>
      </w:r>
    </w:p>
    <w:p w14:paraId="29C26F77" w14:textId="246DFC63" w:rsidR="00C85BF5" w:rsidRDefault="002676C2" w:rsidP="0081430F">
      <w:r>
        <w:tab/>
      </w:r>
      <w:r w:rsidR="00C85BF5">
        <w:t>T</w:t>
      </w:r>
      <w:r w:rsidR="0081430F">
        <w:t>he credit card processing module takes one minute to complete</w:t>
      </w:r>
      <w:r w:rsidR="00C85BF5">
        <w:t xml:space="preserve"> and succeeds 99% of the time</w:t>
      </w:r>
      <w:r w:rsidR="00FB74D9">
        <w:t>.  I</w:t>
      </w:r>
      <w:r w:rsidR="0081430F">
        <w:t xml:space="preserve">s that </w:t>
      </w:r>
      <w:r w:rsidR="00FB74D9">
        <w:t xml:space="preserve">outcome </w:t>
      </w:r>
      <w:r w:rsidR="0081430F">
        <w:t xml:space="preserve">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w:t>
      </w:r>
      <w:r w:rsidR="00FB74D9">
        <w:t>Quality of Service measurements</w:t>
      </w:r>
      <w:r w:rsidR="00611165">
        <w:t xml:space="preserv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End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it indicates controls are missing from the system (see Table 4).  For instance, when a customer uploads their mortgage application, they expect to p</w:t>
      </w:r>
      <w:r w:rsidR="00FB74D9">
        <w:t>romptly perform that action</w:t>
      </w:r>
      <w:r w:rsidR="00611165">
        <w:t xml:space="preserve"> </w:t>
      </w:r>
      <w:r w:rsidR="00FB74D9">
        <w:t xml:space="preserve">before the </w:t>
      </w:r>
      <w:r w:rsidR="00611165">
        <w:t>system respond</w:t>
      </w:r>
      <w:r w:rsidR="00FB74D9">
        <w:t>s</w:t>
      </w:r>
      <w:r w:rsidR="00611165">
        <w:t xml:space="preserve">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5D80CDB5"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w:t>
            </w:r>
            <w:r w:rsidR="00D56DD0">
              <w:t xml:space="preserve"> of</w:t>
            </w:r>
            <w:r>
              <w:t xml:space="preserve">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5833CDA4"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w:t>
            </w:r>
            <w:r w:rsidR="00107FC4">
              <w:t>’</w:t>
            </w:r>
            <w:r>
              <w: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lastRenderedPageBreak/>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19BA0181" w14:textId="2A781D29" w:rsidR="00A24C80" w:rsidRDefault="001D1A65" w:rsidP="005E236A">
      <w:r>
        <w:tab/>
      </w:r>
      <w:r w:rsidR="00C82B52">
        <w:t xml:space="preserve">Businesses within regulated environments can only transact with vendors that meet specific compliance and accreditation standards.  These regulations come from industry, state,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End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r w:rsidR="00E97259">
        <w:t>For instance, GDPR states that businesses must secure user privacy or pay severe fines</w:t>
      </w:r>
      <w:sdt>
        <w:sdtPr>
          <w:id w:val="1516958981"/>
          <w:citation/>
        </w:sdtPr>
        <w:sdtEndPr/>
        <w:sdtContent>
          <w:r w:rsidR="00E97259">
            <w:fldChar w:fldCharType="begin"/>
          </w:r>
          <w:r w:rsidR="00E97259">
            <w:instrText xml:space="preserve"> CITATION Kov18 \l 1033 </w:instrText>
          </w:r>
          <w:r w:rsidR="00E97259">
            <w:fldChar w:fldCharType="separate"/>
          </w:r>
          <w:r w:rsidR="00E97259">
            <w:rPr>
              <w:noProof/>
            </w:rPr>
            <w:t xml:space="preserve"> (Kovacs, 2017)</w:t>
          </w:r>
          <w:r w:rsidR="00E97259">
            <w:fldChar w:fldCharType="end"/>
          </w:r>
        </w:sdtContent>
      </w:sdt>
      <w:r w:rsidR="00E97259">
        <w:t>.  Perhaps the initial release has sufficient controls, but future features might increase the attack surface and cause the system to fall out of compliance.  Alternatively, the 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Figure 1: Accreditation Loop</w:t>
      </w:r>
    </w:p>
    <w:p w14:paraId="5E9EDA43" w14:textId="6D7B4972" w:rsidR="00E97259" w:rsidRPr="00800DCC" w:rsidRDefault="00E97259" w:rsidP="00E97259">
      <w:pPr>
        <w:jc w:val="center"/>
      </w:pPr>
      <w:r>
        <w:rPr>
          <w:noProof/>
        </w:rPr>
        <w:drawing>
          <wp:inline distT="0" distB="0" distL="0" distR="0" wp14:anchorId="66268754" wp14:editId="51EBA237">
            <wp:extent cx="2049752" cy="1979874"/>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0304" cy="2154271"/>
                    </a:xfrm>
                    <a:prstGeom prst="rect">
                      <a:avLst/>
                    </a:prstGeom>
                    <a:noFill/>
                    <a:ln>
                      <a:noFill/>
                    </a:ln>
                  </pic:spPr>
                </pic:pic>
              </a:graphicData>
            </a:graphic>
          </wp:inline>
        </w:drawing>
      </w:r>
    </w:p>
    <w:p w14:paraId="19CCF7C0" w14:textId="77777777" w:rsidR="006A4E86" w:rsidRDefault="006A4E86" w:rsidP="006A4E86">
      <w:pPr>
        <w:pStyle w:val="Heading2"/>
      </w:pPr>
      <w:r>
        <w:lastRenderedPageBreak/>
        <w:t>Usability Testing</w:t>
      </w:r>
    </w:p>
    <w:p w14:paraId="029881E1" w14:textId="2AE4571C" w:rsidR="006A4E86" w:rsidRPr="006A4E86" w:rsidRDefault="006A4E86" w:rsidP="006A4E86">
      <w:r>
        <w:tab/>
        <w:t>The system’s audience can include people with international addresses, Unicode characters in their names, and similar locale-specific data entry decisions</w:t>
      </w:r>
      <w:r w:rsidR="004F4086">
        <w:t>.</w:t>
      </w:r>
      <w:r>
        <w:t xml:space="preserve"> </w:t>
      </w:r>
      <w:r w:rsidR="004F4086">
        <w:t xml:space="preserve"> Addressing</w:t>
      </w:r>
      <w:r>
        <w:t xml:space="preserve"> these challenges requires the stakeholders to identify which markets will consume the product and what cultural norms might exist</w:t>
      </w:r>
      <w:r w:rsidR="004F4086">
        <w:t xml:space="preserve"> (see Table 5).</w:t>
      </w:r>
      <w:r>
        <w:t xml:space="preserve">  For instance, if the ERP system must service customers with slow and unreliable networks, then specific design decisions </w:t>
      </w:r>
      <w:r w:rsidR="00017728">
        <w:t xml:space="preserve">like </w:t>
      </w:r>
      <w:r>
        <w:t>limiting the inclusion of high-resolution graphics, audio files, and streaming video</w:t>
      </w:r>
      <w:r w:rsidR="00017728">
        <w:t xml:space="preserve"> might be necessary</w:t>
      </w:r>
      <w:r>
        <w:t xml:space="preserve">.  When these bandwidth considerations are lacking, the product is </w:t>
      </w:r>
      <w:r w:rsidR="00FB74D9">
        <w:t>virtual</w:t>
      </w:r>
      <w:r>
        <w:t>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09124501" w14:textId="77777777" w:rsidR="00017728" w:rsidRDefault="00017728" w:rsidP="00017728"/>
    <w:p w14:paraId="41B9801E" w14:textId="4CAC4CFC" w:rsidR="006A4E86" w:rsidRDefault="00276BBD" w:rsidP="00276BBD">
      <w:pPr>
        <w:pStyle w:val="Heading2"/>
      </w:pPr>
      <w:r>
        <w:t>Software Development Lifecycle (SDLC)</w:t>
      </w:r>
    </w:p>
    <w:p w14:paraId="053515D2" w14:textId="4654EDF5" w:rsidR="008352BA" w:rsidRDefault="00276BBD" w:rsidP="006A4E86">
      <w:r>
        <w:tab/>
        <w:t>SDLC includes planning, analysis, design, implementation, maintenance, and termination</w:t>
      </w:r>
      <w:r w:rsidR="005553E4">
        <w:t xml:space="preserve"> stages</w:t>
      </w:r>
      <w:sdt>
        <w:sdtPr>
          <w:id w:val="411041506"/>
          <w:citation/>
        </w:sdtPr>
        <w:sdtEnd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Discovering and resolving issues earlier in this development lifecycle are substantially cheaper tha</w:t>
      </w:r>
      <w:r w:rsidR="00FB74D9">
        <w:t>n</w:t>
      </w:r>
      <w:r w:rsidR="008352BA">
        <w:t xml:space="preserve">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 xml:space="preserve">Introducing controls and processes between each step will improve </w:t>
      </w:r>
      <w:r w:rsidR="00FB74D9">
        <w:t xml:space="preserve">a </w:t>
      </w:r>
      <w:r w:rsidR="00FB74D9">
        <w:lastRenderedPageBreak/>
        <w:t>successful project's chances</w:t>
      </w:r>
      <w:r w:rsidR="00277276">
        <w:t xml:space="preserve">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1350108F" w14:textId="55E6901F" w:rsidR="00040EF1" w:rsidRDefault="00277276" w:rsidP="00040EF1">
      <w:pPr>
        <w:pStyle w:val="Heading1"/>
      </w:pPr>
      <w:r>
        <w:t xml:space="preserve">Section II: </w:t>
      </w:r>
      <w:r w:rsidR="00800DCC">
        <w:t>Recommendation for data and application control</w:t>
      </w:r>
      <w:r>
        <w:t>s</w:t>
      </w:r>
    </w:p>
    <w:p w14:paraId="164B86B1" w14:textId="61A548FC" w:rsidR="00C44120" w:rsidRDefault="00040EF1" w:rsidP="00C44120">
      <w:pPr>
        <w:ind w:firstLine="720"/>
      </w:pPr>
      <w:r>
        <w:t xml:space="preserve">The primary objective of data controls is to ensure information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r w:rsidR="000528AC">
        <w:t xml:space="preserve">For example, </w:t>
      </w:r>
      <w:r w:rsidR="0043203F">
        <w:t xml:space="preserve">Alice </w:t>
      </w:r>
      <w:r w:rsidR="000528AC">
        <w:t xml:space="preserve">cannot directly access a production secret but can delegate the request through a web server (see Figure 3).  </w:t>
      </w:r>
      <w:r w:rsidR="00017728">
        <w:t>In t</w:t>
      </w:r>
      <w:r w:rsidR="000528AC">
        <w:t>his situation</w:t>
      </w:r>
      <w:r w:rsidR="008720D3">
        <w:t>,</w:t>
      </w:r>
      <w:r w:rsidR="000528AC">
        <w:t xml:space="preserve"> authentication</w:t>
      </w:r>
      <w:r w:rsidR="008720D3">
        <w:t xml:space="preserve">, </w:t>
      </w:r>
      <w:r w:rsidR="000528AC">
        <w:t>authorization</w:t>
      </w:r>
      <w:r w:rsidR="008720D3">
        <w:t>, and auditing (AAA)</w:t>
      </w:r>
      <w:r w:rsidR="000528AC">
        <w:t xml:space="preserve"> controls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End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w:t>
      </w:r>
      <w:r w:rsidR="008720D3">
        <w:t>authenticate and control the management service and then fetch the secret through an intermediary</w:t>
      </w:r>
      <w:r w:rsidR="00B30124">
        <w:t xml:space="preserve">.  </w:t>
      </w:r>
      <w:proofErr w:type="gramStart"/>
      <w:r w:rsidR="00B30124">
        <w:t>Similar to</w:t>
      </w:r>
      <w:proofErr w:type="gramEnd"/>
      <w:r w:rsidR="00B30124">
        <w:t xml:space="preserve"> the previous example, the mitigation requires passing the caller identity so that </w:t>
      </w:r>
      <w:r w:rsidR="008720D3">
        <w:t xml:space="preserve">AAA </w:t>
      </w:r>
      <w:r w:rsidR="00B30124">
        <w:t xml:space="preserve">checks </w:t>
      </w:r>
      <w:r w:rsidR="008720D3">
        <w:t>thoroughly protect</w:t>
      </w:r>
      <w:r w:rsidR="00FB74D9">
        <w:t>s</w:t>
      </w:r>
      <w:r w:rsidR="008720D3">
        <w:t xml:space="preserve"> the path</w:t>
      </w:r>
      <w:r w:rsidR="00B30124">
        <w:t xml:space="preserve">.  Under specific scenarios, </w:t>
      </w:r>
      <w:r w:rsidR="00B30124">
        <w:lastRenderedPageBreak/>
        <w:t xml:space="preserve">adding these checks is </w:t>
      </w:r>
      <w:r w:rsidR="00FB74D9">
        <w:t>im</w:t>
      </w:r>
      <w:r w:rsidR="00B30124">
        <w:t>possible, and that requires more reliance on auditing and detection policies.</w:t>
      </w:r>
    </w:p>
    <w:tbl>
      <w:tblPr>
        <w:tblStyle w:val="TableGrid"/>
        <w:tblW w:w="9498" w:type="dxa"/>
        <w:tblLook w:val="04A0" w:firstRow="1" w:lastRow="0" w:firstColumn="1" w:lastColumn="0" w:noHBand="0" w:noVBand="1"/>
      </w:tblPr>
      <w:tblGrid>
        <w:gridCol w:w="5136"/>
        <w:gridCol w:w="4362"/>
      </w:tblGrid>
      <w:tr w:rsidR="00653555" w14:paraId="0511E4BE" w14:textId="77777777" w:rsidTr="00E238D2">
        <w:trPr>
          <w:trHeight w:val="3428"/>
        </w:trPr>
        <w:tc>
          <w:tcPr>
            <w:tcW w:w="4749" w:type="dxa"/>
          </w:tcPr>
          <w:p w14:paraId="5AAD0723" w14:textId="5489F386" w:rsidR="00C44120" w:rsidRDefault="00C44120" w:rsidP="00C44120">
            <w:pPr>
              <w:pStyle w:val="Caption"/>
            </w:pPr>
            <w:r>
              <w:t>Figure 2: Control Taxonomy</w:t>
            </w:r>
          </w:p>
          <w:p w14:paraId="509A70AA" w14:textId="51E28F91" w:rsidR="00C44120" w:rsidRDefault="00C44120" w:rsidP="00C44120">
            <w:pPr>
              <w:jc w:val="center"/>
            </w:pPr>
            <w:r>
              <w:rPr>
                <w:noProof/>
              </w:rPr>
              <w:drawing>
                <wp:inline distT="0" distB="0" distL="0" distR="0" wp14:anchorId="4ABEFB45" wp14:editId="1266759F">
                  <wp:extent cx="3124763" cy="2137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9214" cy="2283815"/>
                          </a:xfrm>
                          <a:prstGeom prst="rect">
                            <a:avLst/>
                          </a:prstGeom>
                          <a:noFill/>
                          <a:ln>
                            <a:noFill/>
                          </a:ln>
                        </pic:spPr>
                      </pic:pic>
                    </a:graphicData>
                  </a:graphic>
                </wp:inline>
              </w:drawing>
            </w:r>
          </w:p>
        </w:tc>
        <w:tc>
          <w:tcPr>
            <w:tcW w:w="4749" w:type="dxa"/>
          </w:tcPr>
          <w:p w14:paraId="095FB161" w14:textId="58E9F708" w:rsidR="00C44120" w:rsidRDefault="00C44120" w:rsidP="0043203F">
            <w:pPr>
              <w:pStyle w:val="Caption"/>
            </w:pPr>
            <w:r>
              <w:t>Figure 3: Application Controls</w:t>
            </w:r>
          </w:p>
          <w:p w14:paraId="4FE0FB34" w14:textId="4C2A2F26" w:rsidR="00C44120" w:rsidRDefault="00C44120" w:rsidP="00C44120">
            <w:pPr>
              <w:jc w:val="center"/>
            </w:pPr>
            <w:r>
              <w:rPr>
                <w:noProof/>
              </w:rPr>
              <w:drawing>
                <wp:inline distT="0" distB="0" distL="0" distR="0" wp14:anchorId="2AABD57C" wp14:editId="39C40755">
                  <wp:extent cx="2386577" cy="23178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482" cy="2535359"/>
                          </a:xfrm>
                          <a:prstGeom prst="rect">
                            <a:avLst/>
                          </a:prstGeom>
                        </pic:spPr>
                      </pic:pic>
                    </a:graphicData>
                  </a:graphic>
                </wp:inline>
              </w:drawing>
            </w:r>
          </w:p>
        </w:tc>
      </w:tr>
    </w:tbl>
    <w:p w14:paraId="63901300" w14:textId="77777777" w:rsidR="00C44120" w:rsidRDefault="00C44120" w:rsidP="00C44120"/>
    <w:p w14:paraId="4E941A7D" w14:textId="35C4E66D" w:rsidR="00740932" w:rsidRDefault="002C4257" w:rsidP="002C4257">
      <w:pPr>
        <w:pStyle w:val="Heading1"/>
      </w:pPr>
      <w:r>
        <w:t xml:space="preserve">Section III: </w:t>
      </w:r>
      <w:r w:rsidR="00740932">
        <w:t>Comparison of development strategies</w:t>
      </w:r>
    </w:p>
    <w:p w14:paraId="4DA81AF5" w14:textId="66D5D35C" w:rsidR="00D83B28" w:rsidRDefault="006C07B3" w:rsidP="00605CE6">
      <w:r>
        <w:tab/>
        <w:t xml:space="preserve">There are several development process strategies available, each with </w:t>
      </w:r>
      <w:r w:rsidR="008720D3">
        <w:t>its</w:t>
      </w:r>
      <w:r>
        <w:t xml:space="preserve"> strengths and weaknesses (see Table 7).  While many enterprises see Waterfall as an anarchic relic and fully embrace Agile, this perspective neglects to account for the organization’s culture, timelines, and objectives.</w:t>
      </w:r>
      <w:r w:rsidR="00902FC2">
        <w:t xml:space="preserve">  For instance, software that is difficult to patch, like IoT devices, </w:t>
      </w:r>
      <w:r w:rsidR="00FB74D9">
        <w:t>is likely to gain upfront planning strengths</w:t>
      </w:r>
      <w:r w:rsidR="00902FC2">
        <w:t>.</w:t>
      </w:r>
      <w:r w:rsidR="0010239E">
        <w:t xml:space="preserve">  There can also be </w:t>
      </w:r>
      <w:r w:rsidR="008720D3">
        <w:t xml:space="preserve">value in using different strategies during specific stages of the project.  For example, during the more ambiguous beginning, </w:t>
      </w:r>
      <w:r w:rsidR="0010239E">
        <w:t xml:space="preserve">using RAD to prototype </w:t>
      </w:r>
      <w:r w:rsidR="008720D3">
        <w:t>to iterate quickly</w:t>
      </w:r>
      <w:r w:rsidR="0010239E">
        <w:t xml:space="preserve">.  Once the design formalizes, transitioning to a </w:t>
      </w:r>
      <w:r w:rsidR="00FB74D9">
        <w:t xml:space="preserve">Spiral or similar </w:t>
      </w:r>
      <w:r w:rsidR="0010239E">
        <w:t>can follow a ‘</w:t>
      </w:r>
      <w:r w:rsidR="00FB74D9">
        <w:t>P</w:t>
      </w:r>
      <w:r w:rsidR="0010239E">
        <w:t>lan-</w:t>
      </w:r>
      <w:r w:rsidR="00FB74D9">
        <w:t>D</w:t>
      </w:r>
      <w:r w:rsidR="0010239E">
        <w:t>o-</w:t>
      </w:r>
      <w:r w:rsidR="00FB74D9">
        <w:t>A</w:t>
      </w:r>
      <w:r w:rsidR="0010239E">
        <w:t>ct-</w:t>
      </w:r>
      <w:r w:rsidR="00FB74D9">
        <w:t>C</w:t>
      </w:r>
      <w:r w:rsidR="0010239E">
        <w:t>heck’ loop that addresses the most critical items first</w:t>
      </w:r>
      <w:r w:rsidR="00135E2F">
        <w:t>.</w:t>
      </w:r>
      <w:r w:rsidR="00FC3313">
        <w:t xml:space="preserve">  </w:t>
      </w:r>
    </w:p>
    <w:p w14:paraId="33858CEA" w14:textId="306A1370" w:rsidR="000A3E23" w:rsidRPr="00605CE6" w:rsidRDefault="00FC3313" w:rsidP="00D83B28">
      <w:pPr>
        <w:ind w:firstLine="720"/>
      </w:pPr>
      <w:r>
        <w:t>However</w:t>
      </w:r>
      <w:r w:rsidR="004D4FF5">
        <w:t>,</w:t>
      </w:r>
      <w:r>
        <w:t xml:space="preserve"> a</w:t>
      </w:r>
      <w:r w:rsidR="000A3E23">
        <w:t xml:space="preserve">gile methodology is fundamentally a greedy algorithm, which continuously seeks the local optima by performing the task that gains the maximum immediate benefit.  In contrast, frameworks like Waterfall focus on longer-term planning </w:t>
      </w:r>
      <w:r w:rsidR="009D0521">
        <w:t>for</w:t>
      </w:r>
      <w:r w:rsidR="000A3E23">
        <w:t xml:space="preserve"> reaching the global maxima.  A potential optimization exists where Waterfall-like strategies continue to occur within </w:t>
      </w:r>
      <w:r w:rsidR="000A3E23">
        <w:lastRenderedPageBreak/>
        <w:t>the leadership team versus agile remains at the lower-levels.  Through a combination of long and short-sighted decisions, the organization is both directed and adaptive to change.</w:t>
      </w:r>
    </w:p>
    <w:p w14:paraId="62B3815C" w14:textId="5B9FECD6" w:rsidR="00306346" w:rsidRPr="00306346" w:rsidRDefault="00306346" w:rsidP="00306346">
      <w:pPr>
        <w:pStyle w:val="Caption"/>
      </w:pPr>
      <w:r>
        <w:t>Table 7: Development Strategies</w:t>
      </w:r>
    </w:p>
    <w:tbl>
      <w:tblPr>
        <w:tblStyle w:val="GridTable4"/>
        <w:tblW w:w="0" w:type="auto"/>
        <w:tblLook w:val="04A0" w:firstRow="1" w:lastRow="0" w:firstColumn="1" w:lastColumn="0" w:noHBand="0" w:noVBand="1"/>
      </w:tblPr>
      <w:tblGrid>
        <w:gridCol w:w="2065"/>
        <w:gridCol w:w="2380"/>
        <w:gridCol w:w="2440"/>
        <w:gridCol w:w="2465"/>
      </w:tblGrid>
      <w:tr w:rsidR="0095163A" w14:paraId="0ADBC909" w14:textId="77777777" w:rsidTr="0030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ED81DC" w14:textId="52DE3031" w:rsidR="0095163A" w:rsidRDefault="0095163A" w:rsidP="009C4D49">
            <w:r>
              <w:t>Process Type</w:t>
            </w:r>
          </w:p>
        </w:tc>
        <w:tc>
          <w:tcPr>
            <w:tcW w:w="2380"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E05252" w14:textId="7258724C" w:rsidR="0095163A" w:rsidRDefault="0095163A" w:rsidP="009C4D49">
            <w:r>
              <w:t>Waterfall</w:t>
            </w:r>
            <w:sdt>
              <w:sdtPr>
                <w:id w:val="489765445"/>
                <w:citation/>
              </w:sdtPr>
              <w:sdtEnd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18E85E7E"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rsidR="00306346">
              <w:br/>
            </w:r>
            <w:r>
              <w:br/>
              <w:t>Assertions disproven later are costly</w:t>
            </w:r>
          </w:p>
        </w:tc>
      </w:tr>
      <w:tr w:rsidR="0095163A" w14:paraId="1FE1A026"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4E16B568" w14:textId="423D1091" w:rsidR="0095163A" w:rsidRPr="0095163A" w:rsidRDefault="0095163A" w:rsidP="009C4D49">
            <w:pPr>
              <w:rPr>
                <w:b w:val="0"/>
                <w:bCs w:val="0"/>
              </w:rPr>
            </w:pPr>
            <w:r>
              <w:t>Spiral</w:t>
            </w:r>
            <w:r w:rsidRPr="0095163A">
              <w:rPr>
                <w:b w:val="0"/>
                <w:bCs w:val="0"/>
              </w:rPr>
              <w:br/>
            </w:r>
            <w:sdt>
              <w:sdtPr>
                <w:id w:val="642314111"/>
                <w:citation/>
              </w:sdtPr>
              <w:sdtEndPr/>
              <w:sdtContent>
                <w:r w:rsidRPr="0095163A">
                  <w:fldChar w:fldCharType="begin"/>
                </w:r>
                <w:r w:rsidRPr="0095163A">
                  <w:rPr>
                    <w:b w:val="0"/>
                    <w:bCs w:val="0"/>
                  </w:rPr>
                  <w:instrText xml:space="preserve"> CITATION Eas20 \l 1033 </w:instrText>
                </w:r>
                <w:r w:rsidRPr="0095163A">
                  <w:fldChar w:fldCharType="separate"/>
                </w:r>
                <w:r w:rsidRPr="0095163A">
                  <w:rPr>
                    <w:b w:val="0"/>
                    <w:bCs w:val="0"/>
                    <w:noProof/>
                  </w:rPr>
                  <w:t>(Easy Learning, 2020)</w:t>
                </w:r>
                <w:r w:rsidRPr="0095163A">
                  <w:fldChar w:fldCharType="end"/>
                </w:r>
              </w:sdtContent>
            </w:sdt>
          </w:p>
        </w:tc>
        <w:tc>
          <w:tcPr>
            <w:tcW w:w="2380" w:type="dxa"/>
          </w:tcPr>
          <w:p w14:paraId="55EB6F9D" w14:textId="2560CC73" w:rsidR="0095163A" w:rsidRDefault="0095163A" w:rsidP="009C4D49">
            <w:pPr>
              <w:cnfStyle w:val="000000000000" w:firstRow="0" w:lastRow="0" w:firstColumn="0" w:lastColumn="0" w:oddVBand="0" w:evenVBand="0" w:oddHBand="0" w:evenHBand="0" w:firstRowFirstColumn="0" w:firstRowLastColumn="0" w:lastRowFirstColumn="0" w:lastRowLastColumn="0"/>
            </w:pPr>
            <w:r>
              <w:t>Loop of plan</w:t>
            </w:r>
            <w:r w:rsidR="00702D70">
              <w:t>ning</w:t>
            </w:r>
            <w:r>
              <w:t>, risk assessment, development, and evaluation</w:t>
            </w:r>
          </w:p>
        </w:tc>
        <w:tc>
          <w:tcPr>
            <w:tcW w:w="2440" w:type="dxa"/>
          </w:tcPr>
          <w:p w14:paraId="583A42D4" w14:textId="42BC24C2"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A7E9F2" w14:textId="42C9BA07" w:rsidR="0095163A" w:rsidRDefault="0095163A" w:rsidP="009C4D49">
            <w:r>
              <w:t>Rapid Development</w:t>
            </w:r>
            <w:sdt>
              <w:sdtPr>
                <w:id w:val="-1699147433"/>
                <w:citation/>
              </w:sdtPr>
              <w:sdtEndPr/>
              <w:sdtContent>
                <w:r w:rsidR="00702D70" w:rsidRPr="00702D70">
                  <w:fldChar w:fldCharType="begin"/>
                </w:r>
                <w:r w:rsidR="00702D70" w:rsidRPr="00702D70">
                  <w:rPr>
                    <w:b w:val="0"/>
                    <w:bCs w:val="0"/>
                  </w:rPr>
                  <w:instrText xml:space="preserve"> CITATION Ide17 \l 1033 </w:instrText>
                </w:r>
                <w:r w:rsidR="00702D70" w:rsidRPr="00702D70">
                  <w:fldChar w:fldCharType="separate"/>
                </w:r>
                <w:r w:rsidR="00702D70" w:rsidRPr="00702D70">
                  <w:rPr>
                    <w:b w:val="0"/>
                    <w:bCs w:val="0"/>
                    <w:noProof/>
                  </w:rPr>
                  <w:t xml:space="preserve"> (Idesis, 2017)</w:t>
                </w:r>
                <w:r w:rsidR="00702D70" w:rsidRPr="00702D70">
                  <w:fldChar w:fldCharType="end"/>
                </w:r>
              </w:sdtContent>
            </w:sdt>
          </w:p>
        </w:tc>
        <w:tc>
          <w:tcPr>
            <w:tcW w:w="2380" w:type="dxa"/>
          </w:tcPr>
          <w:p w14:paraId="74D17149" w14:textId="6DD20782" w:rsidR="0095163A" w:rsidRDefault="00702D70" w:rsidP="009C4D49">
            <w:pPr>
              <w:cnfStyle w:val="000000100000" w:firstRow="0" w:lastRow="0" w:firstColumn="0" w:lastColumn="0" w:oddVBand="0" w:evenVBand="0" w:oddHBand="1" w:evenHBand="0" w:firstRowFirstColumn="0" w:firstRowLastColumn="0" w:lastRowFirstColumn="0" w:lastRowLastColumn="0"/>
            </w:pPr>
            <w:r>
              <w:t>Software is clay, not steel</w:t>
            </w:r>
            <w:r w:rsidR="00306346">
              <w:t>.</w:t>
            </w:r>
            <w:r w:rsidR="00306346">
              <w:br/>
            </w:r>
            <w:r w:rsidR="00306346">
              <w:br/>
              <w:t>Rapid prototyping with continuous customer feedback</w:t>
            </w:r>
          </w:p>
        </w:tc>
        <w:tc>
          <w:tcPr>
            <w:tcW w:w="2440" w:type="dxa"/>
          </w:tcPr>
          <w:p w14:paraId="0BC6D198" w14:textId="747EF5E6" w:rsidR="0095163A" w:rsidRDefault="00306346" w:rsidP="009C4D49">
            <w:pPr>
              <w:cnfStyle w:val="000000100000" w:firstRow="0" w:lastRow="0" w:firstColumn="0" w:lastColumn="0" w:oddVBand="0" w:evenVBand="0" w:oddHBand="1" w:evenHBand="0" w:firstRowFirstColumn="0" w:firstRowLastColumn="0" w:lastRowFirstColumn="0" w:lastRowLastColumn="0"/>
            </w:pPr>
            <w:r>
              <w:t>Deliver sooner, with frequent iterations</w:t>
            </w:r>
            <w:r>
              <w:br/>
            </w:r>
            <w:r>
              <w:br/>
              <w:t>Removes unnecessary work and process</w:t>
            </w:r>
            <w:r w:rsidR="0084762F">
              <w:br/>
            </w:r>
            <w:r w:rsidR="0084762F">
              <w:br/>
              <w:t>Ideal for internal tools</w:t>
            </w:r>
          </w:p>
        </w:tc>
        <w:tc>
          <w:tcPr>
            <w:tcW w:w="2465" w:type="dxa"/>
          </w:tcPr>
          <w:p w14:paraId="65635E40" w14:textId="4C5B126F" w:rsidR="0095163A" w:rsidRDefault="00306346" w:rsidP="009C4D49">
            <w:pPr>
              <w:cnfStyle w:val="000000100000" w:firstRow="0" w:lastRow="0" w:firstColumn="0" w:lastColumn="0" w:oddVBand="0" w:evenVBand="0" w:oddHBand="1" w:evenHBand="0" w:firstRowFirstColumn="0" w:firstRowLastColumn="0" w:lastRowFirstColumn="0" w:lastRowLastColumn="0"/>
            </w:pPr>
            <w:r>
              <w:t>No focus on team structures or communication</w:t>
            </w:r>
            <w:r>
              <w:br/>
            </w:r>
            <w:r>
              <w:br/>
            </w:r>
            <w:r w:rsidR="004B4AF2">
              <w:t>Hard to scale across large teams</w:t>
            </w:r>
            <w:r w:rsidR="0084762F">
              <w:t>, meeting heavy</w:t>
            </w:r>
          </w:p>
        </w:tc>
      </w:tr>
      <w:tr w:rsidR="0095163A" w14:paraId="5386185E"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7FDEF270" w14:textId="5006BD64" w:rsidR="0095163A" w:rsidRDefault="0095163A" w:rsidP="009C4D49">
            <w:r>
              <w:t>Reuse</w:t>
            </w:r>
            <w:r w:rsidR="0084762F">
              <w:br/>
            </w:r>
            <w:sdt>
              <w:sdtPr>
                <w:id w:val="1905558653"/>
                <w:citation/>
              </w:sdtPr>
              <w:sdtEndPr/>
              <w:sdtContent>
                <w:r w:rsidR="00AD3697" w:rsidRPr="00AD3697">
                  <w:fldChar w:fldCharType="begin"/>
                </w:r>
                <w:r w:rsidR="00AD3697" w:rsidRPr="00AD3697">
                  <w:rPr>
                    <w:b w:val="0"/>
                    <w:bCs w:val="0"/>
                  </w:rPr>
                  <w:instrText xml:space="preserve"> CITATION Tim17 \l 1033 </w:instrText>
                </w:r>
                <w:r w:rsidR="00AD3697" w:rsidRPr="00AD3697">
                  <w:fldChar w:fldCharType="separate"/>
                </w:r>
                <w:r w:rsidR="00AD3697" w:rsidRPr="00AD3697">
                  <w:rPr>
                    <w:b w:val="0"/>
                    <w:bCs w:val="0"/>
                    <w:noProof/>
                  </w:rPr>
                  <w:t>(Time2Pretend54, 2017)</w:t>
                </w:r>
                <w:r w:rsidR="00AD3697" w:rsidRPr="00AD3697">
                  <w:fldChar w:fldCharType="end"/>
                </w:r>
              </w:sdtContent>
            </w:sdt>
          </w:p>
        </w:tc>
        <w:tc>
          <w:tcPr>
            <w:tcW w:w="2380" w:type="dxa"/>
          </w:tcPr>
          <w:p w14:paraId="285F33B2" w14:textId="7FA679E5" w:rsidR="0095163A" w:rsidRDefault="00AD3697" w:rsidP="009C4D49">
            <w:pPr>
              <w:cnfStyle w:val="000000000000" w:firstRow="0" w:lastRow="0" w:firstColumn="0" w:lastColumn="0" w:oddVBand="0" w:evenVBand="0" w:oddHBand="0" w:evenHBand="0" w:firstRowFirstColumn="0" w:firstRowLastColumn="0" w:lastRowFirstColumn="0" w:lastRowLastColumn="0"/>
            </w:pPr>
            <w:r>
              <w:t>Find reusable libraries and open-source project, then build from there</w:t>
            </w:r>
          </w:p>
        </w:tc>
        <w:tc>
          <w:tcPr>
            <w:tcW w:w="2440" w:type="dxa"/>
          </w:tcPr>
          <w:p w14:paraId="2707A2AB" w14:textId="6AA5C285" w:rsidR="0095163A" w:rsidRDefault="00AD3697" w:rsidP="009C4D49">
            <w:pPr>
              <w:cnfStyle w:val="000000000000" w:firstRow="0" w:lastRow="0" w:firstColumn="0" w:lastColumn="0" w:oddVBand="0" w:evenVBand="0" w:oddHBand="0" w:evenHBand="0" w:firstRowFirstColumn="0" w:firstRowLastColumn="0" w:lastRowFirstColumn="0" w:lastRowLastColumn="0"/>
            </w:pPr>
            <w:r>
              <w:t>Quickly build solutions by gluing together components</w:t>
            </w:r>
            <w:r>
              <w:br/>
            </w:r>
            <w:r>
              <w:br/>
            </w:r>
            <w:r w:rsidR="00FB74D9">
              <w:t>It s</w:t>
            </w:r>
            <w:r>
              <w:t>aves time and money</w:t>
            </w:r>
          </w:p>
        </w:tc>
        <w:tc>
          <w:tcPr>
            <w:tcW w:w="2465" w:type="dxa"/>
          </w:tcPr>
          <w:p w14:paraId="6AF8529C" w14:textId="25F177C8" w:rsidR="0095163A" w:rsidRDefault="00AD3697" w:rsidP="009C4D49">
            <w:pPr>
              <w:cnfStyle w:val="000000000000" w:firstRow="0" w:lastRow="0" w:firstColumn="0" w:lastColumn="0" w:oddVBand="0" w:evenVBand="0" w:oddHBand="0" w:evenHBand="0" w:firstRowFirstColumn="0" w:firstRowLastColumn="0" w:lastRowFirstColumn="0" w:lastRowLastColumn="0"/>
            </w:pPr>
            <w:r>
              <w:t>Less customizable and inflexible</w:t>
            </w:r>
            <w:r>
              <w:br/>
            </w:r>
            <w:r>
              <w:br/>
              <w:t>Potential licensing challenges</w:t>
            </w:r>
          </w:p>
        </w:tc>
      </w:tr>
      <w:tr w:rsidR="0095163A" w14:paraId="6417BC30"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44C268" w14:textId="1F25E1DF" w:rsidR="0095163A" w:rsidRDefault="0095163A" w:rsidP="009C4D49">
            <w:r>
              <w:t>Extreme Programming</w:t>
            </w:r>
            <w:r w:rsidR="00016E55">
              <w:br/>
            </w:r>
            <w:sdt>
              <w:sdtPr>
                <w:id w:val="1825237346"/>
                <w:citation/>
              </w:sdtPr>
              <w:sdtEndPr/>
              <w:sdtContent>
                <w:r w:rsidR="00016E55" w:rsidRPr="00016E55">
                  <w:fldChar w:fldCharType="begin"/>
                </w:r>
                <w:r w:rsidR="00016E55" w:rsidRPr="00016E55">
                  <w:rPr>
                    <w:b w:val="0"/>
                    <w:bCs w:val="0"/>
                  </w:rPr>
                  <w:instrText xml:space="preserve"> CITATION Uda15 \l 1033 </w:instrText>
                </w:r>
                <w:r w:rsidR="00016E55" w:rsidRPr="00016E55">
                  <w:fldChar w:fldCharType="separate"/>
                </w:r>
                <w:r w:rsidR="00016E55" w:rsidRPr="00016E55">
                  <w:rPr>
                    <w:b w:val="0"/>
                    <w:bCs w:val="0"/>
                    <w:noProof/>
                  </w:rPr>
                  <w:t>(Udacity, 2015)</w:t>
                </w:r>
                <w:r w:rsidR="00016E55" w:rsidRPr="00016E55">
                  <w:fldChar w:fldCharType="end"/>
                </w:r>
              </w:sdtContent>
            </w:sdt>
          </w:p>
        </w:tc>
        <w:tc>
          <w:tcPr>
            <w:tcW w:w="2380" w:type="dxa"/>
          </w:tcPr>
          <w:p w14:paraId="5E83C282" w14:textId="2D283663" w:rsidR="0095163A" w:rsidRDefault="00016E55" w:rsidP="009C4D49">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7DE2BD7C" w14:textId="119B3572" w:rsidR="0095163A" w:rsidRDefault="00016E55" w:rsidP="009C4D49">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7E8C369A" w14:textId="5F575E2E" w:rsidR="0095163A" w:rsidRDefault="00016E55" w:rsidP="009C4D49">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rsidR="00605CE6">
              <w:br/>
            </w:r>
            <w:sdt>
              <w:sdtPr>
                <w:id w:val="834570863"/>
                <w:citation/>
              </w:sdtPr>
              <w:sdtEndPr/>
              <w:sdtContent>
                <w:r w:rsidR="00605CE6">
                  <w:fldChar w:fldCharType="begin"/>
                </w:r>
                <w:r w:rsidR="00605CE6">
                  <w:instrText xml:space="preserve"> CITATION Par16 \l 1033 </w:instrText>
                </w:r>
                <w:r w:rsidR="00605CE6">
                  <w:fldChar w:fldCharType="separate"/>
                </w:r>
                <w:r w:rsidR="00605CE6">
                  <w:rPr>
                    <w:noProof/>
                  </w:rPr>
                  <w:t>(Parogi, 2016)</w:t>
                </w:r>
                <w:r w:rsidR="00605CE6">
                  <w:fldChar w:fldCharType="end"/>
                </w:r>
              </w:sdtContent>
            </w:sdt>
          </w:p>
        </w:tc>
      </w:tr>
    </w:tbl>
    <w:p w14:paraId="4E6A35B5" w14:textId="4CC5BEB7" w:rsidR="009670F2" w:rsidRDefault="009670F2" w:rsidP="009C4D49"/>
    <w:p w14:paraId="5932578F" w14:textId="77777777" w:rsidR="009670F2" w:rsidRDefault="009670F2">
      <w:r>
        <w:br w:type="page"/>
      </w:r>
    </w:p>
    <w:sdt>
      <w:sdtPr>
        <w:rPr>
          <w:b w:val="0"/>
        </w:rPr>
        <w:id w:val="-136955630"/>
        <w:docPartObj>
          <w:docPartGallery w:val="Bibliographies"/>
          <w:docPartUnique/>
        </w:docPartObj>
      </w:sdtPr>
      <w:sdtEndPr/>
      <w:sdtContent>
        <w:p w14:paraId="2BD84227" w14:textId="27A4E4D6" w:rsidR="009670F2" w:rsidRPr="009670F2" w:rsidRDefault="009670F2">
          <w:pPr>
            <w:pStyle w:val="Heading1"/>
            <w:rPr>
              <w:b w:val="0"/>
              <w:bCs/>
            </w:rPr>
          </w:pPr>
          <w:r w:rsidRPr="009670F2">
            <w:rPr>
              <w:b w:val="0"/>
              <w:bCs/>
            </w:rPr>
            <w:t>References</w:t>
          </w:r>
        </w:p>
        <w:sdt>
          <w:sdtPr>
            <w:id w:val="-573587230"/>
            <w:bibliography/>
          </w:sdtPr>
          <w:sdtEndPr/>
          <w:sdtContent>
            <w:p w14:paraId="73C332E1" w14:textId="5C7B3D63" w:rsidR="009670F2" w:rsidRDefault="009670F2" w:rsidP="009670F2">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2283E218" w14:textId="307989CE" w:rsidR="009670F2" w:rsidRDefault="009670F2" w:rsidP="009670F2">
              <w:pPr>
                <w:pStyle w:val="Bibliography"/>
                <w:ind w:left="720" w:hanging="720"/>
                <w:rPr>
                  <w:noProof/>
                </w:rPr>
              </w:pPr>
              <w:r>
                <w:rPr>
                  <w:noProof/>
                </w:rPr>
                <w:t xml:space="preserve">CodeAcademy. (2019, February 22nd). </w:t>
              </w:r>
              <w:r>
                <w:rPr>
                  <w:i/>
                  <w:iCs/>
                  <w:noProof/>
                </w:rPr>
                <w:t>What is Waterfall?</w:t>
              </w:r>
              <w:r>
                <w:rPr>
                  <w:noProof/>
                </w:rPr>
                <w:t>. Retrieved from YouTube: https://youtu.be/LxEmGNgqYJA</w:t>
              </w:r>
            </w:p>
            <w:p w14:paraId="38856C0A" w14:textId="07482917" w:rsidR="009670F2" w:rsidRDefault="009670F2" w:rsidP="009670F2">
              <w:pPr>
                <w:pStyle w:val="Bibliography"/>
                <w:ind w:left="720" w:hanging="720"/>
                <w:rPr>
                  <w:noProof/>
                </w:rPr>
              </w:pPr>
              <w:r>
                <w:rPr>
                  <w:noProof/>
                </w:rPr>
                <w:t xml:space="preserve">Easy Learning. (2020, April 4th). </w:t>
              </w:r>
              <w:r>
                <w:rPr>
                  <w:i/>
                  <w:iCs/>
                  <w:noProof/>
                </w:rPr>
                <w:t>LEC-06 Spiral Development Model</w:t>
              </w:r>
              <w:r>
                <w:rPr>
                  <w:noProof/>
                </w:rPr>
                <w:t>. Retrieved from YouTube: https://youtu.be/fTfoB1h2km4</w:t>
              </w:r>
            </w:p>
            <w:p w14:paraId="718E93BF" w14:textId="77777777" w:rsidR="009670F2" w:rsidRDefault="009670F2" w:rsidP="009670F2">
              <w:pPr>
                <w:pStyle w:val="Bibliography"/>
                <w:ind w:left="720" w:hanging="720"/>
                <w:rPr>
                  <w:noProof/>
                </w:rPr>
              </w:pPr>
              <w:r>
                <w:rPr>
                  <w:noProof/>
                </w:rPr>
                <w:t xml:space="preserve">Hagestad, B., &amp; Straumann, A. (2017). Commentary: Collaborating to Achieve a Mutual Cybersecurity Advantage. </w:t>
              </w:r>
              <w:r>
                <w:rPr>
                  <w:i/>
                  <w:iCs/>
                  <w:noProof/>
                </w:rPr>
                <w:t>Biomedical Instrumentation &amp; Technology, 51</w:t>
              </w:r>
              <w:r>
                <w:rPr>
                  <w:noProof/>
                </w:rPr>
                <w:t>(1), 34-39. doi:https://doi.org/10.2345/0899-8205-51.1.34</w:t>
              </w:r>
            </w:p>
            <w:p w14:paraId="05C6F79B" w14:textId="6B0DB832" w:rsidR="009670F2" w:rsidRDefault="009670F2" w:rsidP="009670F2">
              <w:pPr>
                <w:pStyle w:val="Bibliography"/>
                <w:ind w:left="720" w:hanging="720"/>
                <w:rPr>
                  <w:noProof/>
                </w:rPr>
              </w:pPr>
              <w:r>
                <w:rPr>
                  <w:noProof/>
                </w:rPr>
                <w:t xml:space="preserve">Idesis, S. (2017, October 17th). </w:t>
              </w:r>
              <w:r>
                <w:rPr>
                  <w:i/>
                  <w:iCs/>
                  <w:noProof/>
                </w:rPr>
                <w:t>What is rapid application development</w:t>
              </w:r>
              <w:r>
                <w:rPr>
                  <w:noProof/>
                </w:rPr>
                <w:t>? Retrieved from YouTube: https://youtu.be/JHcxbGwHtsY</w:t>
              </w:r>
            </w:p>
            <w:p w14:paraId="3D15BA78" w14:textId="506B17BC" w:rsidR="009670F2" w:rsidRDefault="009670F2" w:rsidP="009670F2">
              <w:pPr>
                <w:pStyle w:val="Bibliography"/>
                <w:ind w:left="720" w:hanging="720"/>
                <w:rPr>
                  <w:noProof/>
                </w:rPr>
              </w:pPr>
              <w:r>
                <w:rPr>
                  <w:noProof/>
                </w:rPr>
                <w:t xml:space="preserve">Jain, N. (2018, February 21st). </w:t>
              </w:r>
              <w:r>
                <w:rPr>
                  <w:i/>
                  <w:iCs/>
                  <w:noProof/>
                </w:rPr>
                <w:t>Top 10 reasons for project failure</w:t>
              </w:r>
              <w:r>
                <w:rPr>
                  <w:noProof/>
                </w:rPr>
                <w:t>. Retrieved 28 2020, June, from Whiz Labs: https://www.whizlabs.com/blog/top-10-reasons-for-project-failure/</w:t>
              </w:r>
            </w:p>
            <w:p w14:paraId="059F5A2D" w14:textId="77777777" w:rsidR="009670F2" w:rsidRDefault="009670F2" w:rsidP="009670F2">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D5315E3" w14:textId="08603B65" w:rsidR="009670F2" w:rsidRDefault="009670F2" w:rsidP="009670F2">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077B7F62" w14:textId="6ED35473" w:rsidR="009670F2" w:rsidRDefault="009670F2" w:rsidP="009670F2">
              <w:pPr>
                <w:pStyle w:val="Bibliography"/>
                <w:ind w:left="720" w:hanging="720"/>
                <w:rPr>
                  <w:noProof/>
                </w:rPr>
              </w:pPr>
              <w:r>
                <w:rPr>
                  <w:noProof/>
                </w:rPr>
                <w:t xml:space="preserve">Nicho, M., Khan, S., &amp; Rahman, M. (2017). Managing Information Security Risk Using Integrated Governance Risk and Compliance. </w:t>
              </w:r>
              <w:r>
                <w:rPr>
                  <w:i/>
                  <w:iCs/>
                  <w:noProof/>
                </w:rPr>
                <w:t xml:space="preserve">International Conference on Computer and </w:t>
              </w:r>
              <w:r>
                <w:rPr>
                  <w:i/>
                  <w:iCs/>
                  <w:noProof/>
                </w:rPr>
                <w:lastRenderedPageBreak/>
                <w:t>Applications</w:t>
              </w:r>
              <w:r>
                <w:rPr>
                  <w:noProof/>
                </w:rPr>
                <w:t xml:space="preserve"> (pp. 56-66). Doha, United Arab Emirates, United Arab Emirates. doi:https://doi-org.proxy1.ncu.edu/10.1109/COMAPP.2017.8079741</w:t>
              </w:r>
            </w:p>
            <w:p w14:paraId="27D284E1" w14:textId="033C86DD" w:rsidR="009670F2" w:rsidRDefault="009670F2" w:rsidP="009670F2">
              <w:pPr>
                <w:pStyle w:val="Bibliography"/>
                <w:ind w:left="720" w:hanging="720"/>
                <w:rPr>
                  <w:noProof/>
                </w:rPr>
              </w:pPr>
              <w:r>
                <w:rPr>
                  <w:noProof/>
                </w:rPr>
                <w:t xml:space="preserve">Parogi, J. (2016, June 10th). </w:t>
              </w:r>
              <w:r>
                <w:rPr>
                  <w:i/>
                  <w:iCs/>
                  <w:noProof/>
                </w:rPr>
                <w:t>Five reasons why eXtreme programming is not popular</w:t>
              </w:r>
              <w:r>
                <w:rPr>
                  <w:noProof/>
                </w:rPr>
                <w:t>. Retrieved from Medium: https://medium.com/agility-path/5-reasons-why-extreme-programming-isnt-popular-83790418b901</w:t>
              </w:r>
            </w:p>
            <w:p w14:paraId="52408102" w14:textId="77777777" w:rsidR="009670F2" w:rsidRDefault="009670F2" w:rsidP="009670F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FA1F854" w14:textId="77777777" w:rsidR="009670F2" w:rsidRDefault="009670F2" w:rsidP="009670F2">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3C076BF" w14:textId="7BC987B1" w:rsidR="009670F2" w:rsidRDefault="009670F2" w:rsidP="009670F2">
              <w:pPr>
                <w:pStyle w:val="Bibliography"/>
                <w:ind w:left="720" w:hanging="720"/>
                <w:rPr>
                  <w:noProof/>
                </w:rPr>
              </w:pPr>
              <w:r>
                <w:rPr>
                  <w:noProof/>
                </w:rPr>
                <w:t xml:space="preserve">Time2Pretend54. (2017, February 8th). </w:t>
              </w:r>
              <w:r>
                <w:rPr>
                  <w:i/>
                  <w:iCs/>
                  <w:noProof/>
                </w:rPr>
                <w:t>What is reuse-oriented software engineering</w:t>
              </w:r>
              <w:r>
                <w:rPr>
                  <w:noProof/>
                </w:rPr>
                <w:t>? Retrieved from YouTube: https://youtu.be/Dfi4cxCC_I0</w:t>
              </w:r>
            </w:p>
            <w:p w14:paraId="19985B20" w14:textId="64D7C44A" w:rsidR="009670F2" w:rsidRDefault="009670F2" w:rsidP="009670F2">
              <w:pPr>
                <w:pStyle w:val="Bibliography"/>
                <w:ind w:left="720" w:hanging="720"/>
                <w:rPr>
                  <w:noProof/>
                </w:rPr>
              </w:pPr>
              <w:r>
                <w:rPr>
                  <w:noProof/>
                </w:rPr>
                <w:t xml:space="preserve">Udacity. (2015, February 23rd). </w:t>
              </w:r>
              <w:r>
                <w:rPr>
                  <w:i/>
                  <w:iCs/>
                  <w:noProof/>
                </w:rPr>
                <w:t>Extreme Programming (XP) - Georgia Tech - Software Development Process</w:t>
              </w:r>
              <w:r>
                <w:rPr>
                  <w:noProof/>
                </w:rPr>
                <w:t>. Retrieved from YouTube: https://youtu.be/hbFOwqYIOcU</w:t>
              </w:r>
            </w:p>
            <w:p w14:paraId="04EC9705" w14:textId="379747DC" w:rsidR="009670F2" w:rsidRDefault="009670F2" w:rsidP="009670F2">
              <w:pPr>
                <w:pStyle w:val="Bibliography"/>
                <w:ind w:left="720" w:hanging="720"/>
                <w:rPr>
                  <w:noProof/>
                </w:rPr>
              </w:pPr>
              <w:r>
                <w:rPr>
                  <w:noProof/>
                </w:rPr>
                <w:t xml:space="preserve">Wikipedia. (2020, June 28th). </w:t>
              </w:r>
              <w:r>
                <w:rPr>
                  <w:i/>
                  <w:iCs/>
                  <w:noProof/>
                </w:rPr>
                <w:t>System Development Life Cycle</w:t>
              </w:r>
              <w:r>
                <w:rPr>
                  <w:noProof/>
                </w:rPr>
                <w:t>. Retrieved June 28th, 2020, from Wikipedia: https://en.wikipedia.org/wiki/Systems_development_life_cycle</w:t>
              </w:r>
            </w:p>
            <w:p w14:paraId="226E8CB0" w14:textId="1DB79A3D" w:rsidR="009670F2" w:rsidRDefault="009670F2" w:rsidP="009670F2">
              <w:r>
                <w:rPr>
                  <w:b/>
                  <w:bCs/>
                  <w:noProof/>
                </w:rPr>
                <w:fldChar w:fldCharType="end"/>
              </w:r>
            </w:p>
          </w:sdtContent>
        </w:sdt>
      </w:sdtContent>
    </w:sdt>
    <w:p w14:paraId="0FD72C28" w14:textId="77777777" w:rsidR="009C4D49" w:rsidRPr="009C4D49" w:rsidRDefault="009C4D49" w:rsidP="009C4D49"/>
    <w:sectPr w:rsidR="009C4D49" w:rsidRPr="009C4D49"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93172" w14:textId="77777777" w:rsidR="00817DA9" w:rsidRDefault="00817DA9" w:rsidP="0082223F">
      <w:pPr>
        <w:spacing w:line="240" w:lineRule="auto"/>
      </w:pPr>
      <w:r>
        <w:separator/>
      </w:r>
    </w:p>
  </w:endnote>
  <w:endnote w:type="continuationSeparator" w:id="0">
    <w:p w14:paraId="361B8DA2" w14:textId="77777777" w:rsidR="00817DA9" w:rsidRDefault="00817DA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D30FE" w14:textId="77777777" w:rsidR="00817DA9" w:rsidRDefault="00817DA9" w:rsidP="0082223F">
      <w:pPr>
        <w:spacing w:line="240" w:lineRule="auto"/>
      </w:pPr>
      <w:r>
        <w:separator/>
      </w:r>
    </w:p>
  </w:footnote>
  <w:footnote w:type="continuationSeparator" w:id="0">
    <w:p w14:paraId="7D1F26B2" w14:textId="77777777" w:rsidR="00817DA9" w:rsidRDefault="00817DA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16E55"/>
    <w:rsid w:val="00017728"/>
    <w:rsid w:val="00026582"/>
    <w:rsid w:val="00036708"/>
    <w:rsid w:val="00036F58"/>
    <w:rsid w:val="00040EF1"/>
    <w:rsid w:val="000440EF"/>
    <w:rsid w:val="000528AC"/>
    <w:rsid w:val="000A3E23"/>
    <w:rsid w:val="0010239E"/>
    <w:rsid w:val="00107FC4"/>
    <w:rsid w:val="00135E2F"/>
    <w:rsid w:val="00156F0D"/>
    <w:rsid w:val="00166123"/>
    <w:rsid w:val="00183597"/>
    <w:rsid w:val="001A7A50"/>
    <w:rsid w:val="001C7DEC"/>
    <w:rsid w:val="001D1A65"/>
    <w:rsid w:val="001E3332"/>
    <w:rsid w:val="00221F27"/>
    <w:rsid w:val="00237FD5"/>
    <w:rsid w:val="002676C2"/>
    <w:rsid w:val="00276BBD"/>
    <w:rsid w:val="00277276"/>
    <w:rsid w:val="002806B7"/>
    <w:rsid w:val="00280B06"/>
    <w:rsid w:val="0029373C"/>
    <w:rsid w:val="002C4257"/>
    <w:rsid w:val="00306346"/>
    <w:rsid w:val="003825E6"/>
    <w:rsid w:val="003D6450"/>
    <w:rsid w:val="003F4714"/>
    <w:rsid w:val="003F5694"/>
    <w:rsid w:val="003F7326"/>
    <w:rsid w:val="00401D65"/>
    <w:rsid w:val="004223E8"/>
    <w:rsid w:val="0043203F"/>
    <w:rsid w:val="004363B0"/>
    <w:rsid w:val="0045561E"/>
    <w:rsid w:val="004870B8"/>
    <w:rsid w:val="004874FF"/>
    <w:rsid w:val="004A784B"/>
    <w:rsid w:val="004B4AF2"/>
    <w:rsid w:val="004D4FF5"/>
    <w:rsid w:val="004D677B"/>
    <w:rsid w:val="004E60A7"/>
    <w:rsid w:val="004F4086"/>
    <w:rsid w:val="00510022"/>
    <w:rsid w:val="005553E4"/>
    <w:rsid w:val="00555821"/>
    <w:rsid w:val="00566F70"/>
    <w:rsid w:val="005B69FA"/>
    <w:rsid w:val="005B7079"/>
    <w:rsid w:val="005E236A"/>
    <w:rsid w:val="00601D3E"/>
    <w:rsid w:val="00605CE6"/>
    <w:rsid w:val="00611165"/>
    <w:rsid w:val="00634554"/>
    <w:rsid w:val="006373FE"/>
    <w:rsid w:val="006442B7"/>
    <w:rsid w:val="00653555"/>
    <w:rsid w:val="0067749D"/>
    <w:rsid w:val="006A2D4D"/>
    <w:rsid w:val="006A4E86"/>
    <w:rsid w:val="006B1D29"/>
    <w:rsid w:val="006C07B3"/>
    <w:rsid w:val="006D793E"/>
    <w:rsid w:val="006F6D7C"/>
    <w:rsid w:val="00702D70"/>
    <w:rsid w:val="00735287"/>
    <w:rsid w:val="0073677D"/>
    <w:rsid w:val="00740932"/>
    <w:rsid w:val="007606EE"/>
    <w:rsid w:val="007A499E"/>
    <w:rsid w:val="007D59BA"/>
    <w:rsid w:val="00800DCC"/>
    <w:rsid w:val="0081430F"/>
    <w:rsid w:val="00817DA9"/>
    <w:rsid w:val="0082223F"/>
    <w:rsid w:val="008352BA"/>
    <w:rsid w:val="0084762F"/>
    <w:rsid w:val="00850AAE"/>
    <w:rsid w:val="008720D3"/>
    <w:rsid w:val="00877007"/>
    <w:rsid w:val="00896080"/>
    <w:rsid w:val="008B5129"/>
    <w:rsid w:val="008C5DA5"/>
    <w:rsid w:val="00902FC2"/>
    <w:rsid w:val="00942FF1"/>
    <w:rsid w:val="0095163A"/>
    <w:rsid w:val="009670F2"/>
    <w:rsid w:val="009A757D"/>
    <w:rsid w:val="009B042E"/>
    <w:rsid w:val="009C2362"/>
    <w:rsid w:val="009C4D49"/>
    <w:rsid w:val="009D0521"/>
    <w:rsid w:val="00A24C80"/>
    <w:rsid w:val="00A4028A"/>
    <w:rsid w:val="00A658E5"/>
    <w:rsid w:val="00A90414"/>
    <w:rsid w:val="00A9615B"/>
    <w:rsid w:val="00AB002C"/>
    <w:rsid w:val="00AC032B"/>
    <w:rsid w:val="00AD3697"/>
    <w:rsid w:val="00B13ADF"/>
    <w:rsid w:val="00B30124"/>
    <w:rsid w:val="00BD6E4A"/>
    <w:rsid w:val="00C341A0"/>
    <w:rsid w:val="00C44120"/>
    <w:rsid w:val="00C46440"/>
    <w:rsid w:val="00C54DC8"/>
    <w:rsid w:val="00C73692"/>
    <w:rsid w:val="00C82B52"/>
    <w:rsid w:val="00C85BF5"/>
    <w:rsid w:val="00C93BB7"/>
    <w:rsid w:val="00CB25E9"/>
    <w:rsid w:val="00CB2B3F"/>
    <w:rsid w:val="00D24E2E"/>
    <w:rsid w:val="00D35B6A"/>
    <w:rsid w:val="00D56DD0"/>
    <w:rsid w:val="00D64A72"/>
    <w:rsid w:val="00D75C7B"/>
    <w:rsid w:val="00D83B28"/>
    <w:rsid w:val="00D85C7B"/>
    <w:rsid w:val="00DE2224"/>
    <w:rsid w:val="00DF32D1"/>
    <w:rsid w:val="00E103C0"/>
    <w:rsid w:val="00E234E9"/>
    <w:rsid w:val="00E238D2"/>
    <w:rsid w:val="00E45425"/>
    <w:rsid w:val="00E801ED"/>
    <w:rsid w:val="00E82ADA"/>
    <w:rsid w:val="00E908F4"/>
    <w:rsid w:val="00E97259"/>
    <w:rsid w:val="00EC5732"/>
    <w:rsid w:val="00ED3713"/>
    <w:rsid w:val="00F16E5E"/>
    <w:rsid w:val="00FB74D9"/>
    <w:rsid w:val="00FC3313"/>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670F2"/>
  </w:style>
  <w:style w:type="paragraph" w:styleId="BalloonText">
    <w:name w:val="Balloon Text"/>
    <w:basedOn w:val="Normal"/>
    <w:link w:val="BalloonTextChar"/>
    <w:uiPriority w:val="99"/>
    <w:semiHidden/>
    <w:unhideWhenUsed/>
    <w:rsid w:val="007D59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100299841">
      <w:bodyDiv w:val="1"/>
      <w:marLeft w:val="0"/>
      <w:marRight w:val="0"/>
      <w:marTop w:val="0"/>
      <w:marBottom w:val="0"/>
      <w:divBdr>
        <w:top w:val="none" w:sz="0" w:space="0" w:color="auto"/>
        <w:left w:val="none" w:sz="0" w:space="0" w:color="auto"/>
        <w:bottom w:val="none" w:sz="0" w:space="0" w:color="auto"/>
        <w:right w:val="none" w:sz="0" w:space="0" w:color="auto"/>
      </w:divBdr>
    </w:div>
    <w:div w:id="102261820">
      <w:bodyDiv w:val="1"/>
      <w:marLeft w:val="0"/>
      <w:marRight w:val="0"/>
      <w:marTop w:val="0"/>
      <w:marBottom w:val="0"/>
      <w:divBdr>
        <w:top w:val="none" w:sz="0" w:space="0" w:color="auto"/>
        <w:left w:val="none" w:sz="0" w:space="0" w:color="auto"/>
        <w:bottom w:val="none" w:sz="0" w:space="0" w:color="auto"/>
        <w:right w:val="none" w:sz="0" w:space="0" w:color="auto"/>
      </w:divBdr>
    </w:div>
    <w:div w:id="16686572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65452027">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17403308">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12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13</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14</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15</b:RefOrder>
  </b:Source>
</b:Sources>
</file>

<file path=customXml/itemProps1.xml><?xml version="1.0" encoding="utf-8"?>
<ds:datastoreItem xmlns:ds="http://schemas.openxmlformats.org/officeDocument/2006/customXml" ds:itemID="{84A049D4-5448-440B-BC7C-BCC45D37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12</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124</cp:revision>
  <cp:lastPrinted>2020-06-29T23:53:00Z</cp:lastPrinted>
  <dcterms:created xsi:type="dcterms:W3CDTF">2019-05-19T17:38:00Z</dcterms:created>
  <dcterms:modified xsi:type="dcterms:W3CDTF">2021-02-28T22:52:00Z</dcterms:modified>
</cp:coreProperties>
</file>