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8605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72FB08A9" w:rsidR="00D24E2E" w:rsidRDefault="00D24E2E" w:rsidP="00740932">
      <w:r>
        <w:tab/>
        <w:t xml:space="preserve">NCU Financial (NCU-F) is a matrix organization that uses decentralized development teams to build FinTech solutions.  This approach to software enables the business to release features rapidly but at the cost of inconsistent process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  This ERP system will serve as the example basis for that </w:t>
      </w:r>
      <w:proofErr w:type="gramStart"/>
      <w:r w:rsidR="003825E6">
        <w:t>model, and</w:t>
      </w:r>
      <w:proofErr w:type="gramEnd"/>
      <w:r w:rsidR="003825E6">
        <w:t xml:space="preserve"> used across future deliverables.</w:t>
      </w:r>
    </w:p>
    <w:p w14:paraId="23881E74" w14:textId="7D5DF922" w:rsidR="00800DCC" w:rsidRDefault="00800DCC" w:rsidP="00800DCC">
      <w:pPr>
        <w:pStyle w:val="Heading1"/>
      </w:pPr>
      <w:r>
        <w:t>Section I: Building the Model</w:t>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w:t>
      </w:r>
      <w:r w:rsidR="00896080">
        <w:t>critical 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52573C1D" w:rsidR="00601D3E" w:rsidRDefault="00896080" w:rsidP="00601D3E">
            <w:pPr>
              <w:jc w:val="center"/>
              <w:cnfStyle w:val="100000000000" w:firstRow="1" w:lastRow="0" w:firstColumn="0" w:lastColumn="0" w:oddVBand="0" w:evenVBand="0" w:oddHBand="0" w:evenHBand="0" w:firstRowFirstColumn="0" w:firstRowLastColumn="0" w:lastRowFirstColumn="0" w:lastRowLastColumn="0"/>
            </w:pPr>
            <w:r>
              <w:t>Focus Areas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lastRenderedPageBreak/>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3844C205" w:rsidR="00156F0D" w:rsidRDefault="00156F0D" w:rsidP="00156F0D">
      <w:r>
        <w:tab/>
        <w:t xml:space="preserve">The stakeholders need to reach a consensus on the overarching strategy for implementing the ERP system.  This strategy must be cognizant of the enterprise context </w:t>
      </w:r>
      <w:r>
        <w:t>(see Table 2)</w:t>
      </w:r>
      <w:r>
        <w:t>, as part of appropriate scoping and costing decisions</w:t>
      </w:r>
      <w:sdt>
        <w:sdtPr>
          <w:id w:val="1658881260"/>
          <w:citation/>
        </w:sdt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into work for performing in-house versus outsourcing.  While in-house sourcing provides the most oversight and control, it can detract from other commitments and core competencies.  For example, the ERP must schedule the execution of a sophisticated credit processing framework.  </w:t>
      </w:r>
      <w:r w:rsidR="00510022">
        <w:t xml:space="preserve">Building the </w:t>
      </w:r>
      <w:r w:rsidR="008C5DA5">
        <w:t xml:space="preserve">job scheduling </w:t>
      </w:r>
      <w:proofErr w:type="gramStart"/>
      <w:r w:rsidR="008C5DA5">
        <w:t>component</w:t>
      </w:r>
      <w:proofErr w:type="gramEnd"/>
      <w:r w:rsidR="008C5DA5">
        <w:t xml:space="preserve"> </w:t>
      </w:r>
      <w:r w:rsidR="00510022">
        <w:t>a generic problem and easily outsourced</w:t>
      </w:r>
      <w:r w:rsidR="008C5DA5">
        <w:t>, freeing up NCU-F engineers to focus on the value differentiating aspect</w:t>
      </w:r>
      <w:r w:rsidR="004874FF">
        <w:t>s</w:t>
      </w:r>
      <w:r w:rsidR="008C5DA5">
        <w:t xml:space="preserve"> of the feature.</w:t>
      </w:r>
    </w:p>
    <w:p w14:paraId="4A454785" w14:textId="2B5E3E16"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4675"/>
        <w:gridCol w:w="4675"/>
      </w:tblGrid>
      <w:tr w:rsidR="00A24C80" w14:paraId="4D3920C7" w14:textId="77777777" w:rsidTr="00156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D28E9" w14:textId="3E445FC4" w:rsidR="00A24C80" w:rsidRDefault="00A24C80" w:rsidP="00A24C80">
            <w:pPr>
              <w:jc w:val="center"/>
            </w:pPr>
            <w:r>
              <w:t>Aspect</w:t>
            </w:r>
          </w:p>
        </w:tc>
        <w:tc>
          <w:tcPr>
            <w:tcW w:w="467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47A63" w14:textId="2779C614" w:rsidR="00A24C80" w:rsidRPr="00156F0D" w:rsidRDefault="00A24C80" w:rsidP="00A24C80">
            <w:pPr>
              <w:rPr>
                <w:b w:val="0"/>
                <w:bCs w:val="0"/>
              </w:rPr>
            </w:pPr>
            <w:r w:rsidRPr="00156F0D">
              <w:rPr>
                <w:b w:val="0"/>
                <w:bCs w:val="0"/>
              </w:rPr>
              <w:t>Company Mission</w:t>
            </w:r>
          </w:p>
        </w:tc>
        <w:tc>
          <w:tcPr>
            <w:tcW w:w="467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EA764CD" w14:textId="0238CAE6" w:rsidR="00A24C80" w:rsidRPr="00156F0D" w:rsidRDefault="00A24C80" w:rsidP="00A24C80">
            <w:pPr>
              <w:rPr>
                <w:b w:val="0"/>
                <w:bCs w:val="0"/>
              </w:rPr>
            </w:pPr>
            <w:r w:rsidRPr="00156F0D">
              <w:rPr>
                <w:b w:val="0"/>
                <w:bCs w:val="0"/>
              </w:rPr>
              <w:t>Company Strategy</w:t>
            </w:r>
          </w:p>
        </w:tc>
        <w:tc>
          <w:tcPr>
            <w:tcW w:w="467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8E4EC" w14:textId="5D2E70AB" w:rsidR="00A24C80" w:rsidRPr="00156F0D" w:rsidRDefault="00A24C80" w:rsidP="00A24C80">
            <w:pPr>
              <w:rPr>
                <w:b w:val="0"/>
                <w:bCs w:val="0"/>
              </w:rPr>
            </w:pPr>
            <w:r w:rsidRPr="00156F0D">
              <w:rPr>
                <w:b w:val="0"/>
                <w:bCs w:val="0"/>
              </w:rPr>
              <w:t>Risk profile</w:t>
            </w:r>
          </w:p>
        </w:tc>
        <w:tc>
          <w:tcPr>
            <w:tcW w:w="467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B86933B" w14:textId="59F36F31" w:rsidR="00A24C80" w:rsidRPr="00156F0D" w:rsidRDefault="00A24C80" w:rsidP="00A24C80">
            <w:pPr>
              <w:rPr>
                <w:b w:val="0"/>
                <w:bCs w:val="0"/>
              </w:rPr>
            </w:pPr>
            <w:r w:rsidRPr="00156F0D">
              <w:rPr>
                <w:b w:val="0"/>
                <w:bCs w:val="0"/>
              </w:rPr>
              <w:t>Existing commitments</w:t>
            </w:r>
          </w:p>
        </w:tc>
        <w:tc>
          <w:tcPr>
            <w:tcW w:w="467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4744" w14:textId="35F1986B" w:rsidR="00A24C80" w:rsidRPr="00156F0D" w:rsidRDefault="00A24C80" w:rsidP="00A24C80">
            <w:pPr>
              <w:rPr>
                <w:b w:val="0"/>
                <w:bCs w:val="0"/>
              </w:rPr>
            </w:pPr>
            <w:r w:rsidRPr="00156F0D">
              <w:rPr>
                <w:b w:val="0"/>
                <w:bCs w:val="0"/>
              </w:rPr>
              <w:t>Industry-specific challenges</w:t>
            </w:r>
          </w:p>
        </w:tc>
        <w:tc>
          <w:tcPr>
            <w:tcW w:w="467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7101E7A2" w14:textId="25105AEC" w:rsidR="00156F0D" w:rsidRPr="00156F0D" w:rsidRDefault="00156F0D" w:rsidP="00A24C80">
            <w:pPr>
              <w:rPr>
                <w:b w:val="0"/>
                <w:bCs w:val="0"/>
              </w:rPr>
            </w:pPr>
            <w:r w:rsidRPr="00156F0D">
              <w:rPr>
                <w:b w:val="0"/>
                <w:bCs w:val="0"/>
              </w:rPr>
              <w:t>Resource Availability</w:t>
            </w:r>
          </w:p>
        </w:tc>
        <w:tc>
          <w:tcPr>
            <w:tcW w:w="467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5D7A6" w14:textId="18EFE139" w:rsidR="008C5DA5" w:rsidRPr="00156F0D" w:rsidRDefault="008C5DA5" w:rsidP="00A24C80">
            <w:pPr>
              <w:rPr>
                <w:b w:val="0"/>
                <w:bCs w:val="0"/>
              </w:rPr>
            </w:pPr>
            <w:r>
              <w:rPr>
                <w:b w:val="0"/>
                <w:bCs w:val="0"/>
              </w:rPr>
              <w:t>Core Competencies</w:t>
            </w:r>
          </w:p>
        </w:tc>
        <w:tc>
          <w:tcPr>
            <w:tcW w:w="467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47B971A3" w14:textId="2F7E5F9A" w:rsidR="00A24C80" w:rsidRDefault="00A9615B" w:rsidP="00A9615B">
      <w:pPr>
        <w:pStyle w:val="Heading2"/>
      </w:pPr>
      <w:r>
        <w:lastRenderedPageBreak/>
        <w:t>Establish Timelines and Priorities</w:t>
      </w:r>
    </w:p>
    <w:p w14:paraId="1E2676B5" w14:textId="6EF965DC" w:rsidR="006A2D4D" w:rsidRDefault="006A2D4D" w:rsidP="006A2D4D">
      <w:pPr>
        <w:ind w:firstLine="36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  Partially mitigating these challenges is possible through 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2D473D8" w14:textId="27C8FBC2" w:rsidR="004363B0" w:rsidRDefault="004363B0" w:rsidP="004363B0">
      <w:pPr>
        <w:pStyle w:val="Caption"/>
      </w:pPr>
      <w:r>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08318528" w14:textId="0F9A8F88" w:rsidR="004363B0" w:rsidRDefault="004363B0" w:rsidP="00C341A0">
      <w:pPr>
        <w:pStyle w:val="Heading2"/>
      </w:pPr>
      <w:r>
        <w:br/>
      </w:r>
      <w:r w:rsidR="00C341A0">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w:t>
      </w:r>
      <w:r w:rsidR="00611165">
        <w:lastRenderedPageBreak/>
        <w:t xml:space="preserve">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42A8960A"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6663B112"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4DEFD718" w14:textId="77777777" w:rsidR="006442B7" w:rsidRDefault="001D1A65" w:rsidP="006442B7">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p>
    <w:p w14:paraId="19BA0181" w14:textId="297D7B4C" w:rsidR="00A24C80" w:rsidRDefault="00E97259" w:rsidP="006442B7">
      <w:pPr>
        <w:ind w:firstLine="720"/>
      </w:pPr>
      <w:r>
        <w:t>For instance, GDPR states that businesses must secure user privacy or pay severe fines</w:t>
      </w:r>
      <w:sdt>
        <w:sdtPr>
          <w:id w:val="1516958981"/>
          <w:citation/>
        </w:sdtPr>
        <w:sdtContent>
          <w:r>
            <w:fldChar w:fldCharType="begin"/>
          </w:r>
          <w:r>
            <w:instrText xml:space="preserve"> CITATION Kov18 \l 1033 </w:instrText>
          </w:r>
          <w:r>
            <w:fldChar w:fldCharType="separate"/>
          </w:r>
          <w:r>
            <w:rPr>
              <w:noProof/>
            </w:rPr>
            <w:t xml:space="preserve"> (Kovacs, 2017)</w:t>
          </w:r>
          <w:r>
            <w:fldChar w:fldCharType="end"/>
          </w:r>
        </w:sdtContent>
      </w:sdt>
      <w:r>
        <w:t xml:space="preserve">.  Perhaps the initial release has sufficient controls, but future features might increase the attack surface and cause the system to fall out of compliance.  Alternatively, the </w:t>
      </w:r>
      <w:r>
        <w:lastRenderedPageBreak/>
        <w:t>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 xml:space="preserve">Figure 1: </w:t>
      </w:r>
      <w:r>
        <w:t>Accreditation</w:t>
      </w:r>
      <w:r>
        <w:t xml:space="preserve"> Loop</w:t>
      </w:r>
    </w:p>
    <w:p w14:paraId="5E9EDA43" w14:textId="6D7B4972" w:rsidR="00E97259" w:rsidRPr="00800DCC" w:rsidRDefault="00E97259" w:rsidP="00E97259">
      <w:pPr>
        <w:jc w:val="center"/>
      </w:pPr>
      <w:r>
        <w:rPr>
          <w:noProof/>
        </w:rPr>
        <w:drawing>
          <wp:inline distT="0" distB="0" distL="0" distR="0" wp14:anchorId="66268754" wp14:editId="42E4D4A4">
            <wp:extent cx="1732548" cy="167348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897" cy="1730810"/>
                    </a:xfrm>
                    <a:prstGeom prst="rect">
                      <a:avLst/>
                    </a:prstGeom>
                    <a:noFill/>
                    <a:ln>
                      <a:noFill/>
                    </a:ln>
                  </pic:spPr>
                </pic:pic>
              </a:graphicData>
            </a:graphic>
          </wp:inline>
        </w:drawing>
      </w:r>
    </w:p>
    <w:p w14:paraId="19CCF7C0" w14:textId="77777777" w:rsidR="006A4E86" w:rsidRDefault="006A4E86" w:rsidP="006A4E86">
      <w:pPr>
        <w:pStyle w:val="Heading2"/>
      </w:pPr>
      <w:r>
        <w:t>Usability Testing</w:t>
      </w:r>
    </w:p>
    <w:p w14:paraId="029881E1" w14:textId="5FF8FF1B" w:rsidR="006A4E86" w:rsidRPr="006A4E86" w:rsidRDefault="006A4E86" w:rsidP="006A4E86">
      <w:r>
        <w:tab/>
        <w:t>The system’s audience can include people with international addresses, Unicode characters in their names, and similar locale-specific data entry decisions (see Table 5).  Mitigating these challenges requires the stakeholders to identify which markets will consume the product and what cultural norms might exist.  For instance, if the ERP system must service customers with slow and unreliable networks, then specific design decisions must be made.  These decisions might include limiting the inclusion of high-resolution graphics, audio files, and streaming video.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41B9801E" w14:textId="4DE37E87" w:rsidR="006A4E86" w:rsidRDefault="00276BBD" w:rsidP="00276BBD">
      <w:pPr>
        <w:pStyle w:val="Heading2"/>
      </w:pPr>
      <w:r>
        <w:lastRenderedPageBreak/>
        <w:t>Software Development Lifecycle (SDLC)</w:t>
      </w:r>
    </w:p>
    <w:p w14:paraId="053515D2" w14:textId="52130CBC" w:rsidR="008352BA" w:rsidRDefault="00276BBD" w:rsidP="006A4E86">
      <w:r>
        <w:tab/>
        <w:t>The SDLC includes planning, analysis, design, implementation, maintenance, and termination</w:t>
      </w:r>
      <w:sdt>
        <w:sdtPr>
          <w:id w:val="411041506"/>
          <w:citation/>
        </w:sdt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Introducing controls and processes between each step will improve the 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0933CECE" w14:textId="77777777" w:rsidR="00040EF1" w:rsidRDefault="00040EF1">
      <w:pPr>
        <w:rPr>
          <w:b/>
        </w:rPr>
      </w:pPr>
      <w:r>
        <w:br w:type="page"/>
      </w:r>
    </w:p>
    <w:p w14:paraId="1350108F" w14:textId="55E6901F" w:rsidR="00040EF1" w:rsidRDefault="00277276" w:rsidP="00040EF1">
      <w:pPr>
        <w:pStyle w:val="Heading1"/>
      </w:pPr>
      <w:r>
        <w:lastRenderedPageBreak/>
        <w:t xml:space="preserve">Section II: </w:t>
      </w:r>
      <w:r w:rsidR="00800DCC">
        <w:t>Recommendation for data and application control</w:t>
      </w:r>
      <w:r>
        <w:t>s</w:t>
      </w:r>
    </w:p>
    <w:p w14:paraId="114BE680" w14:textId="77777777" w:rsidR="00AB002C"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p>
    <w:p w14:paraId="164B86B1" w14:textId="5F0630B1" w:rsidR="00C44120" w:rsidRDefault="000528AC" w:rsidP="00C44120">
      <w:pPr>
        <w:ind w:firstLine="720"/>
      </w:pPr>
      <w:r>
        <w:t xml:space="preserve">For example, </w:t>
      </w:r>
      <w:r w:rsidR="0043203F">
        <w:t xml:space="preserve">Alice </w:t>
      </w:r>
      <w:r>
        <w:t xml:space="preserve">cannot directly access a production secret but can delegate the request through a web server (see Figure 3).  This situation authentication and authorization controls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access the Management Service (MS).  If the MS can control an Internal Service (IS) that can fetch the secret, then </w:t>
      </w:r>
      <w:r w:rsidR="003F7326">
        <w:t xml:space="preserve">partial mitigation </w:t>
      </w:r>
      <w:r w:rsidR="00B30124">
        <w:t xml:space="preserve">exists.  </w:t>
      </w:r>
      <w:proofErr w:type="gramStart"/>
      <w:r w:rsidR="00B30124">
        <w:t>Similar to</w:t>
      </w:r>
      <w:proofErr w:type="gramEnd"/>
      <w:r w:rsidR="00B30124">
        <w:t xml:space="preserve"> the previous example, the mitigation requires passing the caller identity so that authentication and authorization checks exist.  Under specific scenarios, adding these checks is not possible, and that requires more reliance on auditing and detection policies.</w:t>
      </w:r>
    </w:p>
    <w:tbl>
      <w:tblPr>
        <w:tblStyle w:val="TableGrid"/>
        <w:tblW w:w="0" w:type="auto"/>
        <w:tblLook w:val="04A0" w:firstRow="1" w:lastRow="0" w:firstColumn="1" w:lastColumn="0" w:noHBand="0" w:noVBand="1"/>
      </w:tblPr>
      <w:tblGrid>
        <w:gridCol w:w="4675"/>
        <w:gridCol w:w="4675"/>
      </w:tblGrid>
      <w:tr w:rsidR="00C44120" w14:paraId="0511E4BE" w14:textId="77777777" w:rsidTr="00C44120">
        <w:tc>
          <w:tcPr>
            <w:tcW w:w="4675" w:type="dxa"/>
          </w:tcPr>
          <w:p w14:paraId="5AAD0723" w14:textId="042FF57D" w:rsidR="00C44120" w:rsidRDefault="00C44120" w:rsidP="00C44120">
            <w:pPr>
              <w:pStyle w:val="Caption"/>
            </w:pPr>
            <w:r>
              <w:t xml:space="preserve">Figure 2: </w:t>
            </w:r>
            <w:r>
              <w:t>Control Taxonomy</w:t>
            </w:r>
          </w:p>
          <w:p w14:paraId="509A70AA" w14:textId="51E28F91" w:rsidR="00C44120" w:rsidRDefault="00C44120" w:rsidP="00C44120">
            <w:pPr>
              <w:jc w:val="center"/>
            </w:pPr>
            <w:r>
              <w:rPr>
                <w:noProof/>
              </w:rPr>
              <w:drawing>
                <wp:inline distT="0" distB="0" distL="0" distR="0" wp14:anchorId="4ABEFB45" wp14:editId="5DFF4885">
                  <wp:extent cx="2663948" cy="1821976"/>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128" cy="1883653"/>
                          </a:xfrm>
                          <a:prstGeom prst="rect">
                            <a:avLst/>
                          </a:prstGeom>
                          <a:noFill/>
                          <a:ln>
                            <a:noFill/>
                          </a:ln>
                        </pic:spPr>
                      </pic:pic>
                    </a:graphicData>
                  </a:graphic>
                </wp:inline>
              </w:drawing>
            </w:r>
          </w:p>
        </w:tc>
        <w:tc>
          <w:tcPr>
            <w:tcW w:w="4675" w:type="dxa"/>
          </w:tcPr>
          <w:p w14:paraId="095FB161" w14:textId="58E9F708" w:rsidR="00C44120" w:rsidRDefault="00C44120" w:rsidP="0043203F">
            <w:pPr>
              <w:pStyle w:val="Caption"/>
            </w:pPr>
            <w:r>
              <w:t xml:space="preserve">Figure 3: </w:t>
            </w:r>
            <w:r>
              <w:t>Application Controls</w:t>
            </w:r>
          </w:p>
          <w:p w14:paraId="4FE0FB34" w14:textId="4C2A2F26" w:rsidR="00C44120" w:rsidRDefault="00C44120" w:rsidP="00C44120">
            <w:pPr>
              <w:jc w:val="center"/>
            </w:pPr>
            <w:r>
              <w:rPr>
                <w:noProof/>
              </w:rPr>
              <w:drawing>
                <wp:inline distT="0" distB="0" distL="0" distR="0" wp14:anchorId="2AABD57C" wp14:editId="6D6B5E13">
                  <wp:extent cx="1862919" cy="1809310"/>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346" cy="1834976"/>
                          </a:xfrm>
                          <a:prstGeom prst="rect">
                            <a:avLst/>
                          </a:prstGeom>
                        </pic:spPr>
                      </pic:pic>
                    </a:graphicData>
                  </a:graphic>
                </wp:inline>
              </w:drawing>
            </w:r>
          </w:p>
        </w:tc>
      </w:tr>
    </w:tbl>
    <w:p w14:paraId="63901300" w14:textId="77777777" w:rsidR="00C44120" w:rsidRDefault="00C44120" w:rsidP="00C44120"/>
    <w:p w14:paraId="4C56ED21" w14:textId="77777777" w:rsidR="00A658E5" w:rsidRDefault="00A658E5">
      <w:pPr>
        <w:rPr>
          <w:b/>
        </w:rPr>
      </w:pPr>
      <w:r>
        <w:br w:type="page"/>
      </w:r>
    </w:p>
    <w:p w14:paraId="4E941A7D" w14:textId="3823BF2F" w:rsidR="00740932" w:rsidRDefault="002C4257" w:rsidP="002C4257">
      <w:pPr>
        <w:pStyle w:val="Heading1"/>
      </w:pPr>
      <w:r>
        <w:lastRenderedPageBreak/>
        <w:t xml:space="preserve">Section III: </w:t>
      </w:r>
      <w:r w:rsidR="00740932">
        <w:t>Comparison of development strategies</w:t>
      </w:r>
    </w:p>
    <w:tbl>
      <w:tblPr>
        <w:tblStyle w:val="GridTable4"/>
        <w:tblW w:w="0" w:type="auto"/>
        <w:tblLook w:val="04A0" w:firstRow="1" w:lastRow="0" w:firstColumn="1" w:lastColumn="0" w:noHBand="0" w:noVBand="1"/>
      </w:tblPr>
      <w:tblGrid>
        <w:gridCol w:w="2552"/>
        <w:gridCol w:w="1893"/>
        <w:gridCol w:w="2440"/>
        <w:gridCol w:w="2465"/>
      </w:tblGrid>
      <w:tr w:rsidR="0095163A" w14:paraId="0ADBC909" w14:textId="77777777" w:rsidTr="0095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ED81DC" w14:textId="52DE3031" w:rsidR="0095163A" w:rsidRDefault="0095163A" w:rsidP="009C4D49">
            <w:r>
              <w:t>Process Type</w:t>
            </w:r>
          </w:p>
        </w:tc>
        <w:tc>
          <w:tcPr>
            <w:tcW w:w="1893"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95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E05252" w14:textId="4DE0ECCD" w:rsidR="0095163A" w:rsidRDefault="0095163A" w:rsidP="009C4D49">
            <w:r>
              <w:t>Waterfall</w:t>
            </w:r>
            <w:r>
              <w:br/>
            </w:r>
            <w:sdt>
              <w:sdtPr>
                <w:id w:val="489765445"/>
                <w:citation/>
              </w:sdt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1893"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48FF5589"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br/>
              <w:t>Assertions disproven later are costly</w:t>
            </w:r>
          </w:p>
        </w:tc>
      </w:tr>
      <w:tr w:rsidR="0095163A" w14:paraId="1FE1A026" w14:textId="77777777" w:rsidTr="0095163A">
        <w:tc>
          <w:tcPr>
            <w:cnfStyle w:val="001000000000" w:firstRow="0" w:lastRow="0" w:firstColumn="1" w:lastColumn="0" w:oddVBand="0" w:evenVBand="0" w:oddHBand="0" w:evenHBand="0" w:firstRowFirstColumn="0" w:firstRowLastColumn="0" w:lastRowFirstColumn="0" w:lastRowLastColumn="0"/>
            <w:tcW w:w="2552" w:type="dxa"/>
          </w:tcPr>
          <w:p w14:paraId="4E16B568" w14:textId="423D1091" w:rsidR="0095163A" w:rsidRPr="0095163A" w:rsidRDefault="0095163A" w:rsidP="009C4D49">
            <w:pPr>
              <w:rPr>
                <w:b w:val="0"/>
                <w:bCs w:val="0"/>
              </w:rPr>
            </w:pPr>
            <w:r>
              <w:t>Spiral</w:t>
            </w:r>
            <w:r w:rsidRPr="0095163A">
              <w:rPr>
                <w:b w:val="0"/>
                <w:bCs w:val="0"/>
              </w:rPr>
              <w:br/>
            </w:r>
            <w:sdt>
              <w:sdtPr>
                <w:rPr>
                  <w:b w:val="0"/>
                  <w:bCs w:val="0"/>
                </w:rPr>
                <w:id w:val="642314111"/>
                <w:citation/>
              </w:sdtPr>
              <w:sdtContent>
                <w:r w:rsidRPr="0095163A">
                  <w:rPr>
                    <w:b w:val="0"/>
                    <w:bCs w:val="0"/>
                  </w:rPr>
                  <w:fldChar w:fldCharType="begin"/>
                </w:r>
                <w:r w:rsidRPr="0095163A">
                  <w:rPr>
                    <w:b w:val="0"/>
                    <w:bCs w:val="0"/>
                  </w:rPr>
                  <w:instrText xml:space="preserve"> CITATION Eas20 \l 1033 </w:instrText>
                </w:r>
                <w:r w:rsidRPr="0095163A">
                  <w:rPr>
                    <w:b w:val="0"/>
                    <w:bCs w:val="0"/>
                  </w:rPr>
                  <w:fldChar w:fldCharType="separate"/>
                </w:r>
                <w:r w:rsidRPr="0095163A">
                  <w:rPr>
                    <w:b w:val="0"/>
                    <w:bCs w:val="0"/>
                    <w:noProof/>
                  </w:rPr>
                  <w:t>(Easy Learning, 2020)</w:t>
                </w:r>
                <w:r w:rsidRPr="0095163A">
                  <w:rPr>
                    <w:b w:val="0"/>
                    <w:bCs w:val="0"/>
                  </w:rPr>
                  <w:fldChar w:fldCharType="end"/>
                </w:r>
              </w:sdtContent>
            </w:sdt>
          </w:p>
        </w:tc>
        <w:tc>
          <w:tcPr>
            <w:tcW w:w="1893" w:type="dxa"/>
          </w:tcPr>
          <w:p w14:paraId="55EB6F9D" w14:textId="499F2D91" w:rsidR="0095163A" w:rsidRDefault="0095163A" w:rsidP="009C4D49">
            <w:pPr>
              <w:cnfStyle w:val="000000000000" w:firstRow="0" w:lastRow="0" w:firstColumn="0" w:lastColumn="0" w:oddVBand="0" w:evenVBand="0" w:oddHBand="0" w:evenHBand="0" w:firstRowFirstColumn="0" w:firstRowLastColumn="0" w:lastRowFirstColumn="0" w:lastRowLastColumn="0"/>
            </w:pPr>
            <w:r>
              <w:t>L</w:t>
            </w:r>
            <w:r>
              <w:t>oop of plan, risk assessment, development, and</w:t>
            </w:r>
            <w:r>
              <w:t xml:space="preserve">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95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3A7E9F2" w14:textId="67B4C287" w:rsidR="0095163A" w:rsidRDefault="0095163A" w:rsidP="009C4D49">
            <w:r>
              <w:t>Rapid Development</w:t>
            </w:r>
          </w:p>
        </w:tc>
        <w:tc>
          <w:tcPr>
            <w:tcW w:w="1893" w:type="dxa"/>
          </w:tcPr>
          <w:p w14:paraId="74D17149" w14:textId="77777777" w:rsidR="0095163A" w:rsidRDefault="0095163A" w:rsidP="009C4D49">
            <w:pPr>
              <w:cnfStyle w:val="000000100000" w:firstRow="0" w:lastRow="0" w:firstColumn="0" w:lastColumn="0" w:oddVBand="0" w:evenVBand="0" w:oddHBand="1" w:evenHBand="0" w:firstRowFirstColumn="0" w:firstRowLastColumn="0" w:lastRowFirstColumn="0" w:lastRowLastColumn="0"/>
            </w:pPr>
          </w:p>
        </w:tc>
        <w:tc>
          <w:tcPr>
            <w:tcW w:w="2440" w:type="dxa"/>
          </w:tcPr>
          <w:p w14:paraId="0BC6D198" w14:textId="4425AFAE" w:rsidR="0095163A" w:rsidRDefault="0095163A" w:rsidP="009C4D49">
            <w:pPr>
              <w:cnfStyle w:val="000000100000" w:firstRow="0" w:lastRow="0" w:firstColumn="0" w:lastColumn="0" w:oddVBand="0" w:evenVBand="0" w:oddHBand="1" w:evenHBand="0" w:firstRowFirstColumn="0" w:firstRowLastColumn="0" w:lastRowFirstColumn="0" w:lastRowLastColumn="0"/>
            </w:pPr>
          </w:p>
        </w:tc>
        <w:tc>
          <w:tcPr>
            <w:tcW w:w="2465" w:type="dxa"/>
          </w:tcPr>
          <w:p w14:paraId="65635E40" w14:textId="77777777" w:rsidR="0095163A" w:rsidRDefault="0095163A" w:rsidP="009C4D49">
            <w:pPr>
              <w:cnfStyle w:val="000000100000" w:firstRow="0" w:lastRow="0" w:firstColumn="0" w:lastColumn="0" w:oddVBand="0" w:evenVBand="0" w:oddHBand="1" w:evenHBand="0" w:firstRowFirstColumn="0" w:firstRowLastColumn="0" w:lastRowFirstColumn="0" w:lastRowLastColumn="0"/>
            </w:pPr>
          </w:p>
        </w:tc>
      </w:tr>
      <w:tr w:rsidR="0095163A" w14:paraId="5386185E" w14:textId="77777777" w:rsidTr="0095163A">
        <w:tc>
          <w:tcPr>
            <w:cnfStyle w:val="001000000000" w:firstRow="0" w:lastRow="0" w:firstColumn="1" w:lastColumn="0" w:oddVBand="0" w:evenVBand="0" w:oddHBand="0" w:evenHBand="0" w:firstRowFirstColumn="0" w:firstRowLastColumn="0" w:lastRowFirstColumn="0" w:lastRowLastColumn="0"/>
            <w:tcW w:w="2552" w:type="dxa"/>
          </w:tcPr>
          <w:p w14:paraId="7FDEF270" w14:textId="6CCADBA5" w:rsidR="0095163A" w:rsidRDefault="0095163A" w:rsidP="009C4D49">
            <w:r>
              <w:t>Reuse</w:t>
            </w:r>
          </w:p>
        </w:tc>
        <w:tc>
          <w:tcPr>
            <w:tcW w:w="1893" w:type="dxa"/>
          </w:tcPr>
          <w:p w14:paraId="285F33B2" w14:textId="77777777" w:rsidR="0095163A" w:rsidRDefault="0095163A" w:rsidP="009C4D49">
            <w:pPr>
              <w:cnfStyle w:val="000000000000" w:firstRow="0" w:lastRow="0" w:firstColumn="0" w:lastColumn="0" w:oddVBand="0" w:evenVBand="0" w:oddHBand="0" w:evenHBand="0" w:firstRowFirstColumn="0" w:firstRowLastColumn="0" w:lastRowFirstColumn="0" w:lastRowLastColumn="0"/>
            </w:pPr>
          </w:p>
        </w:tc>
        <w:tc>
          <w:tcPr>
            <w:tcW w:w="2440" w:type="dxa"/>
          </w:tcPr>
          <w:p w14:paraId="2707A2AB" w14:textId="21F3FDE0" w:rsidR="0095163A" w:rsidRDefault="0095163A" w:rsidP="009C4D49">
            <w:pPr>
              <w:cnfStyle w:val="000000000000" w:firstRow="0" w:lastRow="0" w:firstColumn="0" w:lastColumn="0" w:oddVBand="0" w:evenVBand="0" w:oddHBand="0" w:evenHBand="0" w:firstRowFirstColumn="0" w:firstRowLastColumn="0" w:lastRowFirstColumn="0" w:lastRowLastColumn="0"/>
            </w:pPr>
          </w:p>
        </w:tc>
        <w:tc>
          <w:tcPr>
            <w:tcW w:w="2465" w:type="dxa"/>
          </w:tcPr>
          <w:p w14:paraId="6AF8529C" w14:textId="77777777" w:rsidR="0095163A" w:rsidRDefault="0095163A" w:rsidP="009C4D49">
            <w:pPr>
              <w:cnfStyle w:val="000000000000" w:firstRow="0" w:lastRow="0" w:firstColumn="0" w:lastColumn="0" w:oddVBand="0" w:evenVBand="0" w:oddHBand="0" w:evenHBand="0" w:firstRowFirstColumn="0" w:firstRowLastColumn="0" w:lastRowFirstColumn="0" w:lastRowLastColumn="0"/>
            </w:pPr>
          </w:p>
        </w:tc>
      </w:tr>
      <w:tr w:rsidR="0095163A" w14:paraId="6417BC30" w14:textId="77777777" w:rsidTr="0095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944C268" w14:textId="7A19DE77" w:rsidR="0095163A" w:rsidRDefault="0095163A" w:rsidP="009C4D49">
            <w:r>
              <w:t>Extreme Programming</w:t>
            </w:r>
          </w:p>
        </w:tc>
        <w:tc>
          <w:tcPr>
            <w:tcW w:w="1893" w:type="dxa"/>
          </w:tcPr>
          <w:p w14:paraId="5E83C282" w14:textId="77777777" w:rsidR="0095163A" w:rsidRDefault="0095163A" w:rsidP="009C4D49">
            <w:pPr>
              <w:cnfStyle w:val="000000100000" w:firstRow="0" w:lastRow="0" w:firstColumn="0" w:lastColumn="0" w:oddVBand="0" w:evenVBand="0" w:oddHBand="1" w:evenHBand="0" w:firstRowFirstColumn="0" w:firstRowLastColumn="0" w:lastRowFirstColumn="0" w:lastRowLastColumn="0"/>
            </w:pPr>
          </w:p>
        </w:tc>
        <w:tc>
          <w:tcPr>
            <w:tcW w:w="2440" w:type="dxa"/>
          </w:tcPr>
          <w:p w14:paraId="7DE2BD7C" w14:textId="674F0BC7" w:rsidR="0095163A" w:rsidRDefault="0095163A" w:rsidP="009C4D49">
            <w:pPr>
              <w:cnfStyle w:val="000000100000" w:firstRow="0" w:lastRow="0" w:firstColumn="0" w:lastColumn="0" w:oddVBand="0" w:evenVBand="0" w:oddHBand="1" w:evenHBand="0" w:firstRowFirstColumn="0" w:firstRowLastColumn="0" w:lastRowFirstColumn="0" w:lastRowLastColumn="0"/>
            </w:pPr>
          </w:p>
        </w:tc>
        <w:tc>
          <w:tcPr>
            <w:tcW w:w="2465" w:type="dxa"/>
          </w:tcPr>
          <w:p w14:paraId="7E8C369A" w14:textId="77777777" w:rsidR="0095163A" w:rsidRDefault="0095163A" w:rsidP="009C4D49">
            <w:pPr>
              <w:cnfStyle w:val="000000100000" w:firstRow="0" w:lastRow="0" w:firstColumn="0" w:lastColumn="0" w:oddVBand="0" w:evenVBand="0" w:oddHBand="1" w:evenHBand="0" w:firstRowFirstColumn="0" w:firstRowLastColumn="0" w:lastRowFirstColumn="0" w:lastRowLastColumn="0"/>
            </w:pPr>
          </w:p>
        </w:tc>
      </w:tr>
    </w:tbl>
    <w:p w14:paraId="4E6A35B5" w14:textId="77777777" w:rsidR="009C4D49" w:rsidRPr="009C4D49" w:rsidRDefault="009C4D49" w:rsidP="009C4D49"/>
    <w:sectPr w:rsidR="009C4D49" w:rsidRPr="009C4D49"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5E948" w14:textId="77777777" w:rsidR="0048605F" w:rsidRDefault="0048605F" w:rsidP="0082223F">
      <w:pPr>
        <w:spacing w:line="240" w:lineRule="auto"/>
      </w:pPr>
      <w:r>
        <w:separator/>
      </w:r>
    </w:p>
  </w:endnote>
  <w:endnote w:type="continuationSeparator" w:id="0">
    <w:p w14:paraId="3CB31672" w14:textId="77777777" w:rsidR="0048605F" w:rsidRDefault="0048605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9BA12" w14:textId="77777777" w:rsidR="0048605F" w:rsidRDefault="0048605F" w:rsidP="0082223F">
      <w:pPr>
        <w:spacing w:line="240" w:lineRule="auto"/>
      </w:pPr>
      <w:r>
        <w:separator/>
      </w:r>
    </w:p>
  </w:footnote>
  <w:footnote w:type="continuationSeparator" w:id="0">
    <w:p w14:paraId="42F1B81E" w14:textId="77777777" w:rsidR="0048605F" w:rsidRDefault="0048605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6582"/>
    <w:rsid w:val="00036708"/>
    <w:rsid w:val="00036F58"/>
    <w:rsid w:val="00040EF1"/>
    <w:rsid w:val="000440EF"/>
    <w:rsid w:val="000528AC"/>
    <w:rsid w:val="00156F0D"/>
    <w:rsid w:val="00166123"/>
    <w:rsid w:val="00183597"/>
    <w:rsid w:val="001A7A50"/>
    <w:rsid w:val="001D1A65"/>
    <w:rsid w:val="00221F27"/>
    <w:rsid w:val="002676C2"/>
    <w:rsid w:val="00276BBD"/>
    <w:rsid w:val="00277276"/>
    <w:rsid w:val="002806B7"/>
    <w:rsid w:val="00280B06"/>
    <w:rsid w:val="0029373C"/>
    <w:rsid w:val="002C4257"/>
    <w:rsid w:val="003825E6"/>
    <w:rsid w:val="003F4714"/>
    <w:rsid w:val="003F5694"/>
    <w:rsid w:val="003F7326"/>
    <w:rsid w:val="00401D65"/>
    <w:rsid w:val="004223E8"/>
    <w:rsid w:val="0043203F"/>
    <w:rsid w:val="004363B0"/>
    <w:rsid w:val="0048605F"/>
    <w:rsid w:val="004870B8"/>
    <w:rsid w:val="004874FF"/>
    <w:rsid w:val="004A784B"/>
    <w:rsid w:val="004D677B"/>
    <w:rsid w:val="00510022"/>
    <w:rsid w:val="00555821"/>
    <w:rsid w:val="005B7079"/>
    <w:rsid w:val="00601D3E"/>
    <w:rsid w:val="00611165"/>
    <w:rsid w:val="00634554"/>
    <w:rsid w:val="006442B7"/>
    <w:rsid w:val="0067749D"/>
    <w:rsid w:val="006A2D4D"/>
    <w:rsid w:val="006A4E86"/>
    <w:rsid w:val="006B1D29"/>
    <w:rsid w:val="006D793E"/>
    <w:rsid w:val="00735287"/>
    <w:rsid w:val="0073677D"/>
    <w:rsid w:val="00740932"/>
    <w:rsid w:val="007606EE"/>
    <w:rsid w:val="00800DCC"/>
    <w:rsid w:val="0081430F"/>
    <w:rsid w:val="0082223F"/>
    <w:rsid w:val="008352BA"/>
    <w:rsid w:val="00850AAE"/>
    <w:rsid w:val="00877007"/>
    <w:rsid w:val="00896080"/>
    <w:rsid w:val="008B5129"/>
    <w:rsid w:val="008C5DA5"/>
    <w:rsid w:val="00942FF1"/>
    <w:rsid w:val="0095163A"/>
    <w:rsid w:val="009A757D"/>
    <w:rsid w:val="009C2362"/>
    <w:rsid w:val="009C4D49"/>
    <w:rsid w:val="00A24C80"/>
    <w:rsid w:val="00A658E5"/>
    <w:rsid w:val="00A90414"/>
    <w:rsid w:val="00A9615B"/>
    <w:rsid w:val="00AB002C"/>
    <w:rsid w:val="00B13ADF"/>
    <w:rsid w:val="00B30124"/>
    <w:rsid w:val="00C341A0"/>
    <w:rsid w:val="00C44120"/>
    <w:rsid w:val="00C46440"/>
    <w:rsid w:val="00C54DC8"/>
    <w:rsid w:val="00C73692"/>
    <w:rsid w:val="00C82B52"/>
    <w:rsid w:val="00C85BF5"/>
    <w:rsid w:val="00C93BB7"/>
    <w:rsid w:val="00CB25E9"/>
    <w:rsid w:val="00D24E2E"/>
    <w:rsid w:val="00D35B6A"/>
    <w:rsid w:val="00D75C7B"/>
    <w:rsid w:val="00D85C7B"/>
    <w:rsid w:val="00DE2224"/>
    <w:rsid w:val="00E103C0"/>
    <w:rsid w:val="00E234E9"/>
    <w:rsid w:val="00E82ADA"/>
    <w:rsid w:val="00E908F4"/>
    <w:rsid w:val="00E97259"/>
    <w:rsid w:val="00ED3713"/>
    <w:rsid w:val="00F16E5E"/>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s>
</file>

<file path=customXml/itemProps1.xml><?xml version="1.0" encoding="utf-8"?>
<ds:datastoreItem xmlns:ds="http://schemas.openxmlformats.org/officeDocument/2006/customXml" ds:itemID="{D62E22E7-9C2C-49E9-95FA-2BAA28D1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78</cp:revision>
  <dcterms:created xsi:type="dcterms:W3CDTF">2019-05-19T17:38:00Z</dcterms:created>
  <dcterms:modified xsi:type="dcterms:W3CDTF">2020-06-28T23:37:00Z</dcterms:modified>
</cp:coreProperties>
</file>