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816F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49A57475"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w:t>
      </w:r>
      <w:r w:rsidR="00F97F9A">
        <w:t>that</w:t>
      </w:r>
      <w:r w:rsidR="005B30D5">
        <w:t xml:space="preserve"> </w:t>
      </w:r>
      <w:r>
        <w:t xml:space="preserve">specific </w:t>
      </w:r>
      <w:r w:rsidR="005B30D5">
        <w:t>threat</w:t>
      </w:r>
      <w:r>
        <w:t>.</w:t>
      </w:r>
      <w:r w:rsidR="00F03D3C">
        <w:t xml:space="preserve">  The costs to address these predicates range substantially and are highly scenario specific.  For instance, the legacy </w:t>
      </w:r>
      <w:proofErr w:type="gramStart"/>
      <w:r w:rsidR="00F03D3C">
        <w:t>main</w:t>
      </w:r>
      <w:r w:rsidR="005B30D5">
        <w:t>-</w:t>
      </w:r>
      <w:r w:rsidR="00F03D3C">
        <w:t>frame</w:t>
      </w:r>
      <w:proofErr w:type="gramEnd"/>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xml:space="preserve">.  Processes need to </w:t>
      </w:r>
      <w:r w:rsidR="00F97F9A">
        <w:t>combinations of proactive and reactive defenses</w:t>
      </w:r>
      <w:r w:rsidR="00F97F9A">
        <w:t xml:space="preserve"> </w:t>
      </w:r>
      <w:r w:rsidR="001928BB">
        <w:t xml:space="preserve">to defuse these </w:t>
      </w:r>
      <w:r w:rsidR="00F97F9A">
        <w:t xml:space="preserve">timebombs </w:t>
      </w:r>
      <w:r w:rsidR="001928BB">
        <w:t>before they explode.</w:t>
      </w:r>
    </w:p>
    <w:p w14:paraId="3543AEE1" w14:textId="2F7E6FAA" w:rsidR="002F5CE8" w:rsidRDefault="002F5CE8" w:rsidP="002F5CE8">
      <w:pPr>
        <w:pStyle w:val="Heading1"/>
      </w:pPr>
      <w:r>
        <w:lastRenderedPageBreak/>
        <w:t xml:space="preserve">Section I: </w:t>
      </w:r>
      <w:r>
        <w:t>Assessing</w:t>
      </w:r>
      <w:r>
        <w:t xml:space="preserve"> Vulnerabilities</w:t>
      </w:r>
    </w:p>
    <w:p w14:paraId="0098B872" w14:textId="77777777" w:rsidR="002F5CE8" w:rsidRDefault="002F5CE8" w:rsidP="002F5CE8">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E8A48F" w14:textId="77777777" w:rsidR="002F5CE8" w:rsidRPr="0052336C" w:rsidRDefault="002F5CE8" w:rsidP="002F5CE8"/>
    <w:p w14:paraId="60FDF62A" w14:textId="77777777" w:rsidR="002F5CE8" w:rsidRDefault="002F5CE8" w:rsidP="002F5CE8">
      <w:pPr>
        <w:pStyle w:val="Caption"/>
      </w:pPr>
      <w:r>
        <w:t>Figure 2: Vulnerability Assessment</w:t>
      </w:r>
    </w:p>
    <w:p w14:paraId="09D98426" w14:textId="77777777" w:rsidR="002F5CE8" w:rsidRDefault="002F5CE8" w:rsidP="002F5CE8">
      <w:pPr>
        <w:jc w:val="center"/>
      </w:pPr>
      <w:r>
        <w:rPr>
          <w:noProof/>
        </w:rPr>
        <w:drawing>
          <wp:inline distT="0" distB="0" distL="0" distR="0" wp14:anchorId="51A9F948" wp14:editId="00CD255D">
            <wp:extent cx="1924254" cy="18580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3188" cy="1895656"/>
                    </a:xfrm>
                    <a:prstGeom prst="rect">
                      <a:avLst/>
                    </a:prstGeom>
                    <a:noFill/>
                    <a:ln>
                      <a:noFill/>
                    </a:ln>
                  </pic:spPr>
                </pic:pic>
              </a:graphicData>
            </a:graphic>
          </wp:inline>
        </w:drawing>
      </w:r>
    </w:p>
    <w:p w14:paraId="78AF65F1" w14:textId="77777777" w:rsidR="002F5CE8" w:rsidRDefault="002F5CE8" w:rsidP="002F5CE8">
      <w:pPr>
        <w:jc w:val="center"/>
      </w:pPr>
    </w:p>
    <w:p w14:paraId="7BE6BAF8" w14:textId="77777777" w:rsidR="002F5CE8" w:rsidRDefault="002F5CE8" w:rsidP="002F5CE8">
      <w:pPr>
        <w:pStyle w:val="Heading2"/>
      </w:pPr>
      <w:r>
        <w:t>Identification</w:t>
      </w:r>
    </w:p>
    <w:p w14:paraId="5D9FB600" w14:textId="77777777" w:rsidR="002F5CE8" w:rsidRDefault="002F5CE8" w:rsidP="002F5CE8">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53160C38" w14:textId="77777777" w:rsidR="002F5CE8" w:rsidRDefault="002F5CE8" w:rsidP="002F5CE8">
      <w:pPr>
        <w:jc w:val="center"/>
      </w:pPr>
    </w:p>
    <w:p w14:paraId="0FDFA19B" w14:textId="77777777" w:rsidR="002F5CE8" w:rsidRDefault="002F5CE8" w:rsidP="002F5CE8">
      <w:pPr>
        <w:pStyle w:val="Caption"/>
      </w:pPr>
      <w:r>
        <w:lastRenderedPageBreak/>
        <w:t>Figure 3: Identification Strategies</w:t>
      </w:r>
    </w:p>
    <w:p w14:paraId="114761F2" w14:textId="77777777" w:rsidR="002F5CE8" w:rsidRDefault="002F5CE8" w:rsidP="002F5CE8">
      <w:pPr>
        <w:jc w:val="center"/>
      </w:pPr>
      <w:r>
        <w:rPr>
          <w:noProof/>
        </w:rPr>
        <w:drawing>
          <wp:inline distT="0" distB="0" distL="0" distR="0" wp14:anchorId="591F0AF8" wp14:editId="6D9B3751">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7A8541F3" w14:textId="77777777" w:rsidR="002F5CE8" w:rsidRDefault="002F5CE8" w:rsidP="002F5CE8">
      <w:pPr>
        <w:pStyle w:val="Heading2"/>
      </w:pPr>
      <w:r>
        <w:t>Plan</w:t>
      </w:r>
    </w:p>
    <w:p w14:paraId="653FFA97" w14:textId="3646B479" w:rsidR="002F5CE8" w:rsidRPr="00900BFD" w:rsidRDefault="002F5CE8" w:rsidP="002F5CE8">
      <w:r>
        <w:tab/>
        <w:t xml:space="preserve">The full impact of a vulnerability might not be immediately visible, as engineering teams often </w:t>
      </w:r>
      <w:r w:rsidR="007A0B4E">
        <w:t>copy-paste</w:t>
      </w:r>
      <w:r>
        <w:t xml:space="preserve"> existing code and infrastructure</w:t>
      </w:r>
      <w:r w:rsidR="007A0B4E">
        <w:t xml:space="preserve"> into multiple locations</w:t>
      </w:r>
      <w:r>
        <w:t>.  During the planning phase, the senior leaders need to agree on a communication strategy and proposal for introducing the new change</w:t>
      </w:r>
      <w:r w:rsidR="007A0B4E">
        <w:t>s</w:t>
      </w:r>
      <w:r>
        <w:t xml:space="preserve">.  Consider a scenario where insufficient controls exist for a shared database. Arbitrarily adding defenses will break downstream processes and cause a production outage.  </w:t>
      </w:r>
      <w:proofErr w:type="gramStart"/>
      <w:r>
        <w:t>Similar to</w:t>
      </w:r>
      <w:proofErr w:type="gramEnd"/>
      <w:r>
        <w:t xml:space="preserv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risk that comes from doing everything upfront.  Perhaps </w:t>
      </w:r>
      <w:r w:rsidR="00B611B5">
        <w:t>this</w:t>
      </w:r>
      <w:r>
        <w:t xml:space="preserve"> means only protecting against one of N situations </w:t>
      </w:r>
      <w:proofErr w:type="gramStart"/>
      <w:r>
        <w:t>initially, and</w:t>
      </w:r>
      <w:proofErr w:type="gramEnd"/>
      <w:r>
        <w:t xml:space="preserve"> returning to the others later.</w:t>
      </w:r>
    </w:p>
    <w:p w14:paraId="627D61AC" w14:textId="77777777" w:rsidR="002F5CE8" w:rsidRDefault="002F5CE8" w:rsidP="002F5CE8">
      <w:pPr>
        <w:pStyle w:val="Heading2"/>
      </w:pPr>
      <w:r>
        <w:t>Mitigation and Verification</w:t>
      </w:r>
    </w:p>
    <w:p w14:paraId="7F18F61F" w14:textId="0CA2A012" w:rsidR="002F5CE8" w:rsidRDefault="002F5CE8" w:rsidP="002F5CE8">
      <w:r>
        <w:tab/>
        <w:t xml:space="preserve">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w:t>
      </w:r>
      <w:r w:rsidR="00B611B5">
        <w:t xml:space="preserve">surfacing </w:t>
      </w:r>
      <w:r>
        <w:t xml:space="preserve">broken code).  In parallel to standard regression automation, the quality assurance teams need to confirm other permutations of the exploit are unsuccessful.  For </w:t>
      </w:r>
      <w:r>
        <w:lastRenderedPageBreak/>
        <w:t xml:space="preserve">example, a cross-site scripting defect existing in the enrollment portal (see Figure 1) via the query string.  </w:t>
      </w:r>
      <w:r w:rsidR="00B611B5">
        <w:t>Any</w:t>
      </w:r>
      <w:r>
        <w:t xml:space="preserve"> mitigation </w:t>
      </w:r>
      <w:r w:rsidR="00B611B5">
        <w:t>validation plan must also review the other page parameters</w:t>
      </w:r>
      <w:r>
        <w:t>.</w:t>
      </w:r>
    </w:p>
    <w:p w14:paraId="7BA70004" w14:textId="77777777" w:rsidR="002F5CE8" w:rsidRDefault="002F5CE8" w:rsidP="002F5CE8">
      <w:pPr>
        <w:pStyle w:val="Heading2"/>
      </w:pPr>
      <w:r>
        <w:t>Respond</w:t>
      </w:r>
    </w:p>
    <w:p w14:paraId="50B883ED" w14:textId="77D4A03E" w:rsidR="002F5CE8" w:rsidRDefault="002F5CE8" w:rsidP="002F5CE8">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w:t>
      </w:r>
      <w:r w:rsidR="00A80FCB">
        <w:t>that expect</w:t>
      </w:r>
      <w:r>
        <w:t xml:space="preserve"> ful</w:t>
      </w:r>
      <w:r w:rsidR="00A80FCB">
        <w:t>l</w:t>
      </w:r>
      <w:r>
        <w:t xml:space="preserve"> </w:t>
      </w:r>
      <w:r w:rsidR="00A80FCB">
        <w:t>transparency</w:t>
      </w:r>
      <w:r>
        <w:t xml:space="preserve">.  If the business attempts to cover up the mistake, only </w:t>
      </w:r>
      <w:r w:rsidR="00A80FCB">
        <w:t xml:space="preserve">to find </w:t>
      </w:r>
      <w:r>
        <w:t xml:space="preserve">details leaked to the media, removes substantial </w:t>
      </w:r>
      <w:proofErr w:type="gramStart"/>
      <w:r>
        <w:t>trust</w:t>
      </w:r>
      <w:proofErr w:type="gramEnd"/>
      <w:r>
        <w:t xml:space="preserve"> and might </w:t>
      </w:r>
      <w:r w:rsidR="00A80FCB" w:rsidRPr="00A80FCB">
        <w:t>irre</w:t>
      </w:r>
      <w:r w:rsidR="00A80FCB">
        <w:t>f</w:t>
      </w:r>
      <w:r w:rsidR="00A80FCB" w:rsidRPr="00A80FCB">
        <w:t>utabl</w:t>
      </w:r>
      <w:r w:rsidR="00A80FCB">
        <w:t>y</w:t>
      </w:r>
      <w:r w:rsidR="00A80FCB" w:rsidRPr="00A80FCB">
        <w:t xml:space="preserve"> </w:t>
      </w:r>
      <w:r>
        <w:t>harm its public image.  Given the numerous landmines that may exist, the security team should involve members of senior leadership and other stakeholders (e.g., general counsel or public relations).</w:t>
      </w:r>
    </w:p>
    <w:p w14:paraId="5C7C3440" w14:textId="1195C902" w:rsidR="00592A90" w:rsidRDefault="0052336C" w:rsidP="00592A90">
      <w:pPr>
        <w:pStyle w:val="Heading1"/>
      </w:pPr>
      <w:r>
        <w:t xml:space="preserve">Section </w:t>
      </w:r>
      <w:r w:rsidR="002F5CE8">
        <w:t>I</w:t>
      </w:r>
      <w:r>
        <w:t xml:space="preserve">I: </w:t>
      </w:r>
      <w:r w:rsidR="006A4F1F">
        <w:t>Role of Auditing</w:t>
      </w:r>
    </w:p>
    <w:p w14:paraId="087F94EE" w14:textId="21812F33" w:rsidR="006A4F1F"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Eventually, service failures occur within this complex environment leading to the natural question, “so what happened?”  The cost associated with solving this mystery is dependent on the quality of the auditing information.</w:t>
      </w:r>
    </w:p>
    <w:p w14:paraId="73FC8EF7" w14:textId="2964DBD2" w:rsidR="006A4F1F" w:rsidRDefault="006A4F1F" w:rsidP="006A4F1F">
      <w:pPr>
        <w:pStyle w:val="Heading2"/>
      </w:pPr>
      <w:r>
        <w:t>What information to collection</w:t>
      </w:r>
    </w:p>
    <w:p w14:paraId="5D57D015" w14:textId="04CA24F4" w:rsidR="006A4F1F" w:rsidRDefault="006A4F1F" w:rsidP="006A4F1F">
      <w:pPr>
        <w:ind w:firstLine="720"/>
      </w:pPr>
      <w:r>
        <w:t>H</w:t>
      </w:r>
      <w:r w:rsidR="00A44D57">
        <w:t xml:space="preserve">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t xml:space="preserve"> In addition to these failure scenarios, there must also be considerations around industry norms and regulatory </w:t>
      </w:r>
      <w:r>
        <w:lastRenderedPageBreak/>
        <w:t xml:space="preserve">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25E39962" w14:textId="3A4D1191" w:rsidR="006A4F1F" w:rsidRDefault="00592A90" w:rsidP="002F5CE8">
      <w:pPr>
        <w:ind w:firstLine="720"/>
      </w:pPr>
      <w:r>
        <w:t>H</w:t>
      </w:r>
      <w:r w:rsidR="00A44D57">
        <w:t xml:space="preserve">owever, a trade-off exists between performance, storage, and observability, which might limit </w:t>
      </w:r>
      <w:r>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168F290F" w14:textId="41D33C0F" w:rsidR="006A4F1F" w:rsidRDefault="00885959" w:rsidP="006A4F1F">
      <w:pPr>
        <w:pStyle w:val="Heading2"/>
      </w:pPr>
      <w:r>
        <w:t>Creating Operational Insights</w:t>
      </w:r>
    </w:p>
    <w:p w14:paraId="23798ED0" w14:textId="570C8A89" w:rsidR="00592A90" w:rsidRDefault="00A44D57" w:rsidP="00592A90">
      <w:pPr>
        <w:ind w:firstLine="720"/>
      </w:pPr>
      <w:r>
        <w:t xml:space="preserve">Audit events are dots that make up a larger </w:t>
      </w:r>
      <w:r w:rsidR="004442FE" w:rsidRPr="004442FE">
        <w:t>pointillism</w:t>
      </w:r>
      <w:r>
        <w:t>.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proofErr w:type="gramStart"/>
      <w:r>
        <w:t>this impacts</w:t>
      </w:r>
      <w:proofErr w:type="gramEnd"/>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Along with these properties, other common aspects like the caller’s context can provide additional insights.</w:t>
      </w:r>
    </w:p>
    <w:p w14:paraId="4B270F1A" w14:textId="40979EA3" w:rsidR="00885959" w:rsidRDefault="00885959" w:rsidP="00885959">
      <w:pPr>
        <w:pStyle w:val="Heading2"/>
      </w:pPr>
      <w:r>
        <w:t>Collecting and Leveraging Insights</w:t>
      </w:r>
    </w:p>
    <w:p w14:paraId="72AD209C" w14:textId="7BBC5FFC" w:rsidR="00277A55" w:rsidRDefault="00C5200D" w:rsidP="00592A90">
      <w:pPr>
        <w:ind w:firstLine="720"/>
      </w:pPr>
      <w:r>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w:t>
      </w:r>
      <w:r>
        <w:lastRenderedPageBreak/>
        <w:t xml:space="preserve">policies that monitor changes to the ecosystem.  Many enterprises choose to purchase holistic 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DC17A81" w14:textId="4C6DAB20" w:rsidR="006A4F1F" w:rsidRDefault="006A4F1F" w:rsidP="006A4F1F">
      <w:pPr>
        <w:pStyle w:val="Heading2"/>
      </w:pPr>
      <w:r>
        <w:t xml:space="preserve">Integrating </w:t>
      </w:r>
      <w:r>
        <w:t>SIEM</w:t>
      </w:r>
    </w:p>
    <w:p w14:paraId="1DB05749" w14:textId="77777777" w:rsidR="002F5CE8" w:rsidRDefault="002F5CE8" w:rsidP="002F5CE8">
      <w:pPr>
        <w:pStyle w:val="Caption"/>
      </w:pPr>
      <w:r>
        <w:t>Figure 1: Enrollment App</w:t>
      </w:r>
    </w:p>
    <w:p w14:paraId="11113E40" w14:textId="77777777" w:rsidR="002F5CE8" w:rsidRDefault="002F5CE8" w:rsidP="002F5CE8">
      <w:pPr>
        <w:ind w:firstLine="720"/>
        <w:jc w:val="center"/>
      </w:pPr>
      <w:r>
        <w:rPr>
          <w:noProof/>
        </w:rPr>
        <w:drawing>
          <wp:inline distT="0" distB="0" distL="0" distR="0" wp14:anchorId="5D8DCF9A" wp14:editId="63E6584A">
            <wp:extent cx="2625636" cy="1924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34" cy="2053680"/>
                    </a:xfrm>
                    <a:prstGeom prst="rect">
                      <a:avLst/>
                    </a:prstGeom>
                  </pic:spPr>
                </pic:pic>
              </a:graphicData>
            </a:graphic>
          </wp:inline>
        </w:drawing>
      </w:r>
    </w:p>
    <w:p w14:paraId="264AC690" w14:textId="77777777" w:rsidR="002F5CE8" w:rsidRPr="002F5CE8" w:rsidRDefault="002F5CE8" w:rsidP="002F5CE8"/>
    <w:p w14:paraId="73C48C4C" w14:textId="77777777" w:rsidR="006A4F1F" w:rsidRDefault="006A4F1F" w:rsidP="006A4F1F">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04BB3A8A" w14:textId="77777777" w:rsidR="006A4F1F" w:rsidRDefault="006A4F1F" w:rsidP="00592A90">
      <w:pPr>
        <w:ind w:firstLine="720"/>
      </w:pPr>
    </w:p>
    <w:p w14:paraId="71365FF3" w14:textId="7FCAA712" w:rsidR="001928BB" w:rsidRDefault="001928BB" w:rsidP="001928BB">
      <w:pPr>
        <w:pStyle w:val="Caption"/>
      </w:pPr>
      <w:r>
        <w:lastRenderedPageBreak/>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500 </w:t>
            </w:r>
            <w:proofErr w:type="gramStart"/>
            <w:r>
              <w:t>asset</w:t>
            </w:r>
            <w:proofErr w:type="gramEnd"/>
            <w:r>
              <w:t xml:space="preserve"> minimum</w:t>
            </w:r>
          </w:p>
        </w:tc>
      </w:tr>
    </w:tbl>
    <w:p w14:paraId="2BF6A60C" w14:textId="77777777" w:rsidR="002F5CE8" w:rsidRDefault="002F5CE8" w:rsidP="00655130"/>
    <w:p w14:paraId="10053F73" w14:textId="7C27546E" w:rsidR="002F5CE8" w:rsidRDefault="002F5CE8" w:rsidP="002F5CE8">
      <w:pPr>
        <w:pStyle w:val="Heading1"/>
      </w:pPr>
      <w:r>
        <w:t>Conclusion</w:t>
      </w:r>
    </w:p>
    <w:p w14:paraId="666D3E7F" w14:textId="03D15ECD" w:rsidR="00655130" w:rsidRDefault="00655130" w:rsidP="00655130">
      <w:r>
        <w:tab/>
        <w:t>Fundamentally a software vulnerability is like any other application defect.  The sooner the issue is found, the cheaper its resolution will be.  For example, investing in static analysis and other lint checks at build time can prevent the defect from ever leaving the developer’s private workstation.  Meanwhile, reacting to a media crisis adds time pressure and increases employee stress</w:t>
      </w:r>
      <w:r w:rsidR="002F5CE8">
        <w:t>.  Business processes and software designs will always contain issues that slip into production environments and put the confidentiality, integrity, and availability of the services at risk.  These challenges require auditing of the actions within our ecosystem, so that dynamic analysis tooling, like SIEM, can identify anomalies and surface potential issues to the administration team.  After identifying a new vulnerability, the business must determine which predicate (suspectable, accessible, capable) is the ideal target.  Nullifying at least one condition removes an attacker</w:t>
      </w:r>
      <w:r w:rsidR="002E0138">
        <w:t>’</w:t>
      </w:r>
      <w:r w:rsidR="002F5CE8">
        <w:t>s ability to exploit that specific instance.</w:t>
      </w:r>
    </w:p>
    <w:sdt>
      <w:sdtPr>
        <w:id w:val="-874467329"/>
        <w:docPartObj>
          <w:docPartGallery w:val="Bibliographies"/>
          <w:docPartUnique/>
        </w:docPartObj>
      </w:sdtPr>
      <w:sdtEndPr>
        <w:rPr>
          <w:b w:val="0"/>
        </w:rPr>
      </w:sdtEndPr>
      <w:sdtContent>
        <w:p w14:paraId="602335E5" w14:textId="10B76028" w:rsidR="002E0138" w:rsidRDefault="002E0138">
          <w:pPr>
            <w:pStyle w:val="Heading1"/>
          </w:pPr>
          <w:r>
            <w:t>References</w:t>
          </w:r>
        </w:p>
        <w:sdt>
          <w:sdtPr>
            <w:id w:val="-573587230"/>
            <w:bibliography/>
          </w:sdtPr>
          <w:sdtContent>
            <w:p w14:paraId="0782D97A" w14:textId="77777777" w:rsidR="002E0138" w:rsidRDefault="002E0138" w:rsidP="002E0138">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41DDC302" w14:textId="41D4D72F" w:rsidR="002E0138" w:rsidRDefault="002E0138" w:rsidP="002E0138">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738F0B93" w14:textId="1FA9963C" w:rsidR="002E0138" w:rsidRDefault="002E0138" w:rsidP="002E0138">
              <w:pPr>
                <w:pStyle w:val="Bibliography"/>
                <w:ind w:left="720" w:hanging="720"/>
                <w:rPr>
                  <w:noProof/>
                </w:rPr>
              </w:pPr>
              <w:r>
                <w:rPr>
                  <w:noProof/>
                </w:rPr>
                <w:t xml:space="preserve">Claes, J., &amp; Poels, G. (2014, November 15). Merging event logs for process mining: A rule-based merging method and rule suggestion algorithm. </w:t>
              </w:r>
              <w:r>
                <w:rPr>
                  <w:i/>
                  <w:iCs/>
                  <w:noProof/>
                </w:rPr>
                <w:t>Expert Systems, 41</w:t>
              </w:r>
              <w:r>
                <w:rPr>
                  <w:noProof/>
                </w:rPr>
                <w:t>(16), 7291-7306. doi:https://doi.org/10.1016/j.eswa.2014.06.012</w:t>
              </w:r>
            </w:p>
            <w:p w14:paraId="51BBFD2A" w14:textId="77777777" w:rsidR="002E0138" w:rsidRDefault="002E0138" w:rsidP="002E0138">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3EC0A5A" w14:textId="77777777" w:rsidR="002E0138" w:rsidRDefault="002E0138" w:rsidP="002E0138">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155ED39" w14:textId="77777777" w:rsidR="002E0138" w:rsidRDefault="002E0138" w:rsidP="002E0138">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587A64F8" w14:textId="77777777" w:rsidR="002E0138" w:rsidRDefault="002E0138" w:rsidP="002E0138">
              <w:pPr>
                <w:pStyle w:val="Bibliography"/>
                <w:ind w:left="720" w:hanging="720"/>
                <w:rPr>
                  <w:noProof/>
                </w:rPr>
              </w:pPr>
              <w:r>
                <w:rPr>
                  <w:noProof/>
                </w:rPr>
                <w:lastRenderedPageBreak/>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6A805FF3" w14:textId="77777777" w:rsidR="002E0138" w:rsidRDefault="002E0138" w:rsidP="002E0138">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59EDDB1F" w14:textId="47F54B98" w:rsidR="002E0138" w:rsidRDefault="002E0138" w:rsidP="002E0138">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4FC190B" w14:textId="77777777" w:rsidR="002E0138" w:rsidRDefault="002E0138" w:rsidP="002E0138">
              <w:pPr>
                <w:pStyle w:val="Bibliography"/>
                <w:ind w:left="720" w:hanging="720"/>
                <w:rPr>
                  <w:noProof/>
                </w:rPr>
              </w:pPr>
              <w:r>
                <w:rPr>
                  <w:noProof/>
                </w:rPr>
                <w:t xml:space="preserve">McAfee. (2020, July). </w:t>
              </w:r>
              <w:r>
                <w:rPr>
                  <w:i/>
                  <w:iCs/>
                  <w:noProof/>
                </w:rPr>
                <w:t>Security Information and Event Management (SIEM)</w:t>
              </w:r>
              <w:r>
                <w:rPr>
                  <w:noProof/>
                </w:rPr>
                <w:t>. Retrieved from McAfee: https://www.mcafee.com/enterprise/en-us/products/siem-products.html</w:t>
              </w:r>
            </w:p>
            <w:p w14:paraId="26597A3D" w14:textId="77777777" w:rsidR="002E0138" w:rsidRDefault="002E0138" w:rsidP="002E0138">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51B33553" w14:textId="77777777" w:rsidR="002E0138" w:rsidRDefault="002E0138" w:rsidP="002E0138">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3118FB6" w14:textId="77777777" w:rsidR="002E0138" w:rsidRDefault="002E0138" w:rsidP="002E0138">
              <w:pPr>
                <w:pStyle w:val="Bibliography"/>
                <w:ind w:left="720" w:hanging="720"/>
                <w:rPr>
                  <w:noProof/>
                </w:rPr>
              </w:pPr>
              <w:r>
                <w:rPr>
                  <w:noProof/>
                </w:rPr>
                <w:t xml:space="preserve">Rapid7. (2020, July). </w:t>
              </w:r>
              <w:r>
                <w:rPr>
                  <w:i/>
                  <w:iCs/>
                  <w:noProof/>
                </w:rPr>
                <w:t>Rapid7 named a leader</w:t>
              </w:r>
              <w:r>
                <w:rPr>
                  <w:noProof/>
                </w:rPr>
                <w:t>. Retrieved from Rapid7: https://www.rapid7.com/info/gartner-2020-magic-quadrant-siem</w:t>
              </w:r>
            </w:p>
            <w:p w14:paraId="33C31BCC" w14:textId="77777777" w:rsidR="002E0138" w:rsidRDefault="002E0138" w:rsidP="002E0138">
              <w:pPr>
                <w:pStyle w:val="Bibliography"/>
                <w:ind w:left="720" w:hanging="720"/>
                <w:rPr>
                  <w:noProof/>
                </w:rPr>
              </w:pPr>
              <w:r>
                <w:rPr>
                  <w:noProof/>
                </w:rPr>
                <w:t xml:space="preserve">SolarWinds. (2020, July). </w:t>
              </w:r>
              <w:r>
                <w:rPr>
                  <w:i/>
                  <w:iCs/>
                  <w:noProof/>
                </w:rPr>
                <w:t>Security Event Manager</w:t>
              </w:r>
              <w:r>
                <w:rPr>
                  <w:noProof/>
                </w:rPr>
                <w:t>. Retrieved from SolarWinds: https://www.solarwinds.com/security-event-manager</w:t>
              </w:r>
            </w:p>
            <w:p w14:paraId="5F0E436A" w14:textId="77777777" w:rsidR="002E0138" w:rsidRDefault="002E0138" w:rsidP="002E0138">
              <w:pPr>
                <w:pStyle w:val="Bibliography"/>
                <w:ind w:left="720" w:hanging="720"/>
                <w:rPr>
                  <w:noProof/>
                </w:rPr>
              </w:pPr>
              <w:r>
                <w:rPr>
                  <w:noProof/>
                </w:rPr>
                <w:t xml:space="preserve">Splunk. (2020, July). </w:t>
              </w:r>
              <w:r>
                <w:rPr>
                  <w:i/>
                  <w:iCs/>
                  <w:noProof/>
                </w:rPr>
                <w:t>Security Information and Event Management</w:t>
              </w:r>
              <w:r>
                <w:rPr>
                  <w:noProof/>
                </w:rPr>
                <w:t>. Retrieved from Splunk: https://www.splunk.com/en_us/siem-security-information-and-event-management.html</w:t>
              </w:r>
            </w:p>
            <w:p w14:paraId="413D1F56" w14:textId="77777777" w:rsidR="002E0138" w:rsidRDefault="002E0138" w:rsidP="002E0138">
              <w:pPr>
                <w:pStyle w:val="Bibliography"/>
                <w:ind w:left="720" w:hanging="720"/>
                <w:rPr>
                  <w:noProof/>
                </w:rPr>
              </w:pPr>
              <w:r>
                <w:rPr>
                  <w:noProof/>
                </w:rPr>
                <w:lastRenderedPageBreak/>
                <w:t xml:space="preserve">Sumo Logic. (2020, July). </w:t>
              </w:r>
              <w:r>
                <w:rPr>
                  <w:i/>
                  <w:iCs/>
                  <w:noProof/>
                </w:rPr>
                <w:t>Cloud Security Information &amp; Event Management (SIEM)</w:t>
              </w:r>
              <w:r>
                <w:rPr>
                  <w:noProof/>
                </w:rPr>
                <w:t>. Retrieved from SumoLogic: https://www.sumologic.com/security/</w:t>
              </w:r>
            </w:p>
            <w:p w14:paraId="60E7FA4F" w14:textId="77777777" w:rsidR="002E0138" w:rsidRDefault="002E0138" w:rsidP="002E0138">
              <w:pPr>
                <w:pStyle w:val="Bibliography"/>
                <w:ind w:left="720" w:hanging="720"/>
                <w:rPr>
                  <w:noProof/>
                </w:rPr>
              </w:pPr>
              <w:r>
                <w:rPr>
                  <w:noProof/>
                </w:rPr>
                <w:t xml:space="preserve">Tek-Tools. (2020, March 17). </w:t>
              </w:r>
              <w:r>
                <w:rPr>
                  <w:i/>
                  <w:iCs/>
                  <w:noProof/>
                </w:rPr>
                <w:t>A brief overview of top SIEM tools for 2020</w:t>
              </w:r>
              <w:r>
                <w:rPr>
                  <w:noProof/>
                </w:rPr>
                <w:t>. Retrieved from Tek-Tools: https://www.tek-tools.com/security/top-siem-tools</w:t>
              </w:r>
            </w:p>
            <w:p w14:paraId="3E7AA142" w14:textId="59558B7B" w:rsidR="002E0138" w:rsidRDefault="002E0138" w:rsidP="002E0138">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1D78A3A" w14:textId="1C840B6F" w:rsidR="002E0138" w:rsidRDefault="002E0138" w:rsidP="002E0138">
              <w:r>
                <w:rPr>
                  <w:b/>
                  <w:bCs/>
                  <w:noProof/>
                </w:rPr>
                <w:fldChar w:fldCharType="end"/>
              </w:r>
            </w:p>
          </w:sdtContent>
        </w:sdt>
      </w:sdtContent>
    </w:sdt>
    <w:p w14:paraId="122E83B7" w14:textId="77777777" w:rsidR="002E0138" w:rsidRDefault="002E0138" w:rsidP="00655130"/>
    <w:sectPr w:rsidR="002E0138"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411C4" w14:textId="77777777" w:rsidR="007816FC" w:rsidRDefault="007816FC" w:rsidP="0082223F">
      <w:pPr>
        <w:spacing w:line="240" w:lineRule="auto"/>
      </w:pPr>
      <w:r>
        <w:separator/>
      </w:r>
    </w:p>
  </w:endnote>
  <w:endnote w:type="continuationSeparator" w:id="0">
    <w:p w14:paraId="7429ACEC" w14:textId="77777777" w:rsidR="007816FC" w:rsidRDefault="007816F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27658" w14:textId="77777777" w:rsidR="007816FC" w:rsidRDefault="007816FC" w:rsidP="0082223F">
      <w:pPr>
        <w:spacing w:line="240" w:lineRule="auto"/>
      </w:pPr>
      <w:r>
        <w:separator/>
      </w:r>
    </w:p>
  </w:footnote>
  <w:footnote w:type="continuationSeparator" w:id="0">
    <w:p w14:paraId="5DE12CDE" w14:textId="77777777" w:rsidR="007816FC" w:rsidRDefault="007816F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0700CD"/>
    <w:rsid w:val="00183597"/>
    <w:rsid w:val="001928BB"/>
    <w:rsid w:val="001B0181"/>
    <w:rsid w:val="002623D0"/>
    <w:rsid w:val="002649AF"/>
    <w:rsid w:val="00277A55"/>
    <w:rsid w:val="002806B7"/>
    <w:rsid w:val="002E0138"/>
    <w:rsid w:val="002F5CE8"/>
    <w:rsid w:val="003F4714"/>
    <w:rsid w:val="00401D65"/>
    <w:rsid w:val="004223E8"/>
    <w:rsid w:val="004442FE"/>
    <w:rsid w:val="004A784B"/>
    <w:rsid w:val="005154A2"/>
    <w:rsid w:val="0052336C"/>
    <w:rsid w:val="0055225C"/>
    <w:rsid w:val="00592A90"/>
    <w:rsid w:val="005B30D5"/>
    <w:rsid w:val="005B6E26"/>
    <w:rsid w:val="005B7079"/>
    <w:rsid w:val="00626208"/>
    <w:rsid w:val="00646628"/>
    <w:rsid w:val="00655130"/>
    <w:rsid w:val="006A4F1F"/>
    <w:rsid w:val="006D793E"/>
    <w:rsid w:val="0073677D"/>
    <w:rsid w:val="007816FC"/>
    <w:rsid w:val="00783896"/>
    <w:rsid w:val="007A0B4E"/>
    <w:rsid w:val="00803C9C"/>
    <w:rsid w:val="0082223F"/>
    <w:rsid w:val="00877007"/>
    <w:rsid w:val="00885959"/>
    <w:rsid w:val="008B5129"/>
    <w:rsid w:val="00900BFD"/>
    <w:rsid w:val="00972DF6"/>
    <w:rsid w:val="009A757D"/>
    <w:rsid w:val="009E6B33"/>
    <w:rsid w:val="00A44D57"/>
    <w:rsid w:val="00A80FCB"/>
    <w:rsid w:val="00AE7EE1"/>
    <w:rsid w:val="00B13ADF"/>
    <w:rsid w:val="00B55869"/>
    <w:rsid w:val="00B611B5"/>
    <w:rsid w:val="00C30991"/>
    <w:rsid w:val="00C5200D"/>
    <w:rsid w:val="00C54DC8"/>
    <w:rsid w:val="00C73692"/>
    <w:rsid w:val="00C93BB7"/>
    <w:rsid w:val="00CB25E9"/>
    <w:rsid w:val="00D32109"/>
    <w:rsid w:val="00D75C7B"/>
    <w:rsid w:val="00D85C7B"/>
    <w:rsid w:val="00DE2224"/>
    <w:rsid w:val="00DF73E1"/>
    <w:rsid w:val="00E234E9"/>
    <w:rsid w:val="00ED3713"/>
    <w:rsid w:val="00EE677C"/>
    <w:rsid w:val="00F03D3C"/>
    <w:rsid w:val="00F417AC"/>
    <w:rsid w:val="00F52C07"/>
    <w:rsid w:val="00F570A7"/>
    <w:rsid w:val="00F9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E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899">
      <w:bodyDiv w:val="1"/>
      <w:marLeft w:val="0"/>
      <w:marRight w:val="0"/>
      <w:marTop w:val="0"/>
      <w:marBottom w:val="0"/>
      <w:divBdr>
        <w:top w:val="none" w:sz="0" w:space="0" w:color="auto"/>
        <w:left w:val="none" w:sz="0" w:space="0" w:color="auto"/>
        <w:bottom w:val="none" w:sz="0" w:space="0" w:color="auto"/>
        <w:right w:val="none" w:sz="0" w:space="0" w:color="auto"/>
      </w:divBdr>
    </w:div>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62511232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 w:id="20944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8</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9</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11</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12</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13</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14</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15</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16</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17</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18</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7</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10</b:RefOrder>
  </b:Source>
</b:Sources>
</file>

<file path=customXml/itemProps1.xml><?xml version="1.0" encoding="utf-8"?>
<ds:datastoreItem xmlns:ds="http://schemas.openxmlformats.org/officeDocument/2006/customXml" ds:itemID="{9A2B9413-503E-47C4-8BC8-A9D22316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11</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2020-07-13T01:49:00Z</dcterms:modified>
</cp:coreProperties>
</file>