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F541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377807CC"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Processes need to exist to defuse these issues before they explode, with combinations of proactive and reactive defenses.</w:t>
      </w:r>
    </w:p>
    <w:p w14:paraId="5C7C3440" w14:textId="46459458" w:rsidR="00592A90" w:rsidRDefault="0052336C" w:rsidP="00592A90">
      <w:pPr>
        <w:pStyle w:val="Heading1"/>
      </w:pPr>
      <w:r>
        <w:lastRenderedPageBreak/>
        <w:t xml:space="preserve">Section I: </w:t>
      </w:r>
      <w:r w:rsidR="00592A90">
        <w:t>Security Information and Event Management (SIEM)</w:t>
      </w:r>
    </w:p>
    <w:p w14:paraId="0A985C86" w14:textId="0450EF9A" w:rsidR="00057683"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 xml:space="preserve">Eventually, service failures occur within this complex environment leading to the natural question, “so what happened?”  The cost associated with solving this mystery is dependent on the quality of the auditing information.  Generally speaking, half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rsidR="00592A90">
        <w:t xml:space="preserve">  H</w:t>
      </w:r>
      <w:r w:rsidR="00A44D57">
        <w:t xml:space="preserve">owever, a trade-off exists between performance, storage, and observability, which might limit </w:t>
      </w:r>
      <w:r w:rsidR="00592A90">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23798ED0" w14:textId="3B552961" w:rsidR="00592A90" w:rsidRDefault="00A44D57" w:rsidP="00592A90">
      <w:pPr>
        <w:ind w:firstLine="720"/>
      </w:pPr>
      <w:r>
        <w:t>Audit events are paint dots that make up a larger picture.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 xml:space="preserve">Along with these properties, other common aspects like the caller’s context can provide additional insights. </w:t>
      </w:r>
    </w:p>
    <w:p w14:paraId="72AD209C" w14:textId="58147280" w:rsidR="00277A55" w:rsidRDefault="00C5200D" w:rsidP="00592A90">
      <w:pPr>
        <w:ind w:firstLine="720"/>
      </w:pPr>
      <w:r>
        <w:lastRenderedPageBreak/>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policies that monitor changes to the ecosystem.  Many enterprises choose to purchase holistic 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96AADC1" w14:textId="77777777" w:rsidR="0055225C" w:rsidRDefault="0055225C" w:rsidP="0055225C">
      <w:pPr>
        <w:pStyle w:val="Caption"/>
      </w:pPr>
      <w:r>
        <w:t>Figure 1: Enrollment App</w:t>
      </w:r>
    </w:p>
    <w:p w14:paraId="023EF427" w14:textId="01D801B0" w:rsidR="0055225C" w:rsidRDefault="0055225C" w:rsidP="0055225C">
      <w:pPr>
        <w:ind w:firstLine="720"/>
        <w:jc w:val="center"/>
      </w:pPr>
      <w:r>
        <w:rPr>
          <w:noProof/>
        </w:rPr>
        <w:drawing>
          <wp:inline distT="0" distB="0" distL="0" distR="0" wp14:anchorId="71653E5E" wp14:editId="2314BBA3">
            <wp:extent cx="2555550" cy="1872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9027" cy="1992486"/>
                    </a:xfrm>
                    <a:prstGeom prst="rect">
                      <a:avLst/>
                    </a:prstGeom>
                  </pic:spPr>
                </pic:pic>
              </a:graphicData>
            </a:graphic>
          </wp:inline>
        </w:drawing>
      </w:r>
    </w:p>
    <w:p w14:paraId="738792BE" w14:textId="23ED5BD6" w:rsidR="00C30991" w:rsidRDefault="00277A55" w:rsidP="00277A55">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r w:rsidR="0055225C">
        <w:t xml:space="preserve">  Unfortunately, SIEM providers often follow the “more for more” mantra and charge higher licensing fees for additional coverage.  The support of different technology stacks can also depend on the </w:t>
      </w:r>
      <w:r w:rsidR="001928BB">
        <w:t xml:space="preserve">focus areas </w:t>
      </w:r>
      <w:r w:rsidR="0055225C">
        <w:t>of the SIEM platform</w:t>
      </w:r>
      <w:r w:rsidR="00646628">
        <w:t xml:space="preserve"> (see Table 1)</w:t>
      </w:r>
      <w:r w:rsidR="0055225C">
        <w:t>.</w:t>
      </w:r>
      <w:r w:rsidR="001928BB">
        <w:t xml:space="preserve">  Before choosing a provider, the organization needs to assess the most concerning </w:t>
      </w:r>
      <w:r w:rsidR="001928BB">
        <w:lastRenderedPageBreak/>
        <w:t>scenarios and acceptable costs.  For example, a simple branch office that already uses McAfee anti-virus will likely find McAfee Security Manager a great fit.</w:t>
      </w:r>
    </w:p>
    <w:p w14:paraId="71365FF3" w14:textId="11BEC76F" w:rsidR="001928BB" w:rsidRDefault="001928BB" w:rsidP="001928BB">
      <w:pPr>
        <w:pStyle w:val="Caption"/>
      </w:pPr>
      <w:r>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5211A366" w14:textId="227DB12A" w:rsidR="00277A55" w:rsidRDefault="00277A55" w:rsidP="00057683">
      <w:r>
        <w:tab/>
        <w:t xml:space="preserve"> </w:t>
      </w:r>
    </w:p>
    <w:p w14:paraId="1067ED7D" w14:textId="07AB8BCD" w:rsidR="00C30991" w:rsidRDefault="0052336C" w:rsidP="0052336C">
      <w:pPr>
        <w:pStyle w:val="Heading1"/>
      </w:pPr>
      <w:r>
        <w:t>Section II: Vulnerability Assessment</w:t>
      </w:r>
    </w:p>
    <w:p w14:paraId="5B1EFE81" w14:textId="68668ACD" w:rsidR="0052336C" w:rsidRPr="0052336C" w:rsidRDefault="0052336C" w:rsidP="0052336C">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6512E0" w14:textId="536FC31C" w:rsidR="0052336C" w:rsidRDefault="0052336C" w:rsidP="0052336C">
      <w:pPr>
        <w:pStyle w:val="Caption"/>
      </w:pPr>
      <w:r>
        <w:t>Figure 2: Vulnerability Assessment</w:t>
      </w:r>
    </w:p>
    <w:p w14:paraId="31474997" w14:textId="6DF8D089" w:rsidR="0052336C" w:rsidRPr="0052336C" w:rsidRDefault="0052336C" w:rsidP="0052336C">
      <w:pPr>
        <w:jc w:val="center"/>
      </w:pPr>
      <w:r>
        <w:rPr>
          <w:noProof/>
        </w:rPr>
        <w:drawing>
          <wp:inline distT="0" distB="0" distL="0" distR="0" wp14:anchorId="5B074A30" wp14:editId="78A46A46">
            <wp:extent cx="1529778" cy="14771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46" cy="1499140"/>
                    </a:xfrm>
                    <a:prstGeom prst="rect">
                      <a:avLst/>
                    </a:prstGeom>
                    <a:noFill/>
                    <a:ln>
                      <a:noFill/>
                    </a:ln>
                  </pic:spPr>
                </pic:pic>
              </a:graphicData>
            </a:graphic>
          </wp:inline>
        </w:drawing>
      </w:r>
    </w:p>
    <w:p w14:paraId="40B49AE8" w14:textId="2950B1E1" w:rsidR="00C5200D" w:rsidRDefault="001B0181" w:rsidP="001B0181">
      <w:pPr>
        <w:pStyle w:val="Heading2"/>
      </w:pPr>
      <w:r>
        <w:lastRenderedPageBreak/>
        <w:t>Identification</w:t>
      </w:r>
    </w:p>
    <w:p w14:paraId="17C4D54A" w14:textId="07E6E51A" w:rsidR="001B0181" w:rsidRDefault="001B0181" w:rsidP="001B0181">
      <w:r>
        <w:tab/>
        <w:t xml:space="preserve">Detection of the vulnerability might come from static (offline) or dynamic (online) analysis.  Static </w:t>
      </w:r>
      <w:r w:rsidR="00B55869">
        <w:t>A</w:t>
      </w:r>
      <w:r>
        <w:t xml:space="preserve">nalysis </w:t>
      </w:r>
      <w:r w:rsidR="00B55869">
        <w:t>T</w:t>
      </w:r>
      <w:r>
        <w:t>ools</w:t>
      </w:r>
      <w:r w:rsidR="00B55869">
        <w:t xml:space="preserve"> (SAT)</w:t>
      </w:r>
      <w:r>
        <w:t xml:space="preserve">, such as SonarQube and </w:t>
      </w:r>
      <w:proofErr w:type="spellStart"/>
      <w:r>
        <w:t>Checkmarx</w:t>
      </w:r>
      <w:proofErr w:type="spellEnd"/>
      <w:r>
        <w:t xml:space="preserve">, parse the source code into graph-like structures and then run queries to find defects in the application.  While there is the potential of encountering false positives and false negatives, these lint checks are effective at catching problems in proprietary systems.  Dynamic </w:t>
      </w:r>
      <w:r w:rsidR="00B55869">
        <w:t>A</w:t>
      </w:r>
      <w:r>
        <w:t xml:space="preserve">nalysis </w:t>
      </w:r>
      <w:r w:rsidR="00B55869">
        <w:t>T</w:t>
      </w:r>
      <w:r>
        <w:t>ools</w:t>
      </w:r>
      <w:r w:rsidR="00B55869">
        <w:t xml:space="preserve"> (DAT)</w:t>
      </w:r>
      <w:r>
        <w:t xml:space="preserve"> use telemetry to monitor for security-critical events</w:t>
      </w:r>
      <w:r w:rsidR="00B55869">
        <w:t>, making it ideal for black-box situations and discovering unknown unknowns.  Outside of tooling, periodic process audits can surface that a problem exists.</w:t>
      </w:r>
    </w:p>
    <w:p w14:paraId="3FEFC3DA" w14:textId="003DC218" w:rsidR="00900BFD" w:rsidRDefault="00900BFD" w:rsidP="00900BFD">
      <w:pPr>
        <w:pStyle w:val="Heading2"/>
      </w:pPr>
      <w:r>
        <w:t>Plan</w:t>
      </w:r>
    </w:p>
    <w:p w14:paraId="5C4BB81B" w14:textId="1CC2E23D" w:rsidR="00900BFD" w:rsidRPr="00900BFD" w:rsidRDefault="00900BFD" w:rsidP="00900BFD">
      <w:r>
        <w:tab/>
        <w:t xml:space="preserve">The full impact of a vulnerability might not be immediately visible, as engineering teams often duplicate existing code and infrastructure.  During the planning phase, the senior leaders need to agree on a communication strategy and proposal for introducing the new change.  Consider a scenario where insufficient controls exist for a shared database. Arbitrarily adding defenses will break downstream processes and cause a production outage.  </w:t>
      </w:r>
      <w:proofErr w:type="gramStart"/>
      <w:r>
        <w:t>Similar to</w:t>
      </w:r>
      <w:proofErr w:type="gramEnd"/>
      <w:r>
        <w:t xml:space="preserve"> other software projects, an iterative design must occur that seeks the maximum immediate value</w:t>
      </w:r>
      <w:r w:rsidR="002649AF" w:rsidRPr="002649AF">
        <w:t xml:space="preserve"> </w:t>
      </w:r>
      <w:sdt>
        <w:sdtPr>
          <w:id w:val="-2110953603"/>
          <w:citation/>
        </w:sdtPr>
        <w:sdtContent>
          <w:r w:rsidR="002649AF">
            <w:fldChar w:fldCharType="begin"/>
          </w:r>
          <w:r w:rsidR="002649AF">
            <w:instrText xml:space="preserve"> CITATION Lam16 \l 1033 </w:instrText>
          </w:r>
          <w:r w:rsidR="002649AF">
            <w:fldChar w:fldCharType="separate"/>
          </w:r>
          <w:r w:rsidR="002649AF">
            <w:rPr>
              <w:noProof/>
            </w:rPr>
            <w:t xml:space="preserve"> (Lam, 2016)</w:t>
          </w:r>
          <w:r w:rsidR="002649AF">
            <w:fldChar w:fldCharType="end"/>
          </w:r>
        </w:sdtContent>
      </w:sdt>
      <w:r>
        <w:t xml:space="preserve">.  </w:t>
      </w:r>
      <w:r w:rsidR="00060495">
        <w:t>Though not ideal, the security team needs to weigh the potential schedule risk that comes from doing everything upfront.</w:t>
      </w:r>
      <w:r w:rsidR="00060495">
        <w:t xml:space="preserve">  </w:t>
      </w:r>
      <w:r>
        <w:t xml:space="preserve">Perhaps that means only protecting against one of N situations </w:t>
      </w:r>
      <w:proofErr w:type="gramStart"/>
      <w:r>
        <w:t>initially, and</w:t>
      </w:r>
      <w:proofErr w:type="gramEnd"/>
      <w:r>
        <w:t xml:space="preserve"> returning to the others later.</w:t>
      </w:r>
    </w:p>
    <w:p w14:paraId="35021872" w14:textId="2988CE31" w:rsidR="002649AF" w:rsidRDefault="002649AF" w:rsidP="002649AF">
      <w:pPr>
        <w:pStyle w:val="Heading2"/>
      </w:pPr>
      <w:r>
        <w:t>Mitigation and Verification</w:t>
      </w:r>
    </w:p>
    <w:p w14:paraId="005AEE05" w14:textId="4F8C1194" w:rsidR="002649AF" w:rsidRPr="002649AF" w:rsidRDefault="002649AF" w:rsidP="002649AF">
      <w:r>
        <w:tab/>
        <w:t xml:space="preserve">Mitigating the vulnerability could be a trivial change to a configuration file or require massive changes to the infrastructure.  These changes present multiple risks to the organization, such as degrading performance (e.g., encryption or verbose logging) or creating new failure </w:t>
      </w:r>
      <w:r>
        <w:lastRenderedPageBreak/>
        <w:t xml:space="preserve">points (e.g., broken code).  In parallel to standard regression automation, the quality assurance teams need to confirm other permutations of the exploit are unsuccessful.  For example, a cross-site scripting defect existing in the enrollment portal (see Figure 1) via the query string.  </w:t>
      </w:r>
    </w:p>
    <w:p w14:paraId="151E8532" w14:textId="790E4F38" w:rsidR="005B6E26" w:rsidRDefault="00C30991" w:rsidP="00F570A7">
      <w:r>
        <w:br w:type="page"/>
      </w:r>
      <w:r w:rsidR="005B6E26">
        <w:lastRenderedPageBreak/>
        <w:t xml:space="preserve"> </w:t>
      </w:r>
    </w:p>
    <w:p w14:paraId="10ED80D6" w14:textId="46FF0911" w:rsidR="00F570A7" w:rsidRPr="00F570A7" w:rsidRDefault="00F570A7" w:rsidP="00F570A7"/>
    <w:sectPr w:rsidR="00F570A7" w:rsidRPr="00F570A7"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07DE" w14:textId="77777777" w:rsidR="00EF5410" w:rsidRDefault="00EF5410" w:rsidP="0082223F">
      <w:pPr>
        <w:spacing w:line="240" w:lineRule="auto"/>
      </w:pPr>
      <w:r>
        <w:separator/>
      </w:r>
    </w:p>
  </w:endnote>
  <w:endnote w:type="continuationSeparator" w:id="0">
    <w:p w14:paraId="52DBFDAB" w14:textId="77777777" w:rsidR="00EF5410" w:rsidRDefault="00EF541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246C8" w14:textId="77777777" w:rsidR="00EF5410" w:rsidRDefault="00EF5410" w:rsidP="0082223F">
      <w:pPr>
        <w:spacing w:line="240" w:lineRule="auto"/>
      </w:pPr>
      <w:r>
        <w:separator/>
      </w:r>
    </w:p>
  </w:footnote>
  <w:footnote w:type="continuationSeparator" w:id="0">
    <w:p w14:paraId="7604CD13" w14:textId="77777777" w:rsidR="00EF5410" w:rsidRDefault="00EF541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183597"/>
    <w:rsid w:val="001928BB"/>
    <w:rsid w:val="001B0181"/>
    <w:rsid w:val="002649AF"/>
    <w:rsid w:val="00277A55"/>
    <w:rsid w:val="002806B7"/>
    <w:rsid w:val="003F4714"/>
    <w:rsid w:val="00401D65"/>
    <w:rsid w:val="004223E8"/>
    <w:rsid w:val="004A784B"/>
    <w:rsid w:val="005154A2"/>
    <w:rsid w:val="0052336C"/>
    <w:rsid w:val="0055225C"/>
    <w:rsid w:val="00592A90"/>
    <w:rsid w:val="005B30D5"/>
    <w:rsid w:val="005B6E26"/>
    <w:rsid w:val="005B7079"/>
    <w:rsid w:val="00626208"/>
    <w:rsid w:val="00646628"/>
    <w:rsid w:val="006D793E"/>
    <w:rsid w:val="0073677D"/>
    <w:rsid w:val="00783896"/>
    <w:rsid w:val="0082223F"/>
    <w:rsid w:val="00877007"/>
    <w:rsid w:val="008B5129"/>
    <w:rsid w:val="00900BFD"/>
    <w:rsid w:val="00972DF6"/>
    <w:rsid w:val="009A757D"/>
    <w:rsid w:val="00A44D57"/>
    <w:rsid w:val="00AE7EE1"/>
    <w:rsid w:val="00B13ADF"/>
    <w:rsid w:val="00B55869"/>
    <w:rsid w:val="00C30991"/>
    <w:rsid w:val="00C5200D"/>
    <w:rsid w:val="00C54DC8"/>
    <w:rsid w:val="00C73692"/>
    <w:rsid w:val="00C93BB7"/>
    <w:rsid w:val="00CB25E9"/>
    <w:rsid w:val="00D75C7B"/>
    <w:rsid w:val="00D85C7B"/>
    <w:rsid w:val="00DE2224"/>
    <w:rsid w:val="00E234E9"/>
    <w:rsid w:val="00ED3713"/>
    <w:rsid w:val="00EE677C"/>
    <w:rsid w:val="00EF5410"/>
    <w:rsid w:val="00F03D3C"/>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5</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6</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7</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8</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9</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10</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11</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12</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13</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14</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11</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35</b:RefOrder>
  </b:Source>
</b:Sources>
</file>

<file path=customXml/itemProps1.xml><?xml version="1.0" encoding="utf-8"?>
<ds:datastoreItem xmlns:ds="http://schemas.openxmlformats.org/officeDocument/2006/customXml" ds:itemID="{8E5707AE-242E-46DF-B1BF-B997E9DD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8</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2020-07-12T23:25:00Z</dcterms:modified>
</cp:coreProperties>
</file>