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9060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377807CC"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a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Processes need to exist to defuse these issues before they explode, with combinations of proactive and reactive defenses.</w:t>
      </w:r>
    </w:p>
    <w:p w14:paraId="15C0BF5A" w14:textId="09DDACA7" w:rsidR="005B6E26" w:rsidRDefault="005B6E26" w:rsidP="001928BB">
      <w:pPr>
        <w:pStyle w:val="Heading1"/>
      </w:pPr>
      <w:r>
        <w:lastRenderedPageBreak/>
        <w:t>Role of Auditing</w:t>
      </w:r>
    </w:p>
    <w:p w14:paraId="0A985C86" w14:textId="174277F9" w:rsidR="00057683" w:rsidRDefault="00057683" w:rsidP="00057683">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 xml:space="preserve">Eventually, service failures occur within this complex environment leading to the natural question, “so what happened?”  The cost associated with solving this mystery is dependent on the quality of the auditing information.  Generally speaking, half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xml:space="preserve">.  According to this breakdown, there is significant value is auditing all change across every business process.  However, a trade-off exists between performance, storage, and observability, which might limit the </w:t>
      </w:r>
      <w:proofErr w:type="spellStart"/>
      <w:r w:rsidR="00A44D57">
        <w:t>companies</w:t>
      </w:r>
      <w:proofErr w:type="spellEnd"/>
      <w:r w:rsidR="00A44D57">
        <w:t xml:space="preserve"> 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4C9C4B18" w14:textId="4269EAF7" w:rsidR="00A44D57" w:rsidRDefault="00A44D57" w:rsidP="001928BB">
      <w:pPr>
        <w:pStyle w:val="Heading1"/>
      </w:pPr>
      <w:r>
        <w:t>Security Information and Event Management (SIEM)</w:t>
      </w:r>
    </w:p>
    <w:p w14:paraId="72AD209C" w14:textId="3A7DAC12" w:rsidR="00277A55" w:rsidRDefault="00A44D57" w:rsidP="00057683">
      <w:r>
        <w:tab/>
        <w:t>Audit events are paint dots that make up a larger picture.  Process mining forms this picture by clustering related messages into traces, operations, and transactions.  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C5200D">
        <w:t xml:space="preserve">A data curation process needs to exist for resolving these discrepancies and transforming the raw data into information.  Undergoing such a transformation requires event collection, transformation, aggregation, and </w:t>
      </w:r>
      <w:r w:rsidR="00C5200D">
        <w:lastRenderedPageBreak/>
        <w:t xml:space="preserve">correlation capabilities to present a holistic semantic model of the business.  Next, administrators need functionality to author compliance and remediation policies that monitor changes to the ecosystem.  Many enterprises choose to purchase holistic solutions like System Information and Event Management (SIEM) platforms, instead of building </w:t>
      </w:r>
      <w:r w:rsidR="00C30991">
        <w:t xml:space="preserve">custom code </w:t>
      </w:r>
      <w:r w:rsidR="00C5200D">
        <w:t xml:space="preserve">or gluing </w:t>
      </w:r>
      <w:r w:rsidR="00AE7EE1">
        <w:t xml:space="preserve">third-party </w:t>
      </w:r>
      <w:r w:rsidR="00C30991">
        <w:t xml:space="preserve">components </w:t>
      </w:r>
      <w:r w:rsidR="00C5200D">
        <w:t>together.</w:t>
      </w:r>
    </w:p>
    <w:p w14:paraId="196AADC1" w14:textId="77777777" w:rsidR="0055225C" w:rsidRDefault="0055225C" w:rsidP="0055225C">
      <w:pPr>
        <w:pStyle w:val="Caption"/>
      </w:pPr>
      <w:r>
        <w:t>Figure 1: Enrollment App</w:t>
      </w:r>
    </w:p>
    <w:p w14:paraId="023EF427" w14:textId="01D801B0" w:rsidR="0055225C" w:rsidRDefault="0055225C" w:rsidP="0055225C">
      <w:pPr>
        <w:ind w:firstLine="720"/>
        <w:jc w:val="center"/>
      </w:pPr>
      <w:r>
        <w:rPr>
          <w:noProof/>
        </w:rPr>
        <w:drawing>
          <wp:inline distT="0" distB="0" distL="0" distR="0" wp14:anchorId="71653E5E" wp14:editId="08DFB432">
            <wp:extent cx="2816277" cy="20637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71" cy="2189640"/>
                    </a:xfrm>
                    <a:prstGeom prst="rect">
                      <a:avLst/>
                    </a:prstGeom>
                  </pic:spPr>
                </pic:pic>
              </a:graphicData>
            </a:graphic>
          </wp:inline>
        </w:drawing>
      </w:r>
    </w:p>
    <w:p w14:paraId="738792BE" w14:textId="6BC12C84" w:rsidR="00C30991" w:rsidRDefault="00277A55" w:rsidP="00277A55">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r w:rsidR="0055225C">
        <w:t xml:space="preserve">  Unfortunately, SIEM providers often follow the “more for more” mantra and charge higher licensing fees for additional coverage.  The support of different technology stacks can also depend on the </w:t>
      </w:r>
      <w:r w:rsidR="001928BB">
        <w:t xml:space="preserve">focus areas </w:t>
      </w:r>
      <w:r w:rsidR="0055225C">
        <w:t>of the SIEM platform</w:t>
      </w:r>
      <w:r w:rsidR="00646628">
        <w:t xml:space="preserve"> (see Table 1)</w:t>
      </w:r>
      <w:r w:rsidR="0055225C">
        <w:t>.</w:t>
      </w:r>
      <w:r w:rsidR="001928BB">
        <w:t xml:space="preserve">  Before choosing a provider, the organization needs to assess the most concerning scenarios and acceptable costs.  For example, a simple branch office that already uses McAfee anti-virus will likely find McAfee Security Manager a great fit.</w:t>
      </w:r>
    </w:p>
    <w:p w14:paraId="71365FF3" w14:textId="11BEC76F" w:rsidR="001928BB" w:rsidRDefault="001928BB" w:rsidP="001928BB">
      <w:pPr>
        <w:pStyle w:val="Caption"/>
      </w:pPr>
      <w:r>
        <w:lastRenderedPageBreak/>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500 </w:t>
            </w:r>
            <w:proofErr w:type="gramStart"/>
            <w:r>
              <w:t>asset</w:t>
            </w:r>
            <w:proofErr w:type="gramEnd"/>
            <w:r>
              <w:t xml:space="preserve"> minimum</w:t>
            </w:r>
          </w:p>
        </w:tc>
      </w:tr>
    </w:tbl>
    <w:p w14:paraId="5211A366" w14:textId="227DB12A" w:rsidR="00277A55" w:rsidRDefault="00277A55" w:rsidP="00057683">
      <w:r>
        <w:tab/>
        <w:t xml:space="preserve"> </w:t>
      </w:r>
    </w:p>
    <w:p w14:paraId="1067ED7D" w14:textId="77777777" w:rsidR="00C30991" w:rsidRDefault="00C30991" w:rsidP="00057683"/>
    <w:p w14:paraId="40B49AE8" w14:textId="77777777" w:rsidR="00C5200D" w:rsidRDefault="00C5200D" w:rsidP="00057683"/>
    <w:p w14:paraId="0D6ECD6D" w14:textId="77777777" w:rsidR="00C30991" w:rsidRDefault="00C30991">
      <w:r>
        <w:br w:type="page"/>
      </w:r>
    </w:p>
    <w:p w14:paraId="1F97EA1A" w14:textId="7E0E80C4" w:rsidR="00057683" w:rsidRDefault="00057683" w:rsidP="00A44D57">
      <w:r>
        <w:lastRenderedPageBreak/>
        <w:tab/>
      </w:r>
      <w:r w:rsidR="00A44D57">
        <w:t>Ideally, these events describe relational, functional, and temporal metadata about the change</w:t>
      </w:r>
      <w:sdt>
        <w:sdtPr>
          <w:id w:val="-797373720"/>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xml:space="preserve">.  The </w:t>
      </w:r>
    </w:p>
    <w:p w14:paraId="5C7951BA" w14:textId="21FC990D" w:rsidR="00057683" w:rsidRPr="00057683" w:rsidRDefault="00057683" w:rsidP="00057683"/>
    <w:p w14:paraId="151E8532" w14:textId="5B6500F6" w:rsidR="005B6E26" w:rsidRDefault="00F570A7" w:rsidP="00F570A7">
      <w:r>
        <w:tab/>
        <w:t>The golden rule of security states each request into the system needs authentication, authorization, and auditing.  Without understanding the caller’s context, it is not possible to make informed decisions that sufficiently protect business assets.  Recording the result of th</w:t>
      </w:r>
      <w:r w:rsidR="005B6E26">
        <w:t>is</w:t>
      </w:r>
      <w:r>
        <w:t xml:space="preserve"> approval process enables administrators to reconstruct a chain of events that led to an incident.</w:t>
      </w:r>
      <w:r w:rsidR="005B6E26">
        <w:t xml:space="preserve">  An incident can occur due to </w:t>
      </w:r>
    </w:p>
    <w:p w14:paraId="10ED80D6" w14:textId="46FF0911" w:rsidR="00F570A7" w:rsidRPr="00F570A7" w:rsidRDefault="00F570A7" w:rsidP="00F570A7"/>
    <w:sectPr w:rsidR="00F570A7" w:rsidRPr="00F570A7"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A46BB" w14:textId="77777777" w:rsidR="00C90603" w:rsidRDefault="00C90603" w:rsidP="0082223F">
      <w:pPr>
        <w:spacing w:line="240" w:lineRule="auto"/>
      </w:pPr>
      <w:r>
        <w:separator/>
      </w:r>
    </w:p>
  </w:endnote>
  <w:endnote w:type="continuationSeparator" w:id="0">
    <w:p w14:paraId="43AAE682" w14:textId="77777777" w:rsidR="00C90603" w:rsidRDefault="00C9060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6685D" w14:textId="77777777" w:rsidR="00C90603" w:rsidRDefault="00C90603" w:rsidP="0082223F">
      <w:pPr>
        <w:spacing w:line="240" w:lineRule="auto"/>
      </w:pPr>
      <w:r>
        <w:separator/>
      </w:r>
    </w:p>
  </w:footnote>
  <w:footnote w:type="continuationSeparator" w:id="0">
    <w:p w14:paraId="509A6B4A" w14:textId="77777777" w:rsidR="00C90603" w:rsidRDefault="00C9060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4059"/>
    <w:rsid w:val="00183597"/>
    <w:rsid w:val="001928BB"/>
    <w:rsid w:val="00277A55"/>
    <w:rsid w:val="002806B7"/>
    <w:rsid w:val="003F4714"/>
    <w:rsid w:val="00401D65"/>
    <w:rsid w:val="004223E8"/>
    <w:rsid w:val="004A784B"/>
    <w:rsid w:val="005154A2"/>
    <w:rsid w:val="0055225C"/>
    <w:rsid w:val="005B30D5"/>
    <w:rsid w:val="005B6E26"/>
    <w:rsid w:val="005B7079"/>
    <w:rsid w:val="00626208"/>
    <w:rsid w:val="00646628"/>
    <w:rsid w:val="006D793E"/>
    <w:rsid w:val="0073677D"/>
    <w:rsid w:val="00783896"/>
    <w:rsid w:val="0082223F"/>
    <w:rsid w:val="00877007"/>
    <w:rsid w:val="008B5129"/>
    <w:rsid w:val="00972DF6"/>
    <w:rsid w:val="009A757D"/>
    <w:rsid w:val="00A44D57"/>
    <w:rsid w:val="00AE7EE1"/>
    <w:rsid w:val="00B13ADF"/>
    <w:rsid w:val="00C30991"/>
    <w:rsid w:val="00C5200D"/>
    <w:rsid w:val="00C54DC8"/>
    <w:rsid w:val="00C73692"/>
    <w:rsid w:val="00C90603"/>
    <w:rsid w:val="00C93BB7"/>
    <w:rsid w:val="00CB25E9"/>
    <w:rsid w:val="00D75C7B"/>
    <w:rsid w:val="00D85C7B"/>
    <w:rsid w:val="00DE2224"/>
    <w:rsid w:val="00E234E9"/>
    <w:rsid w:val="00ED3713"/>
    <w:rsid w:val="00EE677C"/>
    <w:rsid w:val="00F03D3C"/>
    <w:rsid w:val="00F5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5</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6</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7</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8</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9</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10</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11</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12</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13</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14</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s>
</file>

<file path=customXml/itemProps1.xml><?xml version="1.0" encoding="utf-8"?>
<ds:datastoreItem xmlns:ds="http://schemas.openxmlformats.org/officeDocument/2006/customXml" ds:itemID="{9DAE3A21-0ED0-4021-92CD-AD05A9D5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2020-07-12T20:49:00Z</dcterms:modified>
</cp:coreProperties>
</file>