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5084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2E03F45" w:rsidR="0082223F" w:rsidRDefault="0082223F" w:rsidP="0082223F">
      <w:pPr>
        <w:pStyle w:val="Title"/>
      </w:pPr>
      <w:r>
        <w:t xml:space="preserve">Section </w:t>
      </w:r>
      <w:r w:rsidR="00CC28DB">
        <w:t>3</w:t>
      </w:r>
      <w:r>
        <w:t xml:space="preserve">: Week </w:t>
      </w:r>
      <w:r w:rsidR="00CC28DB">
        <w:t>7</w:t>
      </w:r>
      <w:r>
        <w:t xml:space="preserve">: </w:t>
      </w:r>
      <w:r w:rsidR="00CC28DB">
        <w:t>Mobile Device Management</w:t>
      </w:r>
      <w:r w:rsidR="00DB7D59">
        <w:t xml:space="preserve"> (Transcript)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8322130" w:rsidR="0082223F" w:rsidRDefault="00CC28DB" w:rsidP="005B7079">
      <w:pPr>
        <w:pStyle w:val="Heading1"/>
      </w:pPr>
      <w:r>
        <w:lastRenderedPageBreak/>
        <w:t>Mobile Device Management</w:t>
      </w:r>
      <w:r w:rsidR="00DB7D59">
        <w:t xml:space="preserve"> Transcript</w:t>
      </w:r>
    </w:p>
    <w:p w14:paraId="01115193" w14:textId="10144562" w:rsidR="00DB7D59" w:rsidRDefault="00DB7D59" w:rsidP="00DB7D59">
      <w:pPr>
        <w:pStyle w:val="Heading2"/>
      </w:pPr>
      <w:r>
        <w:t>Agenda</w:t>
      </w:r>
    </w:p>
    <w:p w14:paraId="74B67F3D" w14:textId="4D135843" w:rsidR="00DB7D59" w:rsidRPr="00DB7D59" w:rsidRDefault="00DB7D59" w:rsidP="00DB7D59">
      <w:r>
        <w:tab/>
        <w:t>Good afternoon, today, we are going to discuss the challenges and opportunities that exist around mobile device management.  This discussion will begin with a brief history lesson and an analysis of the legal frameworks that are shaping our journey forward.  Afterward, an assessment of the risks specific to mobile device management will guide the conversation toward tooling and frameworks for constraining those threats.</w:t>
      </w:r>
    </w:p>
    <w:p w14:paraId="75F1A40B" w14:textId="3C56C962" w:rsidR="00CC28DB" w:rsidRDefault="00CC28DB" w:rsidP="00CC28DB">
      <w:pPr>
        <w:pStyle w:val="Heading2"/>
      </w:pPr>
      <w:r>
        <w:t xml:space="preserve">How Did </w:t>
      </w:r>
      <w:r w:rsidR="006D3C74">
        <w:t>W</w:t>
      </w:r>
      <w:r>
        <w:t xml:space="preserve">e Get </w:t>
      </w:r>
      <w:proofErr w:type="gramStart"/>
      <w:r>
        <w:t>Here</w:t>
      </w:r>
      <w:proofErr w:type="gramEnd"/>
    </w:p>
    <w:p w14:paraId="2449DF01" w14:textId="77777777" w:rsidR="00D16878" w:rsidRDefault="00174C6D" w:rsidP="00174C6D">
      <w:r>
        <w:tab/>
      </w:r>
      <w:r w:rsidR="00D16878">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 leading to the adoption of Master Data Management systems (</w:t>
      </w:r>
      <w:proofErr w:type="spellStart"/>
      <w:r w:rsidR="00D16878">
        <w:t>MaDaMgmt</w:t>
      </w:r>
      <w:proofErr w:type="spellEnd"/>
      <w:r w:rsidR="00D16878">
        <w:t xml:space="preserve">).  </w:t>
      </w:r>
    </w:p>
    <w:p w14:paraId="68788DEA" w14:textId="31046F87" w:rsidR="00174C6D" w:rsidRDefault="00D16878" w:rsidP="00D16878">
      <w:pPr>
        <w:ind w:firstLine="720"/>
      </w:pPr>
      <w:r>
        <w:t xml:space="preserve">The objective of </w:t>
      </w:r>
      <w:proofErr w:type="spellStart"/>
      <w:r>
        <w:t>MaDaMgmt</w:t>
      </w:r>
      <w:proofErr w:type="spellEnd"/>
      <w:r>
        <w:t xml:space="preserve"> is to enable the sharing of business entities and related feeds across the organization.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  These CMT products tend to specialize in specific platforms and scenarios, which creates limitations on the corporate Information Technology (IT) departments.  Due to these restrictions, rigid homogenous topologies became the norm instead of allowing the best tool for the job.</w:t>
      </w:r>
    </w:p>
    <w:p w14:paraId="4E17694A" w14:textId="07108A50" w:rsidR="00D16878" w:rsidRPr="00174C6D" w:rsidRDefault="00D16878" w:rsidP="00D16878">
      <w:pPr>
        <w:ind w:firstLine="720"/>
      </w:pPr>
      <w:r>
        <w:t xml:space="preserve">Modern networks believe that IT enables the business, not stifles innovation.  The emersion of the Bring-Your-Own-Device (BYOD) makes this perspective front and center.  </w:t>
      </w:r>
      <w:r>
        <w:lastRenderedPageBreak/>
        <w:t>Since employees are free to use the best tool for their role, it results in highly diverse environments that span multiple technology stacks</w:t>
      </w:r>
      <w:r w:rsidR="00FC6586">
        <w:t>, like Windows, iOS, and Android</w:t>
      </w:r>
      <w:r>
        <w:t>.</w:t>
      </w:r>
      <w:r w:rsidR="00FC6586">
        <w:t xml:space="preserve">  While this freedom improves productivity, at the cost that private information resides on third-party devices that are partially trusted at best.</w:t>
      </w:r>
    </w:p>
    <w:p w14:paraId="69EB5BE3" w14:textId="02B42700" w:rsidR="00CC28DB" w:rsidRDefault="00CC28DB" w:rsidP="00CC28DB">
      <w:pPr>
        <w:pStyle w:val="Heading1"/>
      </w:pPr>
      <w:r>
        <w:t>Legal Mandates</w:t>
      </w:r>
    </w:p>
    <w:p w14:paraId="5448DB54" w14:textId="65F14644" w:rsidR="00CC28DB" w:rsidRDefault="00CC28DB" w:rsidP="00CC28DB">
      <w:pPr>
        <w:pStyle w:val="Heading2"/>
      </w:pPr>
      <w:r>
        <w:t>GDPR</w:t>
      </w:r>
    </w:p>
    <w:p w14:paraId="256BA3B2" w14:textId="2165F987" w:rsidR="008714C5" w:rsidRDefault="00264974" w:rsidP="00264974">
      <w:pPr>
        <w:ind w:firstLine="720"/>
      </w:pPr>
      <w:r>
        <w:t xml:space="preserve">The European Security Strategy (2013) set out to achieve cyber-resilience, reduce cybercrime, and define policies to promote core European Union (EU) values.  The security posture of the EU continues to evolve </w:t>
      </w:r>
      <w:r w:rsidR="008714C5" w:rsidRPr="008714C5">
        <w:t>from these expectations</w:t>
      </w:r>
      <w:r>
        <w:t xml:space="preserve"> to </w:t>
      </w:r>
      <w:r w:rsidR="008714C5" w:rsidRPr="008714C5">
        <w:t>includ</w:t>
      </w:r>
      <w:r>
        <w:t>e</w:t>
      </w:r>
      <w:r w:rsidR="008714C5" w:rsidRPr="008714C5">
        <w:t xml:space="preserve"> policies as </w:t>
      </w:r>
      <w:r w:rsidR="008714C5">
        <w:t xml:space="preserve">the </w:t>
      </w:r>
      <w:r w:rsidR="008714C5" w:rsidRPr="008714C5">
        <w:t>General Data Protection Regulation (GDPR)</w:t>
      </w:r>
      <w:r w:rsidR="008714C5">
        <w:t xml:space="preserve">.  </w:t>
      </w:r>
      <w:r>
        <w:t xml:space="preserve">This legal framework requires that the infrastructure for services offered to their citizen reside in Europe.  The Union can enforce its </w:t>
      </w:r>
      <w:r w:rsidR="008714C5" w:rsidRPr="008714C5">
        <w:t>sover</w:t>
      </w:r>
      <w:r w:rsidR="008714C5">
        <w:t>e</w:t>
      </w:r>
      <w:r w:rsidR="008714C5" w:rsidRPr="008714C5">
        <w:t xml:space="preserve">ignty </w:t>
      </w:r>
      <w:r>
        <w:t>by penalizing any action which viol</w:t>
      </w:r>
      <w:r w:rsidR="008714C5" w:rsidRPr="008714C5">
        <w:t>.</w:t>
      </w:r>
    </w:p>
    <w:p w14:paraId="74219623" w14:textId="62530174" w:rsidR="00334838" w:rsidRDefault="00334838" w:rsidP="00334838">
      <w:pPr>
        <w:ind w:firstLine="720"/>
      </w:pPr>
      <w:r w:rsidRPr="00334838">
        <w:t xml:space="preserve">European regulation creates the legislative teeth necessary to ensure </w:t>
      </w:r>
      <w:r>
        <w:t xml:space="preserve">that </w:t>
      </w:r>
      <w:r w:rsidRPr="00334838">
        <w:t>businesses take customer privacy seriously.  These include mandatory fines for negligence that violates the public trust and states that individuals are the owner of data associated with them</w:t>
      </w:r>
      <w:r w:rsidR="008714C5">
        <w:t>.</w:t>
      </w:r>
    </w:p>
    <w:p w14:paraId="2A90A1F5" w14:textId="7109AC81" w:rsidR="00CC28DB" w:rsidRDefault="00CC28DB" w:rsidP="00CC28DB">
      <w:pPr>
        <w:pStyle w:val="Heading2"/>
      </w:pPr>
      <w:r>
        <w:t>SOX</w:t>
      </w:r>
    </w:p>
    <w:p w14:paraId="1B2BBD49" w14:textId="7AB90B44" w:rsidR="006D3C74" w:rsidRPr="006D3C74" w:rsidRDefault="006D3C74" w:rsidP="006D3C74">
      <w:pPr>
        <w:ind w:firstLine="720"/>
      </w:pPr>
      <w:r w:rsidRPr="006D3C74">
        <w:t xml:space="preserve">In 2002, several accounting scandals rocked the financial world (e.g., </w:t>
      </w:r>
      <w:r>
        <w:t xml:space="preserve">WorldCom and </w:t>
      </w:r>
      <w:r w:rsidRPr="006D3C74">
        <w:t>Enron), resulting in regulation to create audit records and an emphasis on internal controls.</w:t>
      </w:r>
    </w:p>
    <w:p w14:paraId="19AEC79D" w14:textId="27F224D1" w:rsidR="00CC28DB" w:rsidRDefault="00CC28DB" w:rsidP="00CC28DB">
      <w:pPr>
        <w:pStyle w:val="Heading2"/>
      </w:pPr>
      <w:r>
        <w:t>HIPAA and HITECH</w:t>
      </w:r>
    </w:p>
    <w:p w14:paraId="0F7B3C2C" w14:textId="3B9533CE" w:rsidR="006D3C74" w:rsidRPr="006D3C74" w:rsidRDefault="006D3C74" w:rsidP="00334838">
      <w:pPr>
        <w:ind w:firstLine="720"/>
      </w:pPr>
      <w:r>
        <w:t>In 1996, the Health Insurance Portability and Accountability Act, came into exist</w:t>
      </w:r>
      <w:r>
        <w:t>e</w:t>
      </w:r>
      <w:r>
        <w:t>nce to protect patient confidentiality and modernize the health care information flow.</w:t>
      </w:r>
      <w:r w:rsidR="00334838">
        <w:t xml:space="preserve">  </w:t>
      </w:r>
      <w:r>
        <w:t xml:space="preserve">In 2009, the Health Information Technology for Economic and Clinical Health Act removes loop-holes in </w:t>
      </w:r>
      <w:r>
        <w:lastRenderedPageBreak/>
        <w:t>HIPAA compliance and forces medical facilities to adopt Electronic Medical Records (EMR).  In several articles</w:t>
      </w:r>
      <w:r>
        <w:t>,</w:t>
      </w:r>
      <w:r>
        <w:t xml:space="preserve"> mentions of HIPAA are often accompanying by HITECH.</w:t>
      </w:r>
    </w:p>
    <w:p w14:paraId="26E9442C" w14:textId="771D4393" w:rsidR="00CC28DB" w:rsidRDefault="00CC28DB" w:rsidP="00CC28DB">
      <w:pPr>
        <w:pStyle w:val="Heading2"/>
      </w:pPr>
      <w:r>
        <w:t>Omnibus Rule</w:t>
      </w:r>
    </w:p>
    <w:p w14:paraId="38B65B9C" w14:textId="4C606A7D" w:rsidR="006D3C74" w:rsidRPr="006D3C74" w:rsidRDefault="006D3C74" w:rsidP="0019470C">
      <w:pPr>
        <w:ind w:firstLine="720"/>
      </w:pPr>
      <w:r w:rsidRPr="006D3C74">
        <w:t>In 2014, an am</w:t>
      </w:r>
      <w:r>
        <w:t>endm</w:t>
      </w:r>
      <w:r w:rsidRPr="006D3C74">
        <w:t xml:space="preserve">ent to the HITECH legislation </w:t>
      </w:r>
      <w:r w:rsidR="0019470C">
        <w:t xml:space="preserve">expanded the definition of </w:t>
      </w:r>
      <w:r w:rsidRPr="006D3C74">
        <w:t xml:space="preserve">Personal Health Information (PHI) </w:t>
      </w:r>
      <w:r w:rsidR="0019470C">
        <w:t xml:space="preserve">by </w:t>
      </w:r>
      <w:r>
        <w:t>protecting individuals’ privacy for fifty years after being deceased</w:t>
      </w:r>
      <w:r w:rsidRPr="006D3C74">
        <w:t>.  There are exceptions to this rule</w:t>
      </w:r>
      <w:r>
        <w:t>,</w:t>
      </w:r>
      <w:r w:rsidRPr="006D3C74">
        <w:t xml:space="preserve"> such as a request from the person</w:t>
      </w:r>
      <w:r>
        <w:t>’</w:t>
      </w:r>
      <w:r w:rsidRPr="006D3C74">
        <w:t>s caregiver, provided a written request for confidentiality does not exist.  Other exceptions allow release for insurance billing and payment scenarios.</w:t>
      </w:r>
    </w:p>
    <w:p w14:paraId="715D4539" w14:textId="3A2040C7" w:rsidR="00CC28DB" w:rsidRDefault="00CC28DB" w:rsidP="00CC28DB">
      <w:pPr>
        <w:pStyle w:val="Heading2"/>
      </w:pPr>
      <w:r>
        <w:t>FERPA</w:t>
      </w:r>
    </w:p>
    <w:p w14:paraId="754A1F4F" w14:textId="17D96599" w:rsidR="006D3C74" w:rsidRDefault="006D3C74" w:rsidP="006D3C74">
      <w:pPr>
        <w:ind w:firstLine="720"/>
      </w:pPr>
      <w:r>
        <w:t xml:space="preserve">In 1974, </w:t>
      </w:r>
      <w:r>
        <w:t xml:space="preserve">the </w:t>
      </w:r>
      <w:r>
        <w:t xml:space="preserve">Family Education Rights and Privacy Act </w:t>
      </w:r>
      <w:r>
        <w:t xml:space="preserve">gave </w:t>
      </w:r>
      <w:r>
        <w:t>parents the ability to (1) access; (2) amend; and (3) limit disclosure -- of their child</w:t>
      </w:r>
      <w:r>
        <w:t>’</w:t>
      </w:r>
      <w:r>
        <w:t>s educational data.  These controls cover any student</w:t>
      </w:r>
      <w:r>
        <w:t>’s</w:t>
      </w:r>
      <w:r>
        <w:t xml:space="preserve"> </w:t>
      </w:r>
      <w:r>
        <w:t>P</w:t>
      </w:r>
      <w:r>
        <w:t>ersonal</w:t>
      </w:r>
      <w:r>
        <w:t>ly</w:t>
      </w:r>
      <w:r>
        <w:t xml:space="preserve"> </w:t>
      </w:r>
      <w:r>
        <w:t>I</w:t>
      </w:r>
      <w:r>
        <w:t>dentif</w:t>
      </w:r>
      <w:r>
        <w:t>i</w:t>
      </w:r>
      <w:r>
        <w:t xml:space="preserve">able </w:t>
      </w:r>
      <w:r>
        <w:t>I</w:t>
      </w:r>
      <w:r>
        <w:t xml:space="preserve">nformation (PII) and educational records.  </w:t>
      </w:r>
    </w:p>
    <w:p w14:paraId="0261E5D8" w14:textId="553227F9" w:rsidR="006D3C74" w:rsidRPr="006D3C74" w:rsidRDefault="006D3C74" w:rsidP="00CE4005">
      <w:pPr>
        <w:ind w:firstLine="720"/>
      </w:pPr>
      <w:r>
        <w:t>According to Langlois (2014), these rules apply to any org</w:t>
      </w:r>
      <w:r>
        <w:t>an</w:t>
      </w:r>
      <w:r>
        <w:t>ization that accepts federal funds.  She also notes that FERPA is the federal minimum bar</w:t>
      </w:r>
      <w:r>
        <w:t>,</w:t>
      </w:r>
      <w:r>
        <w:t xml:space="preserve"> and places like Texas have state</w:t>
      </w:r>
      <w:r>
        <w:t>-</w:t>
      </w:r>
      <w:r>
        <w:t>level requirements that go further.  When a school district violates FERPA</w:t>
      </w:r>
      <w:r>
        <w:t>,</w:t>
      </w:r>
      <w:r>
        <w:t xml:space="preserve"> </w:t>
      </w:r>
      <w:r>
        <w:t xml:space="preserve">no penalizations exist outside of potentially </w:t>
      </w:r>
      <w:r>
        <w:t xml:space="preserve">losing </w:t>
      </w:r>
      <w:r>
        <w:t xml:space="preserve">its </w:t>
      </w:r>
      <w:r>
        <w:t>federal funding.  However, the parents are free to file civil suits and seek damages caused by negligence and maliciousness.</w:t>
      </w:r>
    </w:p>
    <w:p w14:paraId="67869B74" w14:textId="529D4596" w:rsidR="00CC28DB" w:rsidRDefault="00CC28DB" w:rsidP="00CC28DB">
      <w:pPr>
        <w:pStyle w:val="Heading1"/>
      </w:pPr>
      <w:r>
        <w:t>Risk Associated with Mobile Device Management</w:t>
      </w:r>
    </w:p>
    <w:p w14:paraId="768370DE" w14:textId="65C91EFC" w:rsidR="00CC28DB" w:rsidRDefault="00CC28DB" w:rsidP="00CC28DB">
      <w:pPr>
        <w:pStyle w:val="Heading2"/>
      </w:pPr>
      <w:r>
        <w:t>Stolen Devices</w:t>
      </w:r>
    </w:p>
    <w:p w14:paraId="6FB69631" w14:textId="4F957528" w:rsidR="00CC28DB" w:rsidRDefault="00CC28DB" w:rsidP="00CC28DB">
      <w:pPr>
        <w:pStyle w:val="Heading2"/>
      </w:pPr>
      <w:r>
        <w:t>Mobile Malware and Vulnerabilities</w:t>
      </w:r>
    </w:p>
    <w:p w14:paraId="33BC5BC5" w14:textId="38C81BB6" w:rsidR="00CC28DB" w:rsidRDefault="00CC28DB" w:rsidP="00CC28DB">
      <w:pPr>
        <w:pStyle w:val="Heading2"/>
      </w:pPr>
      <w:r>
        <w:t>Advanced Threats</w:t>
      </w:r>
    </w:p>
    <w:p w14:paraId="6FDBE07E" w14:textId="7C44A97C" w:rsidR="00CC28DB" w:rsidRDefault="00CC28DB" w:rsidP="00CC28DB">
      <w:pPr>
        <w:pStyle w:val="Heading2"/>
      </w:pPr>
      <w:r>
        <w:t>User Behavior</w:t>
      </w:r>
    </w:p>
    <w:p w14:paraId="7126E9C3" w14:textId="79F722C8" w:rsidR="00CC28DB" w:rsidRDefault="00CC28DB" w:rsidP="00CC28DB">
      <w:pPr>
        <w:pStyle w:val="Heading1"/>
      </w:pPr>
      <w:r>
        <w:t>Building a framework around these issues</w:t>
      </w:r>
    </w:p>
    <w:p w14:paraId="18FE53AF" w14:textId="639ACD7D" w:rsidR="00CC28DB" w:rsidRDefault="00CC28DB" w:rsidP="00CC28DB">
      <w:pPr>
        <w:pStyle w:val="Heading2"/>
      </w:pPr>
      <w:r>
        <w:lastRenderedPageBreak/>
        <w:t>How to address</w:t>
      </w:r>
    </w:p>
    <w:p w14:paraId="44CA2B8C" w14:textId="5560E02B" w:rsidR="00CC28DB" w:rsidRDefault="00CC28DB" w:rsidP="00CC28DB">
      <w:pPr>
        <w:pStyle w:val="Heading2"/>
      </w:pPr>
      <w:r>
        <w:t>MDM Tooling Recommendation</w:t>
      </w:r>
    </w:p>
    <w:p w14:paraId="0084C457" w14:textId="2799FCBB" w:rsidR="00CC28DB" w:rsidRDefault="00CC28DB" w:rsidP="00CC28DB">
      <w:pPr>
        <w:pStyle w:val="Heading2"/>
      </w:pPr>
      <w:r>
        <w:t>Mitigating Privacy Concerns</w:t>
      </w:r>
    </w:p>
    <w:p w14:paraId="59814B67" w14:textId="24F17E5E" w:rsidR="00CC28DB" w:rsidRDefault="00CC28DB" w:rsidP="00CC28DB">
      <w:pPr>
        <w:pStyle w:val="Heading2"/>
      </w:pPr>
      <w:r>
        <w:t>Integrating with other Frameworks</w:t>
      </w:r>
    </w:p>
    <w:p w14:paraId="5F89AC78" w14:textId="1F14CF13" w:rsidR="00CC28DB" w:rsidRPr="00CC28DB" w:rsidRDefault="00CC28DB" w:rsidP="00CC28DB">
      <w:pPr>
        <w:pStyle w:val="Heading1"/>
      </w:pPr>
      <w:r>
        <w:t>Conclusion</w:t>
      </w:r>
    </w:p>
    <w:sectPr w:rsidR="00CC28DB" w:rsidRPr="00CC28DB"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E8869" w14:textId="77777777" w:rsidR="00450842" w:rsidRDefault="00450842" w:rsidP="0082223F">
      <w:pPr>
        <w:spacing w:line="240" w:lineRule="auto"/>
      </w:pPr>
      <w:r>
        <w:separator/>
      </w:r>
    </w:p>
  </w:endnote>
  <w:endnote w:type="continuationSeparator" w:id="0">
    <w:p w14:paraId="42F352B5" w14:textId="77777777" w:rsidR="00450842" w:rsidRDefault="0045084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4684A" w14:textId="77777777" w:rsidR="00450842" w:rsidRDefault="00450842" w:rsidP="0082223F">
      <w:pPr>
        <w:spacing w:line="240" w:lineRule="auto"/>
      </w:pPr>
      <w:r>
        <w:separator/>
      </w:r>
    </w:p>
  </w:footnote>
  <w:footnote w:type="continuationSeparator" w:id="0">
    <w:p w14:paraId="39870473" w14:textId="77777777" w:rsidR="00450842" w:rsidRDefault="0045084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74C6D"/>
    <w:rsid w:val="00183597"/>
    <w:rsid w:val="0019470C"/>
    <w:rsid w:val="00264974"/>
    <w:rsid w:val="002806B7"/>
    <w:rsid w:val="00334838"/>
    <w:rsid w:val="003F4714"/>
    <w:rsid w:val="00401D65"/>
    <w:rsid w:val="004223E8"/>
    <w:rsid w:val="00450842"/>
    <w:rsid w:val="004A784B"/>
    <w:rsid w:val="005B7079"/>
    <w:rsid w:val="006D3C74"/>
    <w:rsid w:val="006D793E"/>
    <w:rsid w:val="0073677D"/>
    <w:rsid w:val="0082223F"/>
    <w:rsid w:val="008714C5"/>
    <w:rsid w:val="00877007"/>
    <w:rsid w:val="008B5129"/>
    <w:rsid w:val="009A757D"/>
    <w:rsid w:val="00B13ADF"/>
    <w:rsid w:val="00C54DC8"/>
    <w:rsid w:val="00C73692"/>
    <w:rsid w:val="00C93BB7"/>
    <w:rsid w:val="00CB018E"/>
    <w:rsid w:val="00CB25E9"/>
    <w:rsid w:val="00CC28DB"/>
    <w:rsid w:val="00CE4005"/>
    <w:rsid w:val="00D16878"/>
    <w:rsid w:val="00D75C7B"/>
    <w:rsid w:val="00D85C7B"/>
    <w:rsid w:val="00DB7D59"/>
    <w:rsid w:val="00DE2224"/>
    <w:rsid w:val="00E234E9"/>
    <w:rsid w:val="00ED3713"/>
    <w:rsid w:val="00FC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9036">
      <w:bodyDiv w:val="1"/>
      <w:marLeft w:val="0"/>
      <w:marRight w:val="0"/>
      <w:marTop w:val="0"/>
      <w:marBottom w:val="0"/>
      <w:divBdr>
        <w:top w:val="none" w:sz="0" w:space="0" w:color="auto"/>
        <w:left w:val="none" w:sz="0" w:space="0" w:color="auto"/>
        <w:bottom w:val="none" w:sz="0" w:space="0" w:color="auto"/>
        <w:right w:val="none" w:sz="0" w:space="0" w:color="auto"/>
      </w:divBdr>
      <w:divsChild>
        <w:div w:id="776170147">
          <w:marLeft w:val="0"/>
          <w:marRight w:val="0"/>
          <w:marTop w:val="0"/>
          <w:marBottom w:val="0"/>
          <w:divBdr>
            <w:top w:val="none" w:sz="0" w:space="0" w:color="auto"/>
            <w:left w:val="none" w:sz="0" w:space="0" w:color="auto"/>
            <w:bottom w:val="none" w:sz="0" w:space="0" w:color="auto"/>
            <w:right w:val="none" w:sz="0" w:space="0" w:color="auto"/>
          </w:divBdr>
          <w:divsChild>
            <w:div w:id="213002917">
              <w:marLeft w:val="0"/>
              <w:marRight w:val="0"/>
              <w:marTop w:val="0"/>
              <w:marBottom w:val="0"/>
              <w:divBdr>
                <w:top w:val="none" w:sz="0" w:space="0" w:color="auto"/>
                <w:left w:val="none" w:sz="0" w:space="0" w:color="auto"/>
                <w:bottom w:val="none" w:sz="0" w:space="0" w:color="auto"/>
                <w:right w:val="none" w:sz="0" w:space="0" w:color="auto"/>
              </w:divBdr>
            </w:div>
            <w:div w:id="2134250664">
              <w:marLeft w:val="0"/>
              <w:marRight w:val="0"/>
              <w:marTop w:val="0"/>
              <w:marBottom w:val="0"/>
              <w:divBdr>
                <w:top w:val="none" w:sz="0" w:space="0" w:color="auto"/>
                <w:left w:val="none" w:sz="0" w:space="0" w:color="auto"/>
                <w:bottom w:val="none" w:sz="0" w:space="0" w:color="auto"/>
                <w:right w:val="none" w:sz="0" w:space="0" w:color="auto"/>
              </w:divBdr>
            </w:div>
            <w:div w:id="2117477949">
              <w:marLeft w:val="0"/>
              <w:marRight w:val="0"/>
              <w:marTop w:val="0"/>
              <w:marBottom w:val="0"/>
              <w:divBdr>
                <w:top w:val="none" w:sz="0" w:space="0" w:color="auto"/>
                <w:left w:val="none" w:sz="0" w:space="0" w:color="auto"/>
                <w:bottom w:val="none" w:sz="0" w:space="0" w:color="auto"/>
                <w:right w:val="none" w:sz="0" w:space="0" w:color="auto"/>
              </w:divBdr>
            </w:div>
            <w:div w:id="268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7791-72FF-4593-B3D6-839813C6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2020-07-19T20:04:00Z</dcterms:modified>
</cp:coreProperties>
</file>