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C497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 xml:space="preserve">e Get </w:t>
      </w:r>
      <w:proofErr w:type="gramStart"/>
      <w:r>
        <w:t>Here</w:t>
      </w:r>
      <w:proofErr w:type="gramEnd"/>
    </w:p>
    <w:p w14:paraId="2449DF01" w14:textId="4F5B8AC0"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006867EB" w:rsidRPr="006867EB">
        <w:t xml:space="preserve"> </w:t>
      </w:r>
      <w:sdt>
        <w:sdtPr>
          <w:id w:val="-637180100"/>
          <w:citation/>
        </w:sdtPr>
        <w:sdtContent>
          <w:r w:rsidR="006867EB">
            <w:fldChar w:fldCharType="begin"/>
          </w:r>
          <w:r w:rsidR="006867EB">
            <w:instrText xml:space="preserve"> CITATION Ast16 \l 1033 </w:instrText>
          </w:r>
          <w:r w:rsidR="006867EB">
            <w:fldChar w:fldCharType="separate"/>
          </w:r>
          <w:r w:rsidR="006867EB">
            <w:rPr>
              <w:noProof/>
            </w:rPr>
            <w:t xml:space="preserve"> (Astani &amp; Ready, 2016)</w:t>
          </w:r>
          <w:r w:rsidR="006867EB">
            <w:fldChar w:fldCharType="end"/>
          </w:r>
        </w:sdtContent>
      </w:sdt>
      <w:r w:rsidR="00D16878">
        <w:t>, leading to the adoption of Master Data Management systems (</w:t>
      </w:r>
      <w:proofErr w:type="spellStart"/>
      <w:r w:rsidR="00D16878">
        <w:t>MaDaMgmt</w:t>
      </w:r>
      <w:proofErr w:type="spellEnd"/>
      <w:r w:rsidR="00D16878">
        <w:t xml:space="preserve">).  </w:t>
      </w:r>
    </w:p>
    <w:p w14:paraId="68788DEA" w14:textId="23860558"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rsidR="006867EB">
            <w:fldChar w:fldCharType="begin"/>
          </w:r>
          <w:r w:rsidR="006867EB">
            <w:instrText xml:space="preserve">CITATION Riv17 \l 1033 </w:instrText>
          </w:r>
          <w:r w:rsidR="006867EB">
            <w:fldChar w:fldCharType="separate"/>
          </w:r>
          <w:r w:rsidR="006867EB">
            <w:rPr>
              <w:noProof/>
            </w:rPr>
            <w:t xml:space="preserve"> (Rivas, Caballero, Serrano, &amp; Pattini, 2017)</w:t>
          </w:r>
          <w:r w:rsidR="006867EB">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rsidR="006867EB">
            <w:fldChar w:fldCharType="begin"/>
          </w:r>
          <w:r w:rsidR="006867EB">
            <w:instrText xml:space="preserve"> CITATION Tar18 \l 1033 </w:instrText>
          </w:r>
          <w:r w:rsidR="006867EB">
            <w:fldChar w:fldCharType="separate"/>
          </w:r>
          <w:r w:rsidR="006867EB">
            <w:rPr>
              <w:noProof/>
            </w:rPr>
            <w:t xml:space="preserve"> (Tarzey, 2018)</w:t>
          </w:r>
          <w:r w:rsidR="006867EB">
            <w:fldChar w:fldCharType="end"/>
          </w:r>
        </w:sdtContent>
      </w:sdt>
      <w:r>
        <w:t xml:space="preserve">.  </w:t>
      </w:r>
      <w:r w:rsidR="006867EB">
        <w:t>However, t</w:t>
      </w:r>
      <w:r>
        <w:t xml:space="preserve">hese CMT products tend to specialize in specific platforms and scenarios, which </w:t>
      </w:r>
      <w:r w:rsidR="006867EB">
        <w:t xml:space="preserve">limits the device supportability matrix for </w:t>
      </w:r>
      <w:r>
        <w:t>corporate Information Technology (IT) departments.  Due to these restrictions, rigid homogenous topologies became the norm instead of allowing the best tool for the job.</w:t>
      </w:r>
    </w:p>
    <w:p w14:paraId="4E17694A" w14:textId="1035DC9F" w:rsidR="00D16878" w:rsidRPr="00174C6D" w:rsidRDefault="00D16878" w:rsidP="00D16878">
      <w:pPr>
        <w:ind w:firstLine="720"/>
      </w:pPr>
      <w:r>
        <w:lastRenderedPageBreak/>
        <w:t>Modern networks believe that IT enables the business, not stifles innovation.  The emersion of the Bring-Your-Own-Device (BYOD) makes this perspective front and center</w:t>
      </w:r>
      <w:sdt>
        <w:sdtPr>
          <w:id w:val="-1919552627"/>
          <w:citation/>
        </w:sdtPr>
        <w:sdtContent>
          <w:r w:rsidR="0038751D">
            <w:fldChar w:fldCharType="begin"/>
          </w:r>
          <w:r w:rsidR="0038751D">
            <w:instrText xml:space="preserve"> CITATION Lam15 \l 1033 </w:instrText>
          </w:r>
          <w:r w:rsidR="0038751D">
            <w:fldChar w:fldCharType="separate"/>
          </w:r>
          <w:r w:rsidR="0038751D">
            <w:rPr>
              <w:noProof/>
            </w:rPr>
            <w:t xml:space="preserve"> (Lamolle, Menet, &amp; Le Duc, 2015)</w:t>
          </w:r>
          <w:r w:rsidR="0038751D">
            <w:fldChar w:fldCharType="end"/>
          </w:r>
        </w:sdtContent>
      </w:sdt>
      <w:r>
        <w:t xml:space="preserve">.  </w:t>
      </w:r>
      <w:r w:rsidR="0038751D">
        <w:t>With</w:t>
      </w:r>
      <w:r>
        <w:t xml:space="preserve"> employees are free to use the best tool for their role, it results in highly diverse environments that span multiple technology stacks</w:t>
      </w:r>
      <w:r w:rsidR="00FC6586">
        <w:t>, like Windows, iOS, and Android</w:t>
      </w:r>
      <w:r>
        <w:t>.</w:t>
      </w:r>
      <w:r w:rsidR="00FC6586">
        <w:t xml:space="preserve">  </w:t>
      </w:r>
      <w:r w:rsidR="0038751D">
        <w:t xml:space="preserve">That </w:t>
      </w:r>
      <w:r w:rsidR="00FC6586">
        <w:t xml:space="preserve">freedom improves productivity, at the cost </w:t>
      </w:r>
      <w:r w:rsidR="0038751D">
        <w:t xml:space="preserve">of sensitive business information </w:t>
      </w:r>
      <w:r w:rsidR="00FC6586">
        <w:t xml:space="preserve">resides on devices </w:t>
      </w:r>
      <w:r w:rsidR="0038751D">
        <w:t xml:space="preserve">not controlled by the organization and </w:t>
      </w:r>
      <w:r w:rsidR="00FC6586">
        <w:t>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3E41ADA4"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core values</w:t>
      </w:r>
      <w:sdt>
        <w:sdtPr>
          <w:id w:val="-1178963199"/>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264974">
        <w:t xml:space="preserve">.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sdt>
        <w:sdtPr>
          <w:id w:val="1152945185"/>
          <w:citation/>
        </w:sdtPr>
        <w:sdtContent>
          <w:r w:rsidR="00C95079">
            <w:fldChar w:fldCharType="begin"/>
          </w:r>
          <w:r w:rsidR="00C95079">
            <w:instrText xml:space="preserve"> CITATION Kov18 \l 1033 </w:instrText>
          </w:r>
          <w:r w:rsidR="00C95079">
            <w:fldChar w:fldCharType="separate"/>
          </w:r>
          <w:r w:rsidR="00C95079">
            <w:rPr>
              <w:noProof/>
            </w:rPr>
            <w:t xml:space="preserve"> (Kovacs, 2017)</w:t>
          </w:r>
          <w:r w:rsidR="00C95079">
            <w:fldChar w:fldCharType="end"/>
          </w:r>
        </w:sdtContent>
      </w:sdt>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39DA6447"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w:t>
      </w:r>
      <w:r w:rsidR="00C95079" w:rsidRPr="00C95079">
        <w:t xml:space="preserve"> </w:t>
      </w:r>
      <w:sdt>
        <w:sdtPr>
          <w:id w:val="1320625466"/>
          <w:citation/>
        </w:sdtPr>
        <w:sdtContent>
          <w:r w:rsidR="00C95079">
            <w:fldChar w:fldCharType="begin"/>
          </w:r>
          <w:r w:rsidR="00C95079">
            <w:instrText xml:space="preserve"> CITATION Mal13 \l 1033 </w:instrText>
          </w:r>
          <w:r w:rsidR="00C95079">
            <w:fldChar w:fldCharType="separate"/>
          </w:r>
          <w:r w:rsidR="00C95079">
            <w:rPr>
              <w:noProof/>
            </w:rPr>
            <w:t xml:space="preserve"> (Mallor, Prenkert, Barnes, Langvardt, &amp; McCrory, 2013)</w:t>
          </w:r>
          <w:r w:rsidR="00C95079">
            <w:fldChar w:fldCharType="end"/>
          </w:r>
        </w:sdtContent>
      </w:sdt>
      <w:r w:rsidR="00402FB3">
        <w:t xml:space="preserve">.  The SOX Act was a direct response to these challenges by </w:t>
      </w:r>
      <w:r w:rsidR="00402FB3">
        <w:lastRenderedPageBreak/>
        <w:t xml:space="preserve">mandating internal controls and external auditing procedures.  Executives leadership teams must </w:t>
      </w:r>
      <w:r w:rsidR="00C95079">
        <w:t xml:space="preserve">also </w:t>
      </w:r>
      <w:r w:rsidR="00402FB3">
        <w:t xml:space="preserve">produce documentation about these </w:t>
      </w:r>
      <w:r w:rsidR="00C95079">
        <w:t xml:space="preserve">controls </w:t>
      </w:r>
      <w:r w:rsidR="00402FB3">
        <w:t>and are personally accountable for inaccuracies.  This accountability is punishable by fines or even jail sentences in egregious situations.</w:t>
      </w:r>
      <w:r w:rsidR="00114C64">
        <w:t xml:space="preserve">  Along with these official repercussions, shareholders are quick to sell their investment in untrustworthy businesses</w:t>
      </w:r>
      <w:r w:rsidR="00BB2E89">
        <w:t xml:space="preserve"> empowering the </w:t>
      </w:r>
      <w:proofErr w:type="gramStart"/>
      <w:r w:rsidR="00BB2E89">
        <w:t>free</w:t>
      </w:r>
      <w:r w:rsidR="0067103D">
        <w:t>-</w:t>
      </w:r>
      <w:r w:rsidR="00BB2E89">
        <w:t>market</w:t>
      </w:r>
      <w:proofErr w:type="gramEnd"/>
      <w:r w:rsidR="00BB2E89">
        <w:t xml:space="preserve"> to gain its pound of flesh</w:t>
      </w:r>
      <w:r w:rsidR="00114C64">
        <w:t xml:space="preserve">. </w:t>
      </w:r>
    </w:p>
    <w:p w14:paraId="2F309314" w14:textId="77777777" w:rsidR="00205E8B" w:rsidRDefault="00DD654B" w:rsidP="00CC28DB">
      <w:pPr>
        <w:pStyle w:val="Heading2"/>
      </w:pPr>
      <w:r>
        <w:t>Health Care Privacy Reform</w:t>
      </w:r>
    </w:p>
    <w:p w14:paraId="651339EF" w14:textId="77777777" w:rsidR="008139FB" w:rsidRDefault="006D3C74" w:rsidP="008139FB">
      <w:pPr>
        <w:pStyle w:val="ListParagraph"/>
        <w:numPr>
          <w:ilvl w:val="0"/>
          <w:numId w:val="1"/>
        </w:numPr>
      </w:pPr>
      <w:r>
        <w:t>In 1996, the Health Insurance Portability and Accountability Act, came into exist</w:t>
      </w:r>
      <w:r>
        <w:t>e</w:t>
      </w:r>
      <w:r>
        <w:t>nce to protect patient confidentiality and modernize the health care information flow</w:t>
      </w:r>
      <w:sdt>
        <w:sdtPr>
          <w:id w:val="-585686738"/>
          <w:citation/>
        </w:sdtPr>
        <w:sdtContent>
          <w:r w:rsidR="008139FB">
            <w:fldChar w:fldCharType="begin"/>
          </w:r>
          <w:r w:rsidR="008139FB">
            <w:instrText xml:space="preserve"> CITATION Gri17 \l 1033 </w:instrText>
          </w:r>
          <w:r w:rsidR="008139FB">
            <w:fldChar w:fldCharType="separate"/>
          </w:r>
          <w:r w:rsidR="008139FB">
            <w:rPr>
              <w:noProof/>
            </w:rPr>
            <w:t xml:space="preserve"> (Grimes &amp; Wirth, 2017)</w:t>
          </w:r>
          <w:r w:rsidR="008139FB">
            <w:fldChar w:fldCharType="end"/>
          </w:r>
        </w:sdtContent>
      </w:sdt>
      <w:r>
        <w:t>.</w:t>
      </w:r>
      <w:r w:rsidR="00334838">
        <w:t xml:space="preserve">  </w:t>
      </w:r>
    </w:p>
    <w:p w14:paraId="209E70AC" w14:textId="77777777" w:rsidR="008139FB" w:rsidRDefault="006D3C74" w:rsidP="008139FB">
      <w:pPr>
        <w:pStyle w:val="ListParagraph"/>
        <w:numPr>
          <w:ilvl w:val="0"/>
          <w:numId w:val="1"/>
        </w:numPr>
      </w:pPr>
      <w:r>
        <w:t>In 2009, the Health Information Technology for Economic and Clinical Health Act removes loop-holes in HIPAA compliance and forces medical facilities to adopt Electronic Medical Records (EMR)</w:t>
      </w:r>
      <w:sdt>
        <w:sdtPr>
          <w:id w:val="-307857105"/>
          <w:citation/>
        </w:sdtPr>
        <w:sdtContent>
          <w:r w:rsidR="008139FB">
            <w:fldChar w:fldCharType="begin"/>
          </w:r>
          <w:r w:rsidR="008139FB">
            <w:instrText xml:space="preserve"> CITATION HIP14 \l 1033 </w:instrText>
          </w:r>
          <w:r w:rsidR="008139FB">
            <w:fldChar w:fldCharType="separate"/>
          </w:r>
          <w:r w:rsidR="008139FB">
            <w:rPr>
              <w:noProof/>
            </w:rPr>
            <w:t xml:space="preserve"> (HIPAA Journal, 2014)</w:t>
          </w:r>
          <w:r w:rsidR="008139FB">
            <w:fldChar w:fldCharType="end"/>
          </w:r>
        </w:sdtContent>
      </w:sdt>
      <w:r>
        <w:t xml:space="preserve">.  </w:t>
      </w:r>
    </w:p>
    <w:p w14:paraId="38B65B9C" w14:textId="0DE5236B" w:rsidR="006D3C74" w:rsidRDefault="006D3C74" w:rsidP="008139FB">
      <w:pPr>
        <w:pStyle w:val="ListParagraph"/>
        <w:numPr>
          <w:ilvl w:val="0"/>
          <w:numId w:val="1"/>
        </w:numPr>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sdt>
        <w:sdtPr>
          <w:id w:val="1268128826"/>
          <w:citation/>
        </w:sdtPr>
        <w:sdtContent>
          <w:r w:rsidR="008139FB">
            <w:fldChar w:fldCharType="begin"/>
          </w:r>
          <w:r w:rsidR="008139FB">
            <w:instrText xml:space="preserve"> CITATION AHI14 \l 1033 </w:instrText>
          </w:r>
          <w:r w:rsidR="008139FB">
            <w:fldChar w:fldCharType="separate"/>
          </w:r>
          <w:r w:rsidR="008139FB">
            <w:rPr>
              <w:noProof/>
            </w:rPr>
            <w:t xml:space="preserve"> (AHIMA, 2014)</w:t>
          </w:r>
          <w:r w:rsidR="008139FB">
            <w:fldChar w:fldCharType="end"/>
          </w:r>
        </w:sdtContent>
      </w:sdt>
      <w:r w:rsidRPr="006D3C74">
        <w:t xml:space="preserve">.  </w:t>
      </w:r>
      <w:r w:rsidR="008139FB">
        <w:t xml:space="preserve">AHIMA states there are </w:t>
      </w:r>
      <w:r w:rsidRPr="006D3C74">
        <w:t>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1313022F"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w:t>
      </w:r>
      <w:sdt>
        <w:sdtPr>
          <w:id w:val="-1638409627"/>
          <w:citation/>
        </w:sdtPr>
        <w:sdtContent>
          <w:r w:rsidR="008139FB">
            <w:fldChar w:fldCharType="begin"/>
          </w:r>
          <w:r w:rsidR="008139FB">
            <w:instrText xml:space="preserve"> CITATION EDU16 \l 1033 </w:instrText>
          </w:r>
          <w:r w:rsidR="008139FB">
            <w:fldChar w:fldCharType="separate"/>
          </w:r>
          <w:r w:rsidR="008139FB">
            <w:rPr>
              <w:noProof/>
            </w:rPr>
            <w:t xml:space="preserve"> (EDUStaff, 2016)</w:t>
          </w:r>
          <w:r w:rsidR="008139FB">
            <w:fldChar w:fldCharType="end"/>
          </w:r>
        </w:sdtContent>
      </w:sdt>
      <w:r>
        <w:t>.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 xml:space="preserve">ization that accepts federal </w:t>
      </w:r>
      <w:r>
        <w:lastRenderedPageBreak/>
        <w:t>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026A9A4" w14:textId="7F56D174" w:rsidR="00375CAD" w:rsidRDefault="00375CAD" w:rsidP="00375CAD">
      <w:pPr>
        <w:pStyle w:val="Heading2"/>
      </w:pPr>
      <w:r>
        <w:t>Legal Themes</w:t>
      </w:r>
    </w:p>
    <w:p w14:paraId="718B540E" w14:textId="13A1991D" w:rsidR="005C65E7" w:rsidRDefault="005C65E7" w:rsidP="00375CAD">
      <w:r>
        <w:tab/>
        <w:t>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w:t>
      </w:r>
      <w:r w:rsidR="008139FB" w:rsidRPr="008139FB">
        <w:t xml:space="preserve"> </w:t>
      </w:r>
      <w:sdt>
        <w:sdtPr>
          <w:id w:val="1246689413"/>
          <w:citation/>
        </w:sdtPr>
        <w:sdtContent>
          <w:r w:rsidR="008139FB">
            <w:fldChar w:fldCharType="begin"/>
          </w:r>
          <w:r w:rsidR="008139FB">
            <w:instrText xml:space="preserve"> CITATION Bus171 \l 1033 </w:instrText>
          </w:r>
          <w:r w:rsidR="008139FB">
            <w:fldChar w:fldCharType="separate"/>
          </w:r>
          <w:r w:rsidR="008139FB">
            <w:rPr>
              <w:noProof/>
            </w:rPr>
            <w:t xml:space="preserve"> (Busby, Green, &amp; Hutchison, 2017)</w:t>
          </w:r>
          <w:r w:rsidR="008139FB">
            <w:fldChar w:fldCharType="end"/>
          </w:r>
        </w:sdtContent>
      </w:sdt>
      <w:r>
        <w:t>.   Depending on the region, local regulation can create substantial economic incentives to respect the customer’s privacy</w:t>
      </w:r>
      <w:sdt>
        <w:sdtPr>
          <w:id w:val="311990948"/>
          <w:citation/>
        </w:sdtPr>
        <w:sdtContent>
          <w:r w:rsidR="008139FB">
            <w:fldChar w:fldCharType="begin"/>
          </w:r>
          <w:r w:rsidR="008139FB">
            <w:instrText xml:space="preserve"> CITATION Ban17 \l 1033 </w:instrText>
          </w:r>
          <w:r w:rsidR="008139FB">
            <w:fldChar w:fldCharType="separate"/>
          </w:r>
          <w:r w:rsidR="008139FB">
            <w:rPr>
              <w:noProof/>
            </w:rPr>
            <w:t xml:space="preserve"> (Banks, 2017)</w:t>
          </w:r>
          <w:r w:rsidR="008139FB">
            <w:fldChar w:fldCharType="end"/>
          </w:r>
        </w:sdtContent>
      </w:sdt>
      <w:r>
        <w:t xml:space="preserve">.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3BA48880"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w:t>
      </w:r>
      <w:sdt>
        <w:sdtPr>
          <w:id w:val="-1402204628"/>
          <w:citation/>
        </w:sdtPr>
        <w:sdtContent>
          <w:r w:rsidR="008139FB">
            <w:fldChar w:fldCharType="begin"/>
          </w:r>
          <w:r w:rsidR="008139FB">
            <w:instrText xml:space="preserve"> CITATION ERM14 \l 1033 </w:instrText>
          </w:r>
          <w:r w:rsidR="008139FB">
            <w:fldChar w:fldCharType="separate"/>
          </w:r>
          <w:r w:rsidR="008139FB">
            <w:rPr>
              <w:noProof/>
            </w:rPr>
            <w:t xml:space="preserve"> (ERM Initiative Faculty, 2014)</w:t>
          </w:r>
          <w:r w:rsidR="008139FB">
            <w:fldChar w:fldCharType="end"/>
          </w:r>
        </w:sdtContent>
      </w:sdt>
      <w:r w:rsidR="005D0D6C">
        <w:t>.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47F8119D" w:rsidR="00042593" w:rsidRPr="00790315" w:rsidRDefault="00042593" w:rsidP="00790315">
      <w:r>
        <w:lastRenderedPageBreak/>
        <w:tab/>
        <w:t xml:space="preserve">Enforcing mobile security must expand beyond malicious scenarios </w:t>
      </w:r>
      <w:proofErr w:type="gramStart"/>
      <w:r>
        <w:t>and also</w:t>
      </w:r>
      <w:proofErr w:type="gramEnd"/>
      <w:r>
        <w:t xml:space="preserve"> cover the prevention of negligence</w:t>
      </w:r>
      <w:sdt>
        <w:sdtPr>
          <w:id w:val="1753924574"/>
          <w:citation/>
        </w:sdtPr>
        <w:sdtContent>
          <w:r w:rsidR="008139FB">
            <w:fldChar w:fldCharType="begin"/>
          </w:r>
          <w:r w:rsidR="008139FB">
            <w:instrText xml:space="preserve"> CITATION Yam19 \l 1033 </w:instrText>
          </w:r>
          <w:r w:rsidR="008139FB">
            <w:fldChar w:fldCharType="separate"/>
          </w:r>
          <w:r w:rsidR="008139FB">
            <w:rPr>
              <w:noProof/>
            </w:rPr>
            <w:t xml:space="preserve"> (Yamin &amp; Katt, 2019)</w:t>
          </w:r>
          <w:r w:rsidR="008139FB">
            <w:fldChar w:fldCharType="end"/>
          </w:r>
        </w:sdtContent>
      </w:sdt>
      <w:r>
        <w:t>.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4551753" w14:textId="4ACA91B0" w:rsidR="004E6EC8" w:rsidRPr="00515280" w:rsidRDefault="00515280" w:rsidP="004E6EC8">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specific configurations</w:t>
      </w:r>
      <w:sdt>
        <w:sdtPr>
          <w:id w:val="-2072187879"/>
          <w:citation/>
        </w:sdtPr>
        <w:sdtContent>
          <w:r w:rsidR="008139FB">
            <w:fldChar w:fldCharType="begin"/>
          </w:r>
          <w:r w:rsidR="008139FB">
            <w:instrText xml:space="preserve"> CITATION Tar18 \l 1033 </w:instrText>
          </w:r>
          <w:r w:rsidR="008139FB">
            <w:fldChar w:fldCharType="separate"/>
          </w:r>
          <w:r w:rsidR="008139FB">
            <w:rPr>
              <w:noProof/>
            </w:rPr>
            <w:t xml:space="preserve"> (Tarzey, 2018)</w:t>
          </w:r>
          <w:r w:rsidR="008139FB">
            <w:fldChar w:fldCharType="end"/>
          </w:r>
        </w:sdtContent>
      </w:sdt>
      <w:r w:rsidR="00C42E08" w:rsidRPr="00C42E08">
        <w:t xml:space="preserve">.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r w:rsidR="000952B8">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w:t>
      </w:r>
      <w:r w:rsidR="004E6EC8">
        <w:t xml:space="preserve">  Advanced solutions like Microsoft Intune and MobileIron, support sandbox technologies that prevent mixing personal and corporate data</w:t>
      </w:r>
      <w:r w:rsidR="008139FB">
        <w:t xml:space="preserve"> (</w:t>
      </w:r>
      <w:proofErr w:type="spellStart"/>
      <w:r w:rsidR="008139FB">
        <w:t>Soseman</w:t>
      </w:r>
      <w:proofErr w:type="spellEnd"/>
      <w:r w:rsidR="008139FB">
        <w:t>, 2019; MobileIron 2020)</w:t>
      </w:r>
      <w:r w:rsidR="004E6EC8">
        <w:t>.  The data context tagging also opens the door for smarter remote wipe scenarios that do not touch personal data like family pictures.</w:t>
      </w:r>
    </w:p>
    <w:p w14:paraId="44CA2B8C" w14:textId="377907BE" w:rsidR="00CC28DB" w:rsidRDefault="00CC28DB" w:rsidP="00CC28DB">
      <w:pPr>
        <w:pStyle w:val="Heading2"/>
      </w:pPr>
      <w:r>
        <w:lastRenderedPageBreak/>
        <w:t>MDM Tooling Recommendation</w:t>
      </w:r>
    </w:p>
    <w:p w14:paraId="392ACB95" w14:textId="4D5892D3" w:rsidR="004E6EC8" w:rsidRPr="004E6EC8" w:rsidRDefault="004E6EC8" w:rsidP="004E6EC8">
      <w:r>
        <w:tab/>
        <w:t>Gartner</w:t>
      </w:r>
      <w:r w:rsidR="008139FB">
        <w:t xml:space="preserve"> (2019)</w:t>
      </w:r>
      <w:r>
        <w:t xml:space="preserve"> enumerates several MDM vendors and calls out strengths and weaknesses among their offerings.  Of these providers, Microsoft’s Intune stands out for being both a SaaS-based solution and supportability for most mainstream devices.  Service integrations allow connecting existing </w:t>
      </w:r>
      <w:r>
        <w:t xml:space="preserve">on-premise </w:t>
      </w:r>
      <w:r>
        <w:t>CMT solutions like Microsoft Configuration Manager.  Administrators can enjoy a wide range of scenario-specific configuration templates and extensive reporting capabilities.</w:t>
      </w:r>
      <w:r w:rsidR="00772873">
        <w:t xml:space="preserve">  Other market leaders include MobileIron, IBM</w:t>
      </w:r>
      <w:r w:rsidR="00F033B6">
        <w:t>,</w:t>
      </w:r>
      <w:r w:rsidR="00772873">
        <w:t xml:space="preserve"> and VMWare, which come with similar feature sets and unique challenges.</w:t>
      </w:r>
    </w:p>
    <w:p w14:paraId="0084C457" w14:textId="1562463B" w:rsidR="00CC28DB" w:rsidRDefault="00F033B6" w:rsidP="00F033B6">
      <w:pPr>
        <w:pStyle w:val="Heading2"/>
      </w:pPr>
      <w:r>
        <w:t>Building a Privacy First Framework</w:t>
      </w:r>
    </w:p>
    <w:p w14:paraId="1EED39AE" w14:textId="05135155" w:rsidR="00F033B6" w:rsidRDefault="008139FB" w:rsidP="006D01E7">
      <w:pPr>
        <w:ind w:firstLine="720"/>
      </w:pPr>
      <w:r>
        <w:t xml:space="preserve">Building accountable information policy requires sponsorship, transparency, </w:t>
      </w:r>
      <w:r w:rsidRPr="008139FB">
        <w:t>auditability</w:t>
      </w:r>
      <w:r>
        <w:t>, and the ability to remediate non-compliance</w:t>
      </w:r>
      <w:sdt>
        <w:sdtPr>
          <w:id w:val="-1421632442"/>
          <w:citation/>
        </w:sdtPr>
        <w:sdtContent>
          <w:r>
            <w:fldChar w:fldCharType="begin"/>
          </w:r>
          <w:r>
            <w:instrText xml:space="preserve"> CITATION Jac13 \l 1033 </w:instrText>
          </w:r>
          <w:r>
            <w:fldChar w:fldCharType="separate"/>
          </w:r>
          <w:r>
            <w:rPr>
              <w:noProof/>
            </w:rPr>
            <w:t xml:space="preserve"> (Jackson &amp; Walshe, 2013)</w:t>
          </w:r>
          <w:r>
            <w:fldChar w:fldCharType="end"/>
          </w:r>
        </w:sdtContent>
      </w:sdt>
      <w:r>
        <w:t>.</w:t>
      </w:r>
      <w:r w:rsidR="00F033B6">
        <w:t xml:space="preserve">  These foundational components </w:t>
      </w:r>
      <w:r>
        <w:t xml:space="preserve">require </w:t>
      </w:r>
      <w:r w:rsidR="006D01E7">
        <w:t xml:space="preserve">executive sponsorship </w:t>
      </w:r>
      <w:r>
        <w:t xml:space="preserve">to </w:t>
      </w:r>
      <w:r w:rsidR="006D01E7">
        <w:t>ensure data collection strategies align with corporate values.  For instance, a school district might be sensitive to any appearance of encroaching on student privacy or infringing FERPA norms</w:t>
      </w:r>
      <w:sdt>
        <w:sdtPr>
          <w:id w:val="-15085617"/>
          <w:citation/>
        </w:sdtPr>
        <w:sdtContent>
          <w:r>
            <w:fldChar w:fldCharType="begin"/>
          </w:r>
          <w:r>
            <w:instrText xml:space="preserve"> CITATION Lan14 \l 1033 </w:instrText>
          </w:r>
          <w:r>
            <w:fldChar w:fldCharType="separate"/>
          </w:r>
          <w:r>
            <w:rPr>
              <w:noProof/>
            </w:rPr>
            <w:t xml:space="preserve"> (Langlois, 2014)</w:t>
          </w:r>
          <w:r>
            <w:fldChar w:fldCharType="end"/>
          </w:r>
        </w:sdtContent>
      </w:sdt>
      <w:r w:rsidR="006D01E7">
        <w:t>.  These values might limit data assemblage within software inventory reports on those devices.</w:t>
      </w:r>
    </w:p>
    <w:p w14:paraId="009610CF" w14:textId="25863EB6" w:rsidR="00F033B6" w:rsidRPr="00F033B6" w:rsidRDefault="006D01E7" w:rsidP="00390628">
      <w:pPr>
        <w:ind w:firstLine="720"/>
      </w:pPr>
      <w:r>
        <w:t xml:space="preserve">The people, processes, and products of the institution must also be aware of these values and understand how to apply them.  This awareness starts with training about industry-specific requirements and the rationale behind these ideas.  </w:t>
      </w:r>
      <w:proofErr w:type="gramStart"/>
      <w:r>
        <w:t>Next processes,</w:t>
      </w:r>
      <w:proofErr w:type="gramEnd"/>
      <w:r>
        <w:t xml:space="preserve"> must leverage that training to incorporate the best practices into every business workflow.  For example, the business might have various categorizations of customer data, with each category requiring </w:t>
      </w:r>
      <w:proofErr w:type="gramStart"/>
      <w:r>
        <w:t>particular retention</w:t>
      </w:r>
      <w:proofErr w:type="gramEnd"/>
      <w:r>
        <w:t xml:space="preserve"> durations and access policies.</w:t>
      </w:r>
      <w:r w:rsidR="00390628">
        <w:t xml:space="preserve">  Documentation needs to record these decisions and relevant controls for internal and external auditing.  Processes that are auditable and transparent encourages staff to make ethical decisions, knowing action scrutiny will follow later.  </w:t>
      </w:r>
      <w:r w:rsidR="008139FB">
        <w:t>Finally</w:t>
      </w:r>
      <w:r w:rsidR="00390628">
        <w:t xml:space="preserve">, no </w:t>
      </w:r>
      <w:r w:rsidR="00390628">
        <w:lastRenderedPageBreak/>
        <w:t xml:space="preserve">business workflow is perfect, and mistakes are bound to happen.  Remediation strategies </w:t>
      </w:r>
      <w:r w:rsidR="008139FB">
        <w:t xml:space="preserve">must be possible to </w:t>
      </w:r>
      <w:r w:rsidR="00390628">
        <w:t>need to correct erroneous behaviors and restore compliance</w:t>
      </w:r>
      <w:r w:rsidR="008139FB">
        <w:t>.</w:t>
      </w:r>
    </w:p>
    <w:p w14:paraId="59814B67" w14:textId="7B9FD756" w:rsidR="00CC28DB" w:rsidRDefault="00CC28DB" w:rsidP="00CC28DB">
      <w:pPr>
        <w:pStyle w:val="Heading2"/>
      </w:pPr>
      <w:r>
        <w:t>Integrating with other Frameworks</w:t>
      </w:r>
    </w:p>
    <w:p w14:paraId="7B0F0728" w14:textId="7FCCA859" w:rsidR="00390628" w:rsidRDefault="00390628" w:rsidP="00390628">
      <w:r>
        <w:tab/>
        <w:t xml:space="preserve">Risk management systems, like COBIT and NIST Cybersecurity Framework, follow feedback loops that identify threats, plan a response, implements that plan, and </w:t>
      </w:r>
      <w:r w:rsidR="002E33D9">
        <w:t>confirm the resolution</w:t>
      </w:r>
      <w:sdt>
        <w:sdtPr>
          <w:id w:val="-489323709"/>
          <w:citation/>
        </w:sdtPr>
        <w:sdtContent>
          <w:r w:rsidR="00D07359">
            <w:fldChar w:fldCharType="begin"/>
          </w:r>
          <w:r w:rsidR="00D07359">
            <w:instrText xml:space="preserve"> CITATION Bas18 \l 1033 </w:instrText>
          </w:r>
          <w:r w:rsidR="00D07359">
            <w:fldChar w:fldCharType="separate"/>
          </w:r>
          <w:r w:rsidR="00D07359">
            <w:rPr>
              <w:noProof/>
            </w:rPr>
            <w:t xml:space="preserve"> (Baskerville, Rowe, &amp; Wolff, 2018)</w:t>
          </w:r>
          <w:r w:rsidR="00D07359">
            <w:fldChar w:fldCharType="end"/>
          </w:r>
        </w:sdtContent>
      </w:sdt>
      <w:r>
        <w:t>.</w:t>
      </w:r>
      <w:r w:rsidR="00B50D57">
        <w:t xml:space="preserve">  Each cycle through this process addresses a distinct problem and then mitigates it</w:t>
      </w:r>
      <w:r w:rsidR="00D07359">
        <w:t xml:space="preserve">.  Handling </w:t>
      </w:r>
      <w:r w:rsidR="00B50D57">
        <w:t xml:space="preserve">privacy and mobility </w:t>
      </w:r>
      <w:r w:rsidR="00D07359">
        <w:t xml:space="preserve">concerns </w:t>
      </w:r>
      <w:r w:rsidR="00B50D57">
        <w:t>can follow a similar workflow.  For example, the organization wants to expand its mobile device management to cover a subsidy in a foreign nation.</w:t>
      </w:r>
    </w:p>
    <w:p w14:paraId="7CB5ED95" w14:textId="16EE3BCC" w:rsidR="00B50D57" w:rsidRPr="00390628" w:rsidRDefault="00B50D57" w:rsidP="00390628">
      <w:r>
        <w:tab/>
        <w:t xml:space="preserve">First, the leadership team needs to identify any privacy and related laws for that region.  This step might involve hiring or contracting a specialist to navigate the overseas legal systems.  </w:t>
      </w:r>
      <w:r w:rsidR="007F3CF3">
        <w:t>Second, following the</w:t>
      </w:r>
      <w:r>
        <w:t xml:space="preserve"> results </w:t>
      </w:r>
      <w:r w:rsidR="007F3CF3">
        <w:t xml:space="preserve">to </w:t>
      </w:r>
      <w:r>
        <w:t xml:space="preserve">guide a response strategy that influences policies and data collection across those team members.  </w:t>
      </w:r>
      <w:proofErr w:type="gramStart"/>
      <w:r>
        <w:t>After implementing the plan, there</w:t>
      </w:r>
      <w:proofErr w:type="gramEnd"/>
      <w:r>
        <w:t xml:space="preserve"> needs to be an audit and process validation with experts to confirm the solution meets the specification.</w:t>
      </w:r>
      <w:r w:rsidR="00EE1D0D">
        <w:t xml:space="preserve">  Finally, periodic assessments must identify any policy changes that justify executing another loop iteration.</w:t>
      </w:r>
    </w:p>
    <w:p w14:paraId="5F89AC78" w14:textId="69635B3C" w:rsidR="00CC28DB" w:rsidRDefault="00CC28DB" w:rsidP="00CC28DB">
      <w:pPr>
        <w:pStyle w:val="Heading1"/>
      </w:pPr>
      <w:r>
        <w:t>Conclusion</w:t>
      </w:r>
    </w:p>
    <w:p w14:paraId="23B00535" w14:textId="54265734" w:rsidR="00D07359" w:rsidRPr="00D07359" w:rsidRDefault="00D07359" w:rsidP="00D07359">
      <w:r>
        <w:tab/>
      </w:r>
      <w:r w:rsidR="00150B66">
        <w:t>The core objective of any organization is to deliver on efficiently deliver on its mission.  Over the last fifty years, technology has viciously evolved to meet these needs from its humble beginnings with centralized data warehouses.  These business entities escaped onto workstations that traditional client management tooling (CMT) could manage through rigid policy.  One of the challenges with this model is the tooling restricts innovation by forcing homogenous device configurations across the ecosystem versus exploiting IT to provide the best tool for the job.</w:t>
      </w:r>
      <w:r w:rsidR="008F21CD">
        <w:t xml:space="preserve">  </w:t>
      </w:r>
    </w:p>
    <w:sectPr w:rsidR="00D07359" w:rsidRPr="00D0735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8CB6E" w14:textId="77777777" w:rsidR="00BC4978" w:rsidRDefault="00BC4978" w:rsidP="0082223F">
      <w:pPr>
        <w:spacing w:line="240" w:lineRule="auto"/>
      </w:pPr>
      <w:r>
        <w:separator/>
      </w:r>
    </w:p>
  </w:endnote>
  <w:endnote w:type="continuationSeparator" w:id="0">
    <w:p w14:paraId="07404CCE" w14:textId="77777777" w:rsidR="00BC4978" w:rsidRDefault="00BC49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A96E" w14:textId="77777777" w:rsidR="00BC4978" w:rsidRDefault="00BC4978" w:rsidP="0082223F">
      <w:pPr>
        <w:spacing w:line="240" w:lineRule="auto"/>
      </w:pPr>
      <w:r>
        <w:separator/>
      </w:r>
    </w:p>
  </w:footnote>
  <w:footnote w:type="continuationSeparator" w:id="0">
    <w:p w14:paraId="74935C75" w14:textId="77777777" w:rsidR="00BC4978" w:rsidRDefault="00BC49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407C1"/>
    <w:multiLevelType w:val="hybridMultilevel"/>
    <w:tmpl w:val="C270CC1C"/>
    <w:lvl w:ilvl="0" w:tplc="685644E0">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0952B8"/>
    <w:rsid w:val="00114C64"/>
    <w:rsid w:val="00150B66"/>
    <w:rsid w:val="001601D6"/>
    <w:rsid w:val="00174C6D"/>
    <w:rsid w:val="0017701D"/>
    <w:rsid w:val="00183597"/>
    <w:rsid w:val="0019470C"/>
    <w:rsid w:val="001E04B7"/>
    <w:rsid w:val="00205E8B"/>
    <w:rsid w:val="00264974"/>
    <w:rsid w:val="002806B7"/>
    <w:rsid w:val="002E33D9"/>
    <w:rsid w:val="003035D9"/>
    <w:rsid w:val="00327070"/>
    <w:rsid w:val="00334838"/>
    <w:rsid w:val="00375CAD"/>
    <w:rsid w:val="0038751D"/>
    <w:rsid w:val="00390628"/>
    <w:rsid w:val="003F4714"/>
    <w:rsid w:val="00401D65"/>
    <w:rsid w:val="00402FB3"/>
    <w:rsid w:val="004223E8"/>
    <w:rsid w:val="004A784B"/>
    <w:rsid w:val="004E6EC8"/>
    <w:rsid w:val="004F760B"/>
    <w:rsid w:val="00515280"/>
    <w:rsid w:val="005A5852"/>
    <w:rsid w:val="005B7079"/>
    <w:rsid w:val="005C65E7"/>
    <w:rsid w:val="005D0D6C"/>
    <w:rsid w:val="0067103D"/>
    <w:rsid w:val="00675B0E"/>
    <w:rsid w:val="006867EB"/>
    <w:rsid w:val="006D01E7"/>
    <w:rsid w:val="006D3C74"/>
    <w:rsid w:val="006D793E"/>
    <w:rsid w:val="0073677D"/>
    <w:rsid w:val="00772873"/>
    <w:rsid w:val="00790315"/>
    <w:rsid w:val="007F3CF3"/>
    <w:rsid w:val="008139FB"/>
    <w:rsid w:val="0082223F"/>
    <w:rsid w:val="008714C5"/>
    <w:rsid w:val="00877007"/>
    <w:rsid w:val="008B5129"/>
    <w:rsid w:val="008F21CD"/>
    <w:rsid w:val="009A757D"/>
    <w:rsid w:val="00B13ADF"/>
    <w:rsid w:val="00B50D57"/>
    <w:rsid w:val="00B84CA9"/>
    <w:rsid w:val="00BB2E89"/>
    <w:rsid w:val="00BB56AF"/>
    <w:rsid w:val="00BC4978"/>
    <w:rsid w:val="00BF23AD"/>
    <w:rsid w:val="00C42E08"/>
    <w:rsid w:val="00C54DC8"/>
    <w:rsid w:val="00C73692"/>
    <w:rsid w:val="00C93BB7"/>
    <w:rsid w:val="00C95079"/>
    <w:rsid w:val="00CB018E"/>
    <w:rsid w:val="00CB25E9"/>
    <w:rsid w:val="00CC28DB"/>
    <w:rsid w:val="00CE4005"/>
    <w:rsid w:val="00D07359"/>
    <w:rsid w:val="00D16878"/>
    <w:rsid w:val="00D75C7B"/>
    <w:rsid w:val="00D85C7B"/>
    <w:rsid w:val="00DB7D59"/>
    <w:rsid w:val="00DD654B"/>
    <w:rsid w:val="00DE2224"/>
    <w:rsid w:val="00E234E9"/>
    <w:rsid w:val="00ED3713"/>
    <w:rsid w:val="00EE1D0D"/>
    <w:rsid w:val="00F033B6"/>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81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41">
      <w:bodyDiv w:val="1"/>
      <w:marLeft w:val="0"/>
      <w:marRight w:val="0"/>
      <w:marTop w:val="0"/>
      <w:marBottom w:val="0"/>
      <w:divBdr>
        <w:top w:val="none" w:sz="0" w:space="0" w:color="auto"/>
        <w:left w:val="none" w:sz="0" w:space="0" w:color="auto"/>
        <w:bottom w:val="none" w:sz="0" w:space="0" w:color="auto"/>
        <w:right w:val="none" w:sz="0" w:space="0" w:color="auto"/>
      </w:divBdr>
    </w:div>
    <w:div w:id="137694115">
      <w:bodyDiv w:val="1"/>
      <w:marLeft w:val="0"/>
      <w:marRight w:val="0"/>
      <w:marTop w:val="0"/>
      <w:marBottom w:val="0"/>
      <w:divBdr>
        <w:top w:val="none" w:sz="0" w:space="0" w:color="auto"/>
        <w:left w:val="none" w:sz="0" w:space="0" w:color="auto"/>
        <w:bottom w:val="none" w:sz="0" w:space="0" w:color="auto"/>
        <w:right w:val="none" w:sz="0" w:space="0" w:color="auto"/>
      </w:divBdr>
    </w:div>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9278">
      <w:bodyDiv w:val="1"/>
      <w:marLeft w:val="0"/>
      <w:marRight w:val="0"/>
      <w:marTop w:val="0"/>
      <w:marBottom w:val="0"/>
      <w:divBdr>
        <w:top w:val="none" w:sz="0" w:space="0" w:color="auto"/>
        <w:left w:val="none" w:sz="0" w:space="0" w:color="auto"/>
        <w:bottom w:val="none" w:sz="0" w:space="0" w:color="auto"/>
        <w:right w:val="none" w:sz="0" w:space="0" w:color="auto"/>
      </w:divBdr>
    </w:div>
    <w:div w:id="312412274">
      <w:bodyDiv w:val="1"/>
      <w:marLeft w:val="0"/>
      <w:marRight w:val="0"/>
      <w:marTop w:val="0"/>
      <w:marBottom w:val="0"/>
      <w:divBdr>
        <w:top w:val="none" w:sz="0" w:space="0" w:color="auto"/>
        <w:left w:val="none" w:sz="0" w:space="0" w:color="auto"/>
        <w:bottom w:val="none" w:sz="0" w:space="0" w:color="auto"/>
        <w:right w:val="none" w:sz="0" w:space="0" w:color="auto"/>
      </w:divBdr>
    </w:div>
    <w:div w:id="425659839">
      <w:bodyDiv w:val="1"/>
      <w:marLeft w:val="0"/>
      <w:marRight w:val="0"/>
      <w:marTop w:val="0"/>
      <w:marBottom w:val="0"/>
      <w:divBdr>
        <w:top w:val="none" w:sz="0" w:space="0" w:color="auto"/>
        <w:left w:val="none" w:sz="0" w:space="0" w:color="auto"/>
        <w:bottom w:val="none" w:sz="0" w:space="0" w:color="auto"/>
        <w:right w:val="none" w:sz="0" w:space="0" w:color="auto"/>
      </w:divBdr>
    </w:div>
    <w:div w:id="430779089">
      <w:bodyDiv w:val="1"/>
      <w:marLeft w:val="0"/>
      <w:marRight w:val="0"/>
      <w:marTop w:val="0"/>
      <w:marBottom w:val="0"/>
      <w:divBdr>
        <w:top w:val="none" w:sz="0" w:space="0" w:color="auto"/>
        <w:left w:val="none" w:sz="0" w:space="0" w:color="auto"/>
        <w:bottom w:val="none" w:sz="0" w:space="0" w:color="auto"/>
        <w:right w:val="none" w:sz="0" w:space="0" w:color="auto"/>
      </w:divBdr>
    </w:div>
    <w:div w:id="499347692">
      <w:bodyDiv w:val="1"/>
      <w:marLeft w:val="0"/>
      <w:marRight w:val="0"/>
      <w:marTop w:val="0"/>
      <w:marBottom w:val="0"/>
      <w:divBdr>
        <w:top w:val="none" w:sz="0" w:space="0" w:color="auto"/>
        <w:left w:val="none" w:sz="0" w:space="0" w:color="auto"/>
        <w:bottom w:val="none" w:sz="0" w:space="0" w:color="auto"/>
        <w:right w:val="none" w:sz="0" w:space="0" w:color="auto"/>
      </w:divBdr>
    </w:div>
    <w:div w:id="779447037">
      <w:bodyDiv w:val="1"/>
      <w:marLeft w:val="0"/>
      <w:marRight w:val="0"/>
      <w:marTop w:val="0"/>
      <w:marBottom w:val="0"/>
      <w:divBdr>
        <w:top w:val="none" w:sz="0" w:space="0" w:color="auto"/>
        <w:left w:val="none" w:sz="0" w:space="0" w:color="auto"/>
        <w:bottom w:val="none" w:sz="0" w:space="0" w:color="auto"/>
        <w:right w:val="none" w:sz="0" w:space="0" w:color="auto"/>
      </w:divBdr>
    </w:div>
    <w:div w:id="916747546">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1185749198">
      <w:bodyDiv w:val="1"/>
      <w:marLeft w:val="0"/>
      <w:marRight w:val="0"/>
      <w:marTop w:val="0"/>
      <w:marBottom w:val="0"/>
      <w:divBdr>
        <w:top w:val="none" w:sz="0" w:space="0" w:color="auto"/>
        <w:left w:val="none" w:sz="0" w:space="0" w:color="auto"/>
        <w:bottom w:val="none" w:sz="0" w:space="0" w:color="auto"/>
        <w:right w:val="none" w:sz="0" w:space="0" w:color="auto"/>
      </w:divBdr>
    </w:div>
    <w:div w:id="1200975873">
      <w:bodyDiv w:val="1"/>
      <w:marLeft w:val="0"/>
      <w:marRight w:val="0"/>
      <w:marTop w:val="0"/>
      <w:marBottom w:val="0"/>
      <w:divBdr>
        <w:top w:val="none" w:sz="0" w:space="0" w:color="auto"/>
        <w:left w:val="none" w:sz="0" w:space="0" w:color="auto"/>
        <w:bottom w:val="none" w:sz="0" w:space="0" w:color="auto"/>
        <w:right w:val="none" w:sz="0" w:space="0" w:color="auto"/>
      </w:divBdr>
    </w:div>
    <w:div w:id="1245651935">
      <w:bodyDiv w:val="1"/>
      <w:marLeft w:val="0"/>
      <w:marRight w:val="0"/>
      <w:marTop w:val="0"/>
      <w:marBottom w:val="0"/>
      <w:divBdr>
        <w:top w:val="none" w:sz="0" w:space="0" w:color="auto"/>
        <w:left w:val="none" w:sz="0" w:space="0" w:color="auto"/>
        <w:bottom w:val="none" w:sz="0" w:space="0" w:color="auto"/>
        <w:right w:val="none" w:sz="0" w:space="0" w:color="auto"/>
      </w:divBdr>
    </w:div>
    <w:div w:id="1385324561">
      <w:bodyDiv w:val="1"/>
      <w:marLeft w:val="0"/>
      <w:marRight w:val="0"/>
      <w:marTop w:val="0"/>
      <w:marBottom w:val="0"/>
      <w:divBdr>
        <w:top w:val="none" w:sz="0" w:space="0" w:color="auto"/>
        <w:left w:val="none" w:sz="0" w:space="0" w:color="auto"/>
        <w:bottom w:val="none" w:sz="0" w:space="0" w:color="auto"/>
        <w:right w:val="none" w:sz="0" w:space="0" w:color="auto"/>
      </w:divBdr>
    </w:div>
    <w:div w:id="1453474255">
      <w:bodyDiv w:val="1"/>
      <w:marLeft w:val="0"/>
      <w:marRight w:val="0"/>
      <w:marTop w:val="0"/>
      <w:marBottom w:val="0"/>
      <w:divBdr>
        <w:top w:val="none" w:sz="0" w:space="0" w:color="auto"/>
        <w:left w:val="none" w:sz="0" w:space="0" w:color="auto"/>
        <w:bottom w:val="none" w:sz="0" w:space="0" w:color="auto"/>
        <w:right w:val="none" w:sz="0" w:space="0" w:color="auto"/>
      </w:divBdr>
    </w:div>
    <w:div w:id="1681394040">
      <w:bodyDiv w:val="1"/>
      <w:marLeft w:val="0"/>
      <w:marRight w:val="0"/>
      <w:marTop w:val="0"/>
      <w:marBottom w:val="0"/>
      <w:divBdr>
        <w:top w:val="none" w:sz="0" w:space="0" w:color="auto"/>
        <w:left w:val="none" w:sz="0" w:space="0" w:color="auto"/>
        <w:bottom w:val="none" w:sz="0" w:space="0" w:color="auto"/>
        <w:right w:val="none" w:sz="0" w:space="0" w:color="auto"/>
      </w:divBdr>
    </w:div>
    <w:div w:id="1684161017">
      <w:bodyDiv w:val="1"/>
      <w:marLeft w:val="0"/>
      <w:marRight w:val="0"/>
      <w:marTop w:val="0"/>
      <w:marBottom w:val="0"/>
      <w:divBdr>
        <w:top w:val="none" w:sz="0" w:space="0" w:color="auto"/>
        <w:left w:val="none" w:sz="0" w:space="0" w:color="auto"/>
        <w:bottom w:val="none" w:sz="0" w:space="0" w:color="auto"/>
        <w:right w:val="none" w:sz="0" w:space="0" w:color="auto"/>
      </w:divBdr>
    </w:div>
    <w:div w:id="1739522406">
      <w:bodyDiv w:val="1"/>
      <w:marLeft w:val="0"/>
      <w:marRight w:val="0"/>
      <w:marTop w:val="0"/>
      <w:marBottom w:val="0"/>
      <w:divBdr>
        <w:top w:val="none" w:sz="0" w:space="0" w:color="auto"/>
        <w:left w:val="none" w:sz="0" w:space="0" w:color="auto"/>
        <w:bottom w:val="none" w:sz="0" w:space="0" w:color="auto"/>
        <w:right w:val="none" w:sz="0" w:space="0" w:color="auto"/>
      </w:divBdr>
    </w:div>
    <w:div w:id="1795635905">
      <w:bodyDiv w:val="1"/>
      <w:marLeft w:val="0"/>
      <w:marRight w:val="0"/>
      <w:marTop w:val="0"/>
      <w:marBottom w:val="0"/>
      <w:divBdr>
        <w:top w:val="none" w:sz="0" w:space="0" w:color="auto"/>
        <w:left w:val="none" w:sz="0" w:space="0" w:color="auto"/>
        <w:bottom w:val="none" w:sz="0" w:space="0" w:color="auto"/>
        <w:right w:val="none" w:sz="0" w:space="0" w:color="auto"/>
      </w:divBdr>
    </w:div>
    <w:div w:id="1851479898">
      <w:bodyDiv w:val="1"/>
      <w:marLeft w:val="0"/>
      <w:marRight w:val="0"/>
      <w:marTop w:val="0"/>
      <w:marBottom w:val="0"/>
      <w:divBdr>
        <w:top w:val="none" w:sz="0" w:space="0" w:color="auto"/>
        <w:left w:val="none" w:sz="0" w:space="0" w:color="auto"/>
        <w:bottom w:val="none" w:sz="0" w:space="0" w:color="auto"/>
        <w:right w:val="none" w:sz="0" w:space="0" w:color="auto"/>
      </w:divBdr>
    </w:div>
    <w:div w:id="1901481073">
      <w:bodyDiv w:val="1"/>
      <w:marLeft w:val="0"/>
      <w:marRight w:val="0"/>
      <w:marTop w:val="0"/>
      <w:marBottom w:val="0"/>
      <w:divBdr>
        <w:top w:val="none" w:sz="0" w:space="0" w:color="auto"/>
        <w:left w:val="none" w:sz="0" w:space="0" w:color="auto"/>
        <w:bottom w:val="none" w:sz="0" w:space="0" w:color="auto"/>
        <w:right w:val="none" w:sz="0" w:space="0" w:color="auto"/>
      </w:divBdr>
    </w:div>
    <w:div w:id="1994943097">
      <w:bodyDiv w:val="1"/>
      <w:marLeft w:val="0"/>
      <w:marRight w:val="0"/>
      <w:marTop w:val="0"/>
      <w:marBottom w:val="0"/>
      <w:divBdr>
        <w:top w:val="none" w:sz="0" w:space="0" w:color="auto"/>
        <w:left w:val="none" w:sz="0" w:space="0" w:color="auto"/>
        <w:bottom w:val="none" w:sz="0" w:space="0" w:color="auto"/>
        <w:right w:val="none" w:sz="0" w:space="0" w:color="auto"/>
      </w:divBdr>
    </w:div>
    <w:div w:id="2018195280">
      <w:bodyDiv w:val="1"/>
      <w:marLeft w:val="0"/>
      <w:marRight w:val="0"/>
      <w:marTop w:val="0"/>
      <w:marBottom w:val="0"/>
      <w:divBdr>
        <w:top w:val="none" w:sz="0" w:space="0" w:color="auto"/>
        <w:left w:val="none" w:sz="0" w:space="0" w:color="auto"/>
        <w:bottom w:val="none" w:sz="0" w:space="0" w:color="auto"/>
        <w:right w:val="none" w:sz="0" w:space="0" w:color="auto"/>
      </w:divBdr>
    </w:div>
    <w:div w:id="2086146521">
      <w:bodyDiv w:val="1"/>
      <w:marLeft w:val="0"/>
      <w:marRight w:val="0"/>
      <w:marTop w:val="0"/>
      <w:marBottom w:val="0"/>
      <w:divBdr>
        <w:top w:val="none" w:sz="0" w:space="0" w:color="auto"/>
        <w:left w:val="none" w:sz="0" w:space="0" w:color="auto"/>
        <w:bottom w:val="none" w:sz="0" w:space="0" w:color="auto"/>
        <w:right w:val="none" w:sz="0" w:space="0" w:color="auto"/>
      </w:divBdr>
    </w:div>
    <w:div w:id="2136023451">
      <w:bodyDiv w:val="1"/>
      <w:marLeft w:val="0"/>
      <w:marRight w:val="0"/>
      <w:marTop w:val="0"/>
      <w:marBottom w:val="0"/>
      <w:divBdr>
        <w:top w:val="none" w:sz="0" w:space="0" w:color="auto"/>
        <w:left w:val="none" w:sz="0" w:space="0" w:color="auto"/>
        <w:bottom w:val="none" w:sz="0" w:space="0" w:color="auto"/>
        <w:right w:val="none" w:sz="0" w:space="0" w:color="auto"/>
      </w:divBdr>
    </w:div>
    <w:div w:id="21444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2</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3</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4</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5</b:RefOrder>
  </b:Source>
  <b:Source>
    <b:Tag>Mal13</b:Tag>
    <b:SourceType>Book</b:SourceType>
    <b:Guid>{023B21E5-12C9-4AAE-BDA0-18414342641C}</b:Guid>
    <b:Author>
      <b:Author>
        <b:NameList>
          <b:Person>
            <b:Last>Mallor</b:Last>
            <b:First>J</b:First>
          </b:Person>
          <b:Person>
            <b:Last>Prenkert</b:Last>
            <b:First>J</b:First>
          </b:Person>
          <b:Person>
            <b:Last>Barnes</b:Last>
            <b:First>A</b:First>
          </b:Person>
          <b:Person>
            <b:Last>Langvardt</b:Last>
            <b:First>A</b:First>
          </b:Person>
          <b:Person>
            <b:Last>McCrory</b:Last>
            <b:First>M</b:First>
          </b:Person>
        </b:NameList>
      </b:Author>
    </b:Author>
    <b:Title>Business Law, Sixteenth Edition</b:Title>
    <b:Year>2013</b:Year>
    <b:RefOrder>6</b:RefOrder>
  </b:Source>
  <b:Source>
    <b:Tag>HIP14</b:Tag>
    <b:SourceType>InternetSite</b:SourceType>
    <b:Guid>{67546CDA-5AAB-4B01-A72B-AF5CAC8E7E41}</b:Guid>
    <b:Title>What is the HITECH Act</b:Title>
    <b:Year>2014</b:Year>
    <b:YearAccessed>2020</b:YearAccessed>
    <b:MonthAccessed>July</b:MonthAccessed>
    <b:DayAccessed>19</b:DayAccessed>
    <b:URL>https://www.hipaajournal.com/what-is-the-hitech-act/</b:URL>
    <b:InternetSiteTitle>HIPAA Journal</b:InternetSiteTitle>
    <b:Author>
      <b:Author>
        <b:Corporate>HIPAA Journal</b:Corporate>
      </b:Author>
    </b:Author>
    <b:RefOrder>8</b:RefOrder>
  </b:Source>
  <b:Source>
    <b:Tag>Gri17</b:Tag>
    <b:SourceType>JournalArticle</b:SourceType>
    <b:Guid>{1A32F0E4-E543-4B44-A4EE-A7EBF381E4F2}</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https://doi-org.proxy1.ncu.edu/10.2345/0899-8205-51.s6.30</b:DOI>
    <b:RefOrder>7</b:RefOrder>
  </b:Source>
  <b:Source>
    <b:Tag>AHI14</b:Tag>
    <b:SourceType>InternetSite</b:SourceType>
    <b:Guid>{F94C8C7E-526A-4D5F-9AFE-3BE22D9ACF61}</b:Guid>
    <b:Title>HITECH HIPAA Omnibus Rule's Most Frequently Asked Questions</b:Title>
    <b:Year>2014</b:Year>
    <b:Author>
      <b:Author>
        <b:Corporate>AHIMA</b:Corporate>
      </b:Author>
    </b:Author>
    <b:Month>February</b:Month>
    <b:Day>14</b:Day>
    <b:URL>https://www.youtube.com/watch?v=TyjUbMIJ26U</b:URL>
    <b:InternetSiteTitle>YouTube</b:InternetSiteTitle>
    <b:ProductionCompany>American Health and Information Management Association</b:ProductionCompany>
    <b:RefOrder>9</b:RefOrder>
  </b:Source>
  <b:Source>
    <b:Tag>EDU16</b:Tag>
    <b:SourceType>InternetSite</b:SourceType>
    <b:Guid>{2C5360E6-8AE8-4F17-B175-A912D3CFF673}</b:Guid>
    <b:Author>
      <b:Author>
        <b:Corporate>EDUStaff</b:Corporate>
      </b:Author>
    </b:Author>
    <b:Title>SubTalk: FERPA What You Should Know</b:Title>
    <b:InternetSiteTitle>YouTube</b:InternetSiteTitle>
    <b:Year>2016</b:Year>
    <b:Month>May</b:Month>
    <b:Day>3</b:Day>
    <b:URL>https://www.youtube.com/watch?v=eIOmskTvp08</b:URL>
    <b:RefOrder>10</b:RefOrder>
  </b:Source>
  <b:Source>
    <b:Tag>Lan14</b:Tag>
    <b:SourceType>InternetSite</b:SourceType>
    <b:Guid>{AA6F6914-CE61-45A4-B03A-74F4FFFAAF1C}</b:Guid>
    <b:Author>
      <b:Author>
        <b:NameList>
          <b:Person>
            <b:Last>Langlois</b:Last>
            <b:First>S</b:First>
          </b:Person>
        </b:NameList>
      </b:Author>
    </b:Author>
    <b:Title>FERPA rules and responsibilities training</b:Title>
    <b:InternetSiteTitle>Harrison County Department of Education</b:InternetSiteTitle>
    <b:Year>2014</b:Year>
    <b:Month>June</b:Month>
    <b:Day>5</b:Day>
    <b:URL>https://www.youtube.com/watch?v=2TkEHLXLhK0</b:URL>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12</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11</b:RefOrder>
  </b:Source>
  <b:Source>
    <b:Tag>ERM14</b:Tag>
    <b:SourceType>InternetSite</b:SourceType>
    <b:Guid>{BB16438C-8DC9-4139-AC96-4435E8238642}</b:Guid>
    <b:Title>Managing risks of the mobile enterprise</b:Title>
    <b:InternetSiteTitle>NC State: Enterprise Risk Management Initiative</b:InternetSiteTitle>
    <b:Year>2014</b:Year>
    <b:URL>https://erm.ncsu.edu/library/article/manage-risks-mobile-enterprise</b:URL>
    <b:Author>
      <b:Author>
        <b:Corporate>ERM Initiative Faculty</b:Corporate>
      </b:Author>
    </b:Author>
    <b:YearAccessed>2020</b:YearAccessed>
    <b:MonthAccessed>July</b:MonthAccessed>
    <b:DayAccessed>19</b:DayAccessed>
    <b:RefOrder>13</b:RefOrder>
  </b:Source>
  <b:Source>
    <b:Tag>Yam19</b:Tag>
    <b:SourceType>ConferenceProceedings</b:SourceType>
    <b:Guid>{49B4C0EE-8A32-4EED-A90E-5B51F7475B11}</b:Guid>
    <b:Title>Mobile device management (MDM) technologies, issues and challenges</b:Title>
    <b:Year>2019</b:Year>
    <b:Author>
      <b:Author>
        <b:NameList>
          <b:Person>
            <b:Last>Yamin</b:Last>
            <b:First>M</b:First>
          </b:Person>
          <b:Person>
            <b:Last>Katt</b:Last>
            <b:First>B</b:First>
          </b:Person>
        </b:NameList>
      </b:Author>
    </b:Author>
    <b:City>New York, NY, USA</b:City>
    <b:Publisher>Association for Computing Machinery</b:Publisher>
    <b:DOI>https://doi.org/10.1145/3309074.3309103</b:DOI>
    <b:ConferenceName>Proceedings of the 3rd International Conference on Cryptography</b:ConferenceName>
    <b:RefOrder>14</b:RefOrder>
  </b:Source>
  <b:Source>
    <b:Tag>Sos19</b:Tag>
    <b:SourceType>InternetSite</b:SourceType>
    <b:Guid>{CA87D10A-95A4-4FD0-9B6B-3815CA0F9D18}</b:Guid>
    <b:Title>Intune for mobile device management</b:Title>
    <b:Year>2019</b:Year>
    <b:Author>
      <b:Author>
        <b:NameList>
          <b:Person>
            <b:Last>Soseman</b:Last>
            <b:First>M</b:First>
          </b:Person>
        </b:NameList>
      </b:Author>
    </b:Author>
    <b:InternetSiteTitle>Agile IT</b:InternetSiteTitle>
    <b:Month>January</b:Month>
    <b:Day>31</b:Day>
    <b:URL>https://www.youtube.com/watch?v=00T5A1qj18E</b:URL>
    <b:RefOrder>18</b:RefOrder>
  </b:Source>
  <b:Source>
    <b:Tag>Mobon</b:Tag>
    <b:SourceType>InternetSite</b:SourceType>
    <b:Guid>{3540B7D8-0411-4DA8-9AF8-49ABF70FD683}</b:Guid>
    <b:Author>
      <b:Author>
        <b:Corporate>MobileIron</b:Corporate>
      </b:Author>
    </b:Author>
    <b:Title>How does MobileIron work</b:Title>
    <b:InternetSiteTitle>YouTube</b:InternetSiteTitle>
    <b:Year>2020</b:Year>
    <b:Month>June</b:Month>
    <b:Day>29</b:Day>
    <b:URL>https://www.youtube.com/watch?v=00T5A1qj18E</b:URL>
    <b:RefOrder>19</b:RefOrder>
  </b:Source>
  <b:Source>
    <b:Tag>Sil19</b:Tag>
    <b:SourceType>InternetSite</b:SourceType>
    <b:Guid>{BD6CC352-9A2A-4922-AE3E-9B468344EC55}</b:Guid>
    <b:Author>
      <b:Author>
        <b:NameList>
          <b:Person>
            <b:Last>Silva</b:Last>
            <b:First>C</b:First>
          </b:Person>
          <b:Person>
            <b:Last>Bhat</b:Last>
            <b:First>M</b:First>
          </b:Person>
          <b:Person>
            <b:Last>Doheny</b:Last>
            <b:First>R</b:First>
          </b:Person>
          <b:Person>
            <b:Last>Smith</b:Last>
            <b:First>R</b:First>
          </b:Person>
        </b:NameList>
      </b:Author>
    </b:Author>
    <b:Title>Magic Quadrant for Unified Endpoint Management Tools</b:Title>
    <b:InternetSiteTitle>Gartner</b:InternetSiteTitle>
    <b:Year>2019</b:Year>
    <b:Month>August</b:Month>
    <b:Day>6</b:Day>
    <b:URL>https://www.gartner.com/doc/reprints?id=1-1ODRVFHP&amp;ct=190812&amp;st=sb</b:URL>
    <b:YearAccessed>2020</b:YearAccessed>
    <b:MonthAccessed>July</b:MonthAccessed>
    <b:DayAccessed>19</b:DayAccessed>
    <b:RefOrder>20</b:RefOrder>
  </b:Source>
  <b:Source>
    <b:Tag>Jac13</b:Tag>
    <b:SourceType>InternetSite</b:SourceType>
    <b:Guid>{142B55A1-17D3-4940-AF9E-E9A13BEA558D}</b:Guid>
    <b:Title>Accountability framework for the implementation of the GSMA privacy design guidelines for mobile app development</b:Title>
    <b:InternetSiteTitle>Global System for Mobile Communications Association</b:InternetSiteTitle>
    <b:Year>2013</b:Year>
    <b:Month>January</b:Month>
    <b:URL>https://www.gsma.com/publicpolicy/wp-content/uploads/2013/01/Accountability-framework-final.pdf</b:URL>
    <b:Author>
      <b:Author>
        <b:NameList>
          <b:Person>
            <b:Last>Jackson</b:Last>
            <b:First>N</b:First>
          </b:Person>
          <b:Person>
            <b:Last>Walshe</b:Last>
            <b:First>P</b:First>
          </b:Person>
        </b:NameList>
      </b:Author>
    </b:Author>
    <b:RefOrder>15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17</b:RefOrder>
  </b:Source>
</b:Sources>
</file>

<file path=customXml/itemProps1.xml><?xml version="1.0" encoding="utf-8"?>
<ds:datastoreItem xmlns:ds="http://schemas.openxmlformats.org/officeDocument/2006/customXml" ds:itemID="{D507A96F-4C3A-4568-B501-222894CA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8</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65</cp:revision>
  <dcterms:created xsi:type="dcterms:W3CDTF">2019-05-19T17:38:00Z</dcterms:created>
  <dcterms:modified xsi:type="dcterms:W3CDTF">2020-07-20T01:12:00Z</dcterms:modified>
</cp:coreProperties>
</file>