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74E5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2E03F45" w:rsidR="0082223F" w:rsidRDefault="0082223F" w:rsidP="0082223F">
      <w:pPr>
        <w:pStyle w:val="Title"/>
      </w:pPr>
      <w:r>
        <w:t xml:space="preserve">Section </w:t>
      </w:r>
      <w:r w:rsidR="00CC28DB">
        <w:t>3</w:t>
      </w:r>
      <w:r>
        <w:t xml:space="preserve">: Week </w:t>
      </w:r>
      <w:r w:rsidR="00CC28DB">
        <w:t>7</w:t>
      </w:r>
      <w:r>
        <w:t xml:space="preserve">: </w:t>
      </w:r>
      <w:r w:rsidR="00CC28DB">
        <w:t>Mobile Device Management</w:t>
      </w:r>
      <w:r w:rsidR="00DB7D59">
        <w:t xml:space="preserve"> (Transcript)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453A590D" w:rsidR="00CB25E9" w:rsidRDefault="00B13ADF" w:rsidP="0082223F">
      <w:pPr>
        <w:jc w:val="center"/>
      </w:pPr>
      <w:r>
        <w:t>June</w:t>
      </w:r>
      <w:r w:rsidR="006D793E">
        <w:t xml:space="preserve"> </w:t>
      </w:r>
      <w:r>
        <w:t>7</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8322130" w:rsidR="0082223F" w:rsidRDefault="00CC28DB" w:rsidP="005B7079">
      <w:pPr>
        <w:pStyle w:val="Heading1"/>
      </w:pPr>
      <w:r>
        <w:lastRenderedPageBreak/>
        <w:t>Mobile Device Management</w:t>
      </w:r>
      <w:r w:rsidR="00DB7D59">
        <w:t xml:space="preserve"> Transcript</w:t>
      </w:r>
    </w:p>
    <w:p w14:paraId="01115193" w14:textId="10144562" w:rsidR="00DB7D59" w:rsidRDefault="00DB7D59" w:rsidP="00DB7D59">
      <w:pPr>
        <w:pStyle w:val="Heading2"/>
      </w:pPr>
      <w:r>
        <w:t>Agenda</w:t>
      </w:r>
    </w:p>
    <w:p w14:paraId="74B67F3D" w14:textId="4D135843" w:rsidR="00DB7D59" w:rsidRPr="00DB7D59" w:rsidRDefault="00DB7D59" w:rsidP="00DB7D59">
      <w:r>
        <w:tab/>
        <w:t>Good afternoon, today, we are going to discuss the challenges and opportunities that exist around mobile device management.  This discussion will begin with a brief history lesson and an analysis of the legal frameworks that are shaping our journey forward.  Afterward, an assessment of the risks specific to mobile device management will guide the conversation toward tooling and frameworks for constraining those threats.</w:t>
      </w:r>
    </w:p>
    <w:p w14:paraId="75F1A40B" w14:textId="3C56C962" w:rsidR="00CC28DB" w:rsidRDefault="00CC28DB" w:rsidP="00CC28DB">
      <w:pPr>
        <w:pStyle w:val="Heading2"/>
      </w:pPr>
      <w:r>
        <w:t xml:space="preserve">How Did </w:t>
      </w:r>
      <w:r w:rsidR="006D3C74">
        <w:t>W</w:t>
      </w:r>
      <w:r>
        <w:t xml:space="preserve">e Get </w:t>
      </w:r>
      <w:proofErr w:type="gramStart"/>
      <w:r>
        <w:t>Here</w:t>
      </w:r>
      <w:proofErr w:type="gramEnd"/>
    </w:p>
    <w:p w14:paraId="2449DF01" w14:textId="4F5B8AC0" w:rsidR="00D16878" w:rsidRDefault="00174C6D" w:rsidP="00174C6D">
      <w:r>
        <w:tab/>
      </w:r>
      <w:r w:rsidR="00D16878">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w:t>
      </w:r>
      <w:r w:rsidR="006867EB" w:rsidRPr="006867EB">
        <w:t xml:space="preserve"> </w:t>
      </w:r>
      <w:sdt>
        <w:sdtPr>
          <w:id w:val="-637180100"/>
          <w:citation/>
        </w:sdtPr>
        <w:sdtContent>
          <w:r w:rsidR="006867EB">
            <w:fldChar w:fldCharType="begin"/>
          </w:r>
          <w:r w:rsidR="006867EB">
            <w:instrText xml:space="preserve"> CITATION Ast16 \l 1033 </w:instrText>
          </w:r>
          <w:r w:rsidR="006867EB">
            <w:fldChar w:fldCharType="separate"/>
          </w:r>
          <w:r w:rsidR="006867EB">
            <w:rPr>
              <w:noProof/>
            </w:rPr>
            <w:t xml:space="preserve"> (Astani &amp; Ready, 2016)</w:t>
          </w:r>
          <w:r w:rsidR="006867EB">
            <w:fldChar w:fldCharType="end"/>
          </w:r>
        </w:sdtContent>
      </w:sdt>
      <w:r w:rsidR="00D16878">
        <w:t>, leading to the adoption of Master Data Management systems (</w:t>
      </w:r>
      <w:proofErr w:type="spellStart"/>
      <w:r w:rsidR="00D16878">
        <w:t>MaDaMgmt</w:t>
      </w:r>
      <w:proofErr w:type="spellEnd"/>
      <w:r w:rsidR="00D16878">
        <w:t xml:space="preserve">).  </w:t>
      </w:r>
    </w:p>
    <w:p w14:paraId="68788DEA" w14:textId="23860558" w:rsidR="00174C6D" w:rsidRDefault="00D16878" w:rsidP="00D16878">
      <w:pPr>
        <w:ind w:firstLine="720"/>
      </w:pPr>
      <w:r>
        <w:t xml:space="preserve">The objective of </w:t>
      </w:r>
      <w:proofErr w:type="spellStart"/>
      <w:r>
        <w:t>MaDaMgmt</w:t>
      </w:r>
      <w:proofErr w:type="spellEnd"/>
      <w:r>
        <w:t xml:space="preserve"> is to enable the sharing of business entities and related feeds across the organization</w:t>
      </w:r>
      <w:sdt>
        <w:sdtPr>
          <w:id w:val="1372104944"/>
          <w:citation/>
        </w:sdtPr>
        <w:sdtContent>
          <w:r w:rsidR="006867EB">
            <w:fldChar w:fldCharType="begin"/>
          </w:r>
          <w:r w:rsidR="006867EB">
            <w:instrText xml:space="preserve">CITATION Riv17 \l 1033 </w:instrText>
          </w:r>
          <w:r w:rsidR="006867EB">
            <w:fldChar w:fldCharType="separate"/>
          </w:r>
          <w:r w:rsidR="006867EB">
            <w:rPr>
              <w:noProof/>
            </w:rPr>
            <w:t xml:space="preserve"> (Rivas, Caballero, Serrano, &amp; Pattini, 2017)</w:t>
          </w:r>
          <w:r w:rsidR="006867EB">
            <w:fldChar w:fldCharType="end"/>
          </w:r>
        </w:sdtContent>
      </w:sdt>
      <w:r>
        <w:t>.  Now that employees could locally cache information on their corporate laptops and workstations, productivity increased, but ensuring data confidentiality and integrity became more complex.  Deploying client management tooling (CMT) allows the administrators to enforce security policy across these edge devices</w:t>
      </w:r>
      <w:sdt>
        <w:sdtPr>
          <w:id w:val="544952291"/>
          <w:citation/>
        </w:sdtPr>
        <w:sdtContent>
          <w:r w:rsidR="006867EB">
            <w:fldChar w:fldCharType="begin"/>
          </w:r>
          <w:r w:rsidR="006867EB">
            <w:instrText xml:space="preserve"> CITATION Tar18 \l 1033 </w:instrText>
          </w:r>
          <w:r w:rsidR="006867EB">
            <w:fldChar w:fldCharType="separate"/>
          </w:r>
          <w:r w:rsidR="006867EB">
            <w:rPr>
              <w:noProof/>
            </w:rPr>
            <w:t xml:space="preserve"> (Tarzey, 2018)</w:t>
          </w:r>
          <w:r w:rsidR="006867EB">
            <w:fldChar w:fldCharType="end"/>
          </w:r>
        </w:sdtContent>
      </w:sdt>
      <w:r>
        <w:t xml:space="preserve">.  </w:t>
      </w:r>
      <w:r w:rsidR="006867EB">
        <w:t>However, t</w:t>
      </w:r>
      <w:r>
        <w:t xml:space="preserve">hese CMT products tend to specialize in specific platforms and scenarios, which </w:t>
      </w:r>
      <w:r w:rsidR="006867EB">
        <w:t xml:space="preserve">limits the device supportability matrix for </w:t>
      </w:r>
      <w:r>
        <w:t>corporate Information Technology (IT) departments.  Due to these restrictions, rigid homogenous topologies became the norm instead of allowing the best tool for the job.</w:t>
      </w:r>
    </w:p>
    <w:p w14:paraId="4E17694A" w14:textId="1035DC9F" w:rsidR="00D16878" w:rsidRPr="00174C6D" w:rsidRDefault="00D16878" w:rsidP="00D16878">
      <w:pPr>
        <w:ind w:firstLine="720"/>
      </w:pPr>
      <w:r>
        <w:lastRenderedPageBreak/>
        <w:t>Modern networks believe that IT enables the business, not stifles innovation.  The emersion of the Bring-Your-Own-Device (BYOD) makes this perspective front and center</w:t>
      </w:r>
      <w:sdt>
        <w:sdtPr>
          <w:id w:val="-1919552627"/>
          <w:citation/>
        </w:sdtPr>
        <w:sdtContent>
          <w:r w:rsidR="0038751D">
            <w:fldChar w:fldCharType="begin"/>
          </w:r>
          <w:r w:rsidR="0038751D">
            <w:instrText xml:space="preserve"> CITATION Lam15 \l 1033 </w:instrText>
          </w:r>
          <w:r w:rsidR="0038751D">
            <w:fldChar w:fldCharType="separate"/>
          </w:r>
          <w:r w:rsidR="0038751D">
            <w:rPr>
              <w:noProof/>
            </w:rPr>
            <w:t xml:space="preserve"> (Lamolle, Menet, &amp; Le Duc, 2015)</w:t>
          </w:r>
          <w:r w:rsidR="0038751D">
            <w:fldChar w:fldCharType="end"/>
          </w:r>
        </w:sdtContent>
      </w:sdt>
      <w:r>
        <w:t xml:space="preserve">.  </w:t>
      </w:r>
      <w:r w:rsidR="0038751D">
        <w:t>With</w:t>
      </w:r>
      <w:r>
        <w:t xml:space="preserve"> employees are free to use the best tool for their role, it results in highly diverse environments that span multiple technology stacks</w:t>
      </w:r>
      <w:r w:rsidR="00FC6586">
        <w:t>, like Windows, iOS, and Android</w:t>
      </w:r>
      <w:r>
        <w:t>.</w:t>
      </w:r>
      <w:r w:rsidR="00FC6586">
        <w:t xml:space="preserve">  </w:t>
      </w:r>
      <w:r w:rsidR="0038751D">
        <w:t xml:space="preserve">That </w:t>
      </w:r>
      <w:r w:rsidR="00FC6586">
        <w:t xml:space="preserve">freedom improves productivity, at the cost </w:t>
      </w:r>
      <w:r w:rsidR="0038751D">
        <w:t xml:space="preserve">of sensitive business information </w:t>
      </w:r>
      <w:r w:rsidR="00FC6586">
        <w:t xml:space="preserve">resides on devices </w:t>
      </w:r>
      <w:r w:rsidR="0038751D">
        <w:t xml:space="preserve">not controlled by the organization and </w:t>
      </w:r>
      <w:r w:rsidR="00FC6586">
        <w:t>partially trusted at best.</w:t>
      </w:r>
    </w:p>
    <w:p w14:paraId="69EB5BE3" w14:textId="02B42700" w:rsidR="00CC28DB" w:rsidRDefault="00CC28DB" w:rsidP="00CC28DB">
      <w:pPr>
        <w:pStyle w:val="Heading1"/>
      </w:pPr>
      <w:r>
        <w:t>Legal Mandates</w:t>
      </w:r>
    </w:p>
    <w:p w14:paraId="5448DB54" w14:textId="520E977F" w:rsidR="00CC28DB" w:rsidRDefault="00402FB3" w:rsidP="00CC28DB">
      <w:pPr>
        <w:pStyle w:val="Heading2"/>
      </w:pPr>
      <w:r>
        <w:t>International Policies</w:t>
      </w:r>
    </w:p>
    <w:p w14:paraId="256BA3B2" w14:textId="3E41ADA4" w:rsidR="008714C5" w:rsidRDefault="004F760B" w:rsidP="00264974">
      <w:pPr>
        <w:ind w:firstLine="720"/>
      </w:pPr>
      <w:r>
        <w:t>In 2013, t</w:t>
      </w:r>
      <w:r w:rsidR="00264974">
        <w:t xml:space="preserve">he European Security Strategy set out to achieve cyber-resilience, reduce cybercrime, and define policies </w:t>
      </w:r>
      <w:r>
        <w:t>that</w:t>
      </w:r>
      <w:r w:rsidR="00264974">
        <w:t xml:space="preserve"> promote </w:t>
      </w:r>
      <w:r>
        <w:t xml:space="preserve">its </w:t>
      </w:r>
      <w:r w:rsidR="00264974">
        <w:t>core values</w:t>
      </w:r>
      <w:sdt>
        <w:sdtPr>
          <w:id w:val="-1178963199"/>
          <w:citation/>
        </w:sdtPr>
        <w:sdtContent>
          <w:r w:rsidR="00C95079">
            <w:fldChar w:fldCharType="begin"/>
          </w:r>
          <w:r w:rsidR="00C95079">
            <w:instrText xml:space="preserve"> CITATION Kov18 \l 1033 </w:instrText>
          </w:r>
          <w:r w:rsidR="00C95079">
            <w:fldChar w:fldCharType="separate"/>
          </w:r>
          <w:r w:rsidR="00C95079">
            <w:rPr>
              <w:noProof/>
            </w:rPr>
            <w:t xml:space="preserve"> (Kovacs, 2017)</w:t>
          </w:r>
          <w:r w:rsidR="00C95079">
            <w:fldChar w:fldCharType="end"/>
          </w:r>
        </w:sdtContent>
      </w:sdt>
      <w:r w:rsidR="00264974">
        <w:t xml:space="preserve">.  The security posture of the EU continues to evolve </w:t>
      </w:r>
      <w:r w:rsidR="008714C5" w:rsidRPr="008714C5">
        <w:t>from these expectations</w:t>
      </w:r>
      <w:r w:rsidR="00264974">
        <w:t xml:space="preserve"> to </w:t>
      </w:r>
      <w:r w:rsidR="008714C5" w:rsidRPr="008714C5">
        <w:t>includ</w:t>
      </w:r>
      <w:r w:rsidR="00264974">
        <w:t>e</w:t>
      </w:r>
      <w:r w:rsidR="008714C5" w:rsidRPr="008714C5">
        <w:t xml:space="preserve"> policies </w:t>
      </w:r>
      <w:r>
        <w:t xml:space="preserve">like </w:t>
      </w:r>
      <w:r w:rsidR="008714C5">
        <w:t xml:space="preserve">the </w:t>
      </w:r>
      <w:r w:rsidR="008714C5" w:rsidRPr="008714C5">
        <w:t>General Data Protection Regulation (GDPR)</w:t>
      </w:r>
      <w:r w:rsidR="008714C5">
        <w:t xml:space="preserve">.  </w:t>
      </w:r>
      <w:r w:rsidR="00264974">
        <w:t xml:space="preserve">This legal framework requires that the infrastructure for services offered to their citizen </w:t>
      </w:r>
      <w:r w:rsidR="00B84CA9">
        <w:t xml:space="preserve">to </w:t>
      </w:r>
      <w:r w:rsidR="00264974">
        <w:t>reside in Europe</w:t>
      </w:r>
      <w:r w:rsidR="00B84CA9">
        <w:t xml:space="preserve">, allowing </w:t>
      </w:r>
      <w:r w:rsidR="00264974">
        <w:t>enforce</w:t>
      </w:r>
      <w:r w:rsidR="00B84CA9">
        <w:t xml:space="preserve">ment over the Union’s </w:t>
      </w:r>
      <w:r w:rsidR="008714C5" w:rsidRPr="008714C5">
        <w:t>sover</w:t>
      </w:r>
      <w:r w:rsidR="008714C5">
        <w:t>e</w:t>
      </w:r>
      <w:r w:rsidR="008714C5" w:rsidRPr="008714C5">
        <w:t>ignty.</w:t>
      </w:r>
      <w:r w:rsidR="00B84CA9">
        <w:t xml:space="preserve">  It uses these legislative teeth to force businesses to take customer privacy seriously</w:t>
      </w:r>
      <w:r>
        <w:t>.  When the business violates the public trust or negligently handles data, the government can issue severe fines for non-compliance</w:t>
      </w:r>
      <w:sdt>
        <w:sdtPr>
          <w:id w:val="1152945185"/>
          <w:citation/>
        </w:sdtPr>
        <w:sdtContent>
          <w:r w:rsidR="00C95079">
            <w:fldChar w:fldCharType="begin"/>
          </w:r>
          <w:r w:rsidR="00C95079">
            <w:instrText xml:space="preserve"> CITATION Kov18 \l 1033 </w:instrText>
          </w:r>
          <w:r w:rsidR="00C95079">
            <w:fldChar w:fldCharType="separate"/>
          </w:r>
          <w:r w:rsidR="00C95079">
            <w:rPr>
              <w:noProof/>
            </w:rPr>
            <w:t xml:space="preserve"> (Kovacs, 2017)</w:t>
          </w:r>
          <w:r w:rsidR="00C95079">
            <w:fldChar w:fldCharType="end"/>
          </w:r>
        </w:sdtContent>
      </w:sdt>
      <w:r w:rsidR="00B84CA9">
        <w:t>.</w:t>
      </w:r>
      <w:r>
        <w:t xml:space="preserve">  </w:t>
      </w:r>
      <w:r w:rsidR="005A5852">
        <w:t>GDPR also declares that information about a user is the property of that person, not the service provider.  Since the user owns the data, they can request a copy or its destruction at any</w:t>
      </w:r>
      <w:r w:rsidR="00675B0E">
        <w:t xml:space="preserve"> </w:t>
      </w:r>
      <w:r w:rsidR="005A5852">
        <w:t>time.</w:t>
      </w:r>
    </w:p>
    <w:p w14:paraId="2A90A1F5" w14:textId="42BC9091" w:rsidR="00CC28DB" w:rsidRDefault="00402FB3" w:rsidP="00CC28DB">
      <w:pPr>
        <w:pStyle w:val="Heading2"/>
      </w:pPr>
      <w:r>
        <w:t>Internal Process Controls</w:t>
      </w:r>
    </w:p>
    <w:p w14:paraId="633ECF34" w14:textId="39DA6447" w:rsidR="00402FB3" w:rsidRDefault="006D3C74" w:rsidP="006D3C74">
      <w:pPr>
        <w:ind w:firstLine="720"/>
      </w:pPr>
      <w:r w:rsidRPr="006D3C74">
        <w:t xml:space="preserve">In 2002, several </w:t>
      </w:r>
      <w:r w:rsidR="00402FB3">
        <w:t xml:space="preserve">high-profile </w:t>
      </w:r>
      <w:r w:rsidRPr="006D3C74">
        <w:t xml:space="preserve">accounting scandals rocked the financial world (e.g., </w:t>
      </w:r>
      <w:r>
        <w:t xml:space="preserve">WorldCom and </w:t>
      </w:r>
      <w:r w:rsidRPr="006D3C74">
        <w:t>Enron)</w:t>
      </w:r>
      <w:r w:rsidR="00402FB3">
        <w:t xml:space="preserve"> intentionally and maliciously falsified documents.  A general sense of mistrust began to form across the American investment community</w:t>
      </w:r>
      <w:r w:rsidR="00C95079" w:rsidRPr="00C95079">
        <w:t xml:space="preserve"> </w:t>
      </w:r>
      <w:sdt>
        <w:sdtPr>
          <w:id w:val="1320625466"/>
          <w:citation/>
        </w:sdtPr>
        <w:sdtContent>
          <w:r w:rsidR="00C95079">
            <w:fldChar w:fldCharType="begin"/>
          </w:r>
          <w:r w:rsidR="00C95079">
            <w:instrText xml:space="preserve"> CITATION Mal13 \l 1033 </w:instrText>
          </w:r>
          <w:r w:rsidR="00C95079">
            <w:fldChar w:fldCharType="separate"/>
          </w:r>
          <w:r w:rsidR="00C95079">
            <w:rPr>
              <w:noProof/>
            </w:rPr>
            <w:t xml:space="preserve"> (Mallor, Prenkert, Barnes, Langvardt, &amp; McCrory, 2013)</w:t>
          </w:r>
          <w:r w:rsidR="00C95079">
            <w:fldChar w:fldCharType="end"/>
          </w:r>
        </w:sdtContent>
      </w:sdt>
      <w:r w:rsidR="00402FB3">
        <w:t xml:space="preserve">.  The SOX Act was a direct response to these challenges by </w:t>
      </w:r>
      <w:r w:rsidR="00402FB3">
        <w:lastRenderedPageBreak/>
        <w:t xml:space="preserve">mandating internal controls and external auditing procedures.  Executives leadership teams must </w:t>
      </w:r>
      <w:r w:rsidR="00C95079">
        <w:t xml:space="preserve">also </w:t>
      </w:r>
      <w:r w:rsidR="00402FB3">
        <w:t xml:space="preserve">produce documentation about these </w:t>
      </w:r>
      <w:r w:rsidR="00C95079">
        <w:t xml:space="preserve">controls </w:t>
      </w:r>
      <w:r w:rsidR="00402FB3">
        <w:t>and are personally accountable for inaccuracies.  This accountability is punishable by fines or even jail sentences in egregious situations.</w:t>
      </w:r>
      <w:r w:rsidR="00114C64">
        <w:t xml:space="preserve">  Along with these official repercussions, shareholders are quick to sell their investment in untrustworthy businesses</w:t>
      </w:r>
      <w:r w:rsidR="00BB2E89">
        <w:t xml:space="preserve"> empowering the </w:t>
      </w:r>
      <w:proofErr w:type="gramStart"/>
      <w:r w:rsidR="00BB2E89">
        <w:t>free</w:t>
      </w:r>
      <w:r w:rsidR="0067103D">
        <w:t>-</w:t>
      </w:r>
      <w:r w:rsidR="00BB2E89">
        <w:t>market</w:t>
      </w:r>
      <w:proofErr w:type="gramEnd"/>
      <w:r w:rsidR="00BB2E89">
        <w:t xml:space="preserve"> to gain its pound of flesh</w:t>
      </w:r>
      <w:r w:rsidR="00114C64">
        <w:t xml:space="preserve">. </w:t>
      </w:r>
    </w:p>
    <w:p w14:paraId="2F309314" w14:textId="77777777" w:rsidR="00205E8B" w:rsidRDefault="00DD654B" w:rsidP="00CC28DB">
      <w:pPr>
        <w:pStyle w:val="Heading2"/>
      </w:pPr>
      <w:r>
        <w:t>Health Care Privacy Reform</w:t>
      </w:r>
    </w:p>
    <w:p w14:paraId="651339EF" w14:textId="77777777" w:rsidR="008139FB" w:rsidRDefault="006D3C74" w:rsidP="008139FB">
      <w:pPr>
        <w:pStyle w:val="ListParagraph"/>
        <w:numPr>
          <w:ilvl w:val="0"/>
          <w:numId w:val="1"/>
        </w:numPr>
      </w:pPr>
      <w:r>
        <w:t>In 1996, the Health Insurance Portability and Accountability Act, came into exist</w:t>
      </w:r>
      <w:r>
        <w:t>e</w:t>
      </w:r>
      <w:r>
        <w:t>nce to protect patient confidentiality and modernize the health care information flow</w:t>
      </w:r>
      <w:sdt>
        <w:sdtPr>
          <w:id w:val="-585686738"/>
          <w:citation/>
        </w:sdtPr>
        <w:sdtContent>
          <w:r w:rsidR="008139FB">
            <w:fldChar w:fldCharType="begin"/>
          </w:r>
          <w:r w:rsidR="008139FB">
            <w:instrText xml:space="preserve"> CITATION Gri17 \l 1033 </w:instrText>
          </w:r>
          <w:r w:rsidR="008139FB">
            <w:fldChar w:fldCharType="separate"/>
          </w:r>
          <w:r w:rsidR="008139FB">
            <w:rPr>
              <w:noProof/>
            </w:rPr>
            <w:t xml:space="preserve"> (Grimes &amp; Wirth, 2017)</w:t>
          </w:r>
          <w:r w:rsidR="008139FB">
            <w:fldChar w:fldCharType="end"/>
          </w:r>
        </w:sdtContent>
      </w:sdt>
      <w:r>
        <w:t>.</w:t>
      </w:r>
      <w:r w:rsidR="00334838">
        <w:t xml:space="preserve">  </w:t>
      </w:r>
    </w:p>
    <w:p w14:paraId="209E70AC" w14:textId="77777777" w:rsidR="008139FB" w:rsidRDefault="006D3C74" w:rsidP="008139FB">
      <w:pPr>
        <w:pStyle w:val="ListParagraph"/>
        <w:numPr>
          <w:ilvl w:val="0"/>
          <w:numId w:val="1"/>
        </w:numPr>
      </w:pPr>
      <w:r>
        <w:t>In 2009, the Health Information Technology for Economic and Clinical Health Act removes loop-holes in HIPAA compliance and forces medical facilities to adopt Electronic Medical Records (EMR)</w:t>
      </w:r>
      <w:sdt>
        <w:sdtPr>
          <w:id w:val="-307857105"/>
          <w:citation/>
        </w:sdtPr>
        <w:sdtContent>
          <w:r w:rsidR="008139FB">
            <w:fldChar w:fldCharType="begin"/>
          </w:r>
          <w:r w:rsidR="008139FB">
            <w:instrText xml:space="preserve"> CITATION HIP14 \l 1033 </w:instrText>
          </w:r>
          <w:r w:rsidR="008139FB">
            <w:fldChar w:fldCharType="separate"/>
          </w:r>
          <w:r w:rsidR="008139FB">
            <w:rPr>
              <w:noProof/>
            </w:rPr>
            <w:t xml:space="preserve"> (HIPAA Journal, 2014)</w:t>
          </w:r>
          <w:r w:rsidR="008139FB">
            <w:fldChar w:fldCharType="end"/>
          </w:r>
        </w:sdtContent>
      </w:sdt>
      <w:r>
        <w:t xml:space="preserve">.  </w:t>
      </w:r>
    </w:p>
    <w:p w14:paraId="38B65B9C" w14:textId="0DE5236B" w:rsidR="006D3C74" w:rsidRDefault="006D3C74" w:rsidP="008139FB">
      <w:pPr>
        <w:pStyle w:val="ListParagraph"/>
        <w:numPr>
          <w:ilvl w:val="0"/>
          <w:numId w:val="1"/>
        </w:numPr>
      </w:pPr>
      <w:r w:rsidRPr="006D3C74">
        <w:t>In 2014, an am</w:t>
      </w:r>
      <w:r>
        <w:t>endm</w:t>
      </w:r>
      <w:r w:rsidRPr="006D3C74">
        <w:t xml:space="preserve">ent to the HITECH legislation </w:t>
      </w:r>
      <w:r w:rsidR="0019470C">
        <w:t xml:space="preserve">expanded the definition of </w:t>
      </w:r>
      <w:r w:rsidRPr="006D3C74">
        <w:t xml:space="preserve">Personal Health Information (PHI) </w:t>
      </w:r>
      <w:r w:rsidR="0019470C">
        <w:t xml:space="preserve">by </w:t>
      </w:r>
      <w:r>
        <w:t>protecting individuals’ privacy for fifty years after being deceased</w:t>
      </w:r>
      <w:sdt>
        <w:sdtPr>
          <w:id w:val="1268128826"/>
          <w:citation/>
        </w:sdtPr>
        <w:sdtContent>
          <w:r w:rsidR="008139FB">
            <w:fldChar w:fldCharType="begin"/>
          </w:r>
          <w:r w:rsidR="008139FB">
            <w:instrText xml:space="preserve"> CITATION AHI14 \l 1033 </w:instrText>
          </w:r>
          <w:r w:rsidR="008139FB">
            <w:fldChar w:fldCharType="separate"/>
          </w:r>
          <w:r w:rsidR="008139FB">
            <w:rPr>
              <w:noProof/>
            </w:rPr>
            <w:t xml:space="preserve"> (AHIMA, 2014)</w:t>
          </w:r>
          <w:r w:rsidR="008139FB">
            <w:fldChar w:fldCharType="end"/>
          </w:r>
        </w:sdtContent>
      </w:sdt>
      <w:r w:rsidRPr="006D3C74">
        <w:t xml:space="preserve">.  </w:t>
      </w:r>
      <w:r w:rsidR="008139FB">
        <w:t xml:space="preserve">AHIMA states there are </w:t>
      </w:r>
      <w:r w:rsidRPr="006D3C74">
        <w:t>exceptions to this rule</w:t>
      </w:r>
      <w:r>
        <w:t>,</w:t>
      </w:r>
      <w:r w:rsidRPr="006D3C74">
        <w:t xml:space="preserve"> such as a request from the person</w:t>
      </w:r>
      <w:r>
        <w:t>’</w:t>
      </w:r>
      <w:r w:rsidRPr="006D3C74">
        <w:t>s caregiver, provided a written request for confidentiality does not exist.  Other exceptions allow release for insurance billing and payment scenarios.</w:t>
      </w:r>
    </w:p>
    <w:p w14:paraId="715D4539" w14:textId="3A2040C7" w:rsidR="00CC28DB" w:rsidRDefault="00CC28DB" w:rsidP="00CC28DB">
      <w:pPr>
        <w:pStyle w:val="Heading2"/>
      </w:pPr>
      <w:r>
        <w:t>FERPA</w:t>
      </w:r>
    </w:p>
    <w:p w14:paraId="0261E5D8" w14:textId="1313022F" w:rsidR="006D3C74" w:rsidRDefault="006D3C74" w:rsidP="00CE4005">
      <w:pPr>
        <w:ind w:firstLine="720"/>
      </w:pPr>
      <w:r>
        <w:t xml:space="preserve">In 1974, </w:t>
      </w:r>
      <w:r>
        <w:t xml:space="preserve">the </w:t>
      </w:r>
      <w:r>
        <w:t xml:space="preserve">Family Education Rights and Privacy Act </w:t>
      </w:r>
      <w:r>
        <w:t xml:space="preserve">gave </w:t>
      </w:r>
      <w:r>
        <w:t>parents the ability to (1) access; (2) amend; and (3) limit disclosure -- of their child</w:t>
      </w:r>
      <w:r>
        <w:t>’</w:t>
      </w:r>
      <w:r>
        <w:t>s educational data</w:t>
      </w:r>
      <w:sdt>
        <w:sdtPr>
          <w:id w:val="-1638409627"/>
          <w:citation/>
        </w:sdtPr>
        <w:sdtContent>
          <w:r w:rsidR="008139FB">
            <w:fldChar w:fldCharType="begin"/>
          </w:r>
          <w:r w:rsidR="008139FB">
            <w:instrText xml:space="preserve"> CITATION EDU16 \l 1033 </w:instrText>
          </w:r>
          <w:r w:rsidR="008139FB">
            <w:fldChar w:fldCharType="separate"/>
          </w:r>
          <w:r w:rsidR="008139FB">
            <w:rPr>
              <w:noProof/>
            </w:rPr>
            <w:t xml:space="preserve"> (EDUStaff, 2016)</w:t>
          </w:r>
          <w:r w:rsidR="008139FB">
            <w:fldChar w:fldCharType="end"/>
          </w:r>
        </w:sdtContent>
      </w:sdt>
      <w:r>
        <w:t>.  These controls cover any student</w:t>
      </w:r>
      <w:r>
        <w:t>’s</w:t>
      </w:r>
      <w:r>
        <w:t xml:space="preserve"> </w:t>
      </w:r>
      <w:r>
        <w:t>P</w:t>
      </w:r>
      <w:r>
        <w:t>ersonal</w:t>
      </w:r>
      <w:r>
        <w:t>ly</w:t>
      </w:r>
      <w:r>
        <w:t xml:space="preserve"> </w:t>
      </w:r>
      <w:r>
        <w:t>I</w:t>
      </w:r>
      <w:r>
        <w:t>dentif</w:t>
      </w:r>
      <w:r>
        <w:t>i</w:t>
      </w:r>
      <w:r>
        <w:t xml:space="preserve">able </w:t>
      </w:r>
      <w:r>
        <w:t>I</w:t>
      </w:r>
      <w:r>
        <w:t>nformation (PII) and educational records.  According to Langlois (2014), these rules apply to any org</w:t>
      </w:r>
      <w:r>
        <w:t>an</w:t>
      </w:r>
      <w:r>
        <w:t xml:space="preserve">ization that accepts federal </w:t>
      </w:r>
      <w:r>
        <w:lastRenderedPageBreak/>
        <w:t>funds.  She also notes that FERPA is the federal minimum bar</w:t>
      </w:r>
      <w:r>
        <w:t>,</w:t>
      </w:r>
      <w:r>
        <w:t xml:space="preserve"> and places like Texas </w:t>
      </w:r>
      <w:r w:rsidR="003035D9">
        <w:t xml:space="preserve">go further with </w:t>
      </w:r>
      <w:r>
        <w:t>state</w:t>
      </w:r>
      <w:r>
        <w:t>-</w:t>
      </w:r>
      <w:r>
        <w:t>level requirements.  When a school district violates FERPA</w:t>
      </w:r>
      <w:r>
        <w:t>,</w:t>
      </w:r>
      <w:r>
        <w:t xml:space="preserve"> </w:t>
      </w:r>
      <w:r>
        <w:t xml:space="preserve">no penalizations exist outside of potentially </w:t>
      </w:r>
      <w:r>
        <w:t xml:space="preserve">losing </w:t>
      </w:r>
      <w:r>
        <w:t xml:space="preserve">its </w:t>
      </w:r>
      <w:r>
        <w:t>federal funding.  However, the parents are free to file civil suits and seek damages caused by negligence and maliciousness.</w:t>
      </w:r>
    </w:p>
    <w:p w14:paraId="3026A9A4" w14:textId="7F56D174" w:rsidR="00375CAD" w:rsidRDefault="00375CAD" w:rsidP="00375CAD">
      <w:pPr>
        <w:pStyle w:val="Heading2"/>
      </w:pPr>
      <w:r>
        <w:t>Legal Themes</w:t>
      </w:r>
    </w:p>
    <w:p w14:paraId="718B540E" w14:textId="13A1991D" w:rsidR="005C65E7" w:rsidRDefault="005C65E7" w:rsidP="00375CAD">
      <w:r>
        <w:tab/>
        <w:t>User privacy is a critical design component across these various legal frameworks.  Two reoccurring themes state that the user owns their data and that ownership is relatively broad.  Administrators need to be cognizant of this net while defining and implementing mobile device management strategies, especially in BYOD scenarios.  The right to privacy can come at odds with personalization and system functionality, forcing a discussion around trade-offs within specific locales</w:t>
      </w:r>
      <w:r w:rsidR="008139FB" w:rsidRPr="008139FB">
        <w:t xml:space="preserve"> </w:t>
      </w:r>
      <w:sdt>
        <w:sdtPr>
          <w:id w:val="1246689413"/>
          <w:citation/>
        </w:sdtPr>
        <w:sdtContent>
          <w:r w:rsidR="008139FB">
            <w:fldChar w:fldCharType="begin"/>
          </w:r>
          <w:r w:rsidR="008139FB">
            <w:instrText xml:space="preserve"> CITATION Bus171 \l 1033 </w:instrText>
          </w:r>
          <w:r w:rsidR="008139FB">
            <w:fldChar w:fldCharType="separate"/>
          </w:r>
          <w:r w:rsidR="008139FB">
            <w:rPr>
              <w:noProof/>
            </w:rPr>
            <w:t xml:space="preserve"> (Busby, Green, &amp; Hutchison, 2017)</w:t>
          </w:r>
          <w:r w:rsidR="008139FB">
            <w:fldChar w:fldCharType="end"/>
          </w:r>
        </w:sdtContent>
      </w:sdt>
      <w:r>
        <w:t>.   Depending on the region, local regulation can create substantial economic incentives to respect the customer’s privacy</w:t>
      </w:r>
      <w:sdt>
        <w:sdtPr>
          <w:id w:val="311990948"/>
          <w:citation/>
        </w:sdtPr>
        <w:sdtContent>
          <w:r w:rsidR="008139FB">
            <w:fldChar w:fldCharType="begin"/>
          </w:r>
          <w:r w:rsidR="008139FB">
            <w:instrText xml:space="preserve"> CITATION Ban17 \l 1033 </w:instrText>
          </w:r>
          <w:r w:rsidR="008139FB">
            <w:fldChar w:fldCharType="separate"/>
          </w:r>
          <w:r w:rsidR="008139FB">
            <w:rPr>
              <w:noProof/>
            </w:rPr>
            <w:t xml:space="preserve"> (Banks, 2017)</w:t>
          </w:r>
          <w:r w:rsidR="008139FB">
            <w:fldChar w:fldCharType="end"/>
          </w:r>
        </w:sdtContent>
      </w:sdt>
      <w:r>
        <w:t xml:space="preserve">.  Where those laws are </w:t>
      </w:r>
      <w:r w:rsidR="00327070">
        <w:t>less strict</w:t>
      </w:r>
      <w:r w:rsidR="001E04B7">
        <w:t>,</w:t>
      </w:r>
      <w:r>
        <w:t xml:space="preserve"> the business still has an ethical obligation to protect data about those individuals.</w:t>
      </w:r>
    </w:p>
    <w:p w14:paraId="67869B74" w14:textId="6E7A2445" w:rsidR="00CC28DB" w:rsidRDefault="00CC28DB" w:rsidP="00CC28DB">
      <w:pPr>
        <w:pStyle w:val="Heading1"/>
      </w:pPr>
      <w:r>
        <w:t>Risk Associated with Mobile Device Management</w:t>
      </w:r>
    </w:p>
    <w:p w14:paraId="2201BA71" w14:textId="3BA48880" w:rsidR="005D0D6C" w:rsidRDefault="0017701D" w:rsidP="00790315">
      <w:r>
        <w:tab/>
      </w:r>
      <w:r w:rsidR="005D0D6C">
        <w:t>Employees download sensitive information onto their mobile devices and laptops, then leave the safety of the corporate environment.  This departure opens these machines up to a series of risks that would not exist on stationary workstations</w:t>
      </w:r>
      <w:sdt>
        <w:sdtPr>
          <w:id w:val="-1402204628"/>
          <w:citation/>
        </w:sdtPr>
        <w:sdtContent>
          <w:r w:rsidR="008139FB">
            <w:fldChar w:fldCharType="begin"/>
          </w:r>
          <w:r w:rsidR="008139FB">
            <w:instrText xml:space="preserve"> CITATION ERM14 \l 1033 </w:instrText>
          </w:r>
          <w:r w:rsidR="008139FB">
            <w:fldChar w:fldCharType="separate"/>
          </w:r>
          <w:r w:rsidR="008139FB">
            <w:rPr>
              <w:noProof/>
            </w:rPr>
            <w:t xml:space="preserve"> (ERM Initiative Faculty, 2014)</w:t>
          </w:r>
          <w:r w:rsidR="008139FB">
            <w:fldChar w:fldCharType="end"/>
          </w:r>
        </w:sdtContent>
      </w:sdt>
      <w:r w:rsidR="005D0D6C">
        <w:t>.  For instance, the device is roaming around the open world and can be lost or stolen.  Other risks come from the system connecting over untrusted and potentially hostile networks, enabling hackers to violate the confidentiality, integrity, and availability of classified information.  Additionally, these devices retain the attack surface of traditional workstations and can fall victim to malware and software exploitation.</w:t>
      </w:r>
    </w:p>
    <w:p w14:paraId="606AFF8A" w14:textId="47F8119D" w:rsidR="00042593" w:rsidRPr="00790315" w:rsidRDefault="00042593" w:rsidP="00790315">
      <w:r>
        <w:lastRenderedPageBreak/>
        <w:tab/>
        <w:t xml:space="preserve">Enforcing mobile security must expand beyond malicious scenarios </w:t>
      </w:r>
      <w:proofErr w:type="gramStart"/>
      <w:r>
        <w:t>and also</w:t>
      </w:r>
      <w:proofErr w:type="gramEnd"/>
      <w:r>
        <w:t xml:space="preserve"> cover the prevention of negligence</w:t>
      </w:r>
      <w:sdt>
        <w:sdtPr>
          <w:id w:val="1753924574"/>
          <w:citation/>
        </w:sdtPr>
        <w:sdtContent>
          <w:r w:rsidR="008139FB">
            <w:fldChar w:fldCharType="begin"/>
          </w:r>
          <w:r w:rsidR="008139FB">
            <w:instrText xml:space="preserve"> CITATION Yam19 \l 1033 </w:instrText>
          </w:r>
          <w:r w:rsidR="008139FB">
            <w:fldChar w:fldCharType="separate"/>
          </w:r>
          <w:r w:rsidR="008139FB">
            <w:rPr>
              <w:noProof/>
            </w:rPr>
            <w:t xml:space="preserve"> (Yamin &amp; Katt, 2019)</w:t>
          </w:r>
          <w:r w:rsidR="008139FB">
            <w:fldChar w:fldCharType="end"/>
          </w:r>
        </w:sdtContent>
      </w:sdt>
      <w:r>
        <w:t>.  Employees use their devices for both official and personal tasks, and mixing context can cause information leaks.  For instance, the user might download an e-mail attachment onto their iPhone device, which automatically backed up to Apple’s iCloud.  Now through no intentional action that communication is entirely outside of the managed ecosystem.  Specific businesses might desire to track these interactions, but this can lead to privacy concerns and future litigation.</w:t>
      </w:r>
    </w:p>
    <w:p w14:paraId="7126E9C3" w14:textId="79F722C8" w:rsidR="00CC28DB" w:rsidRDefault="00CC28DB" w:rsidP="00CC28DB">
      <w:pPr>
        <w:pStyle w:val="Heading1"/>
      </w:pPr>
      <w:r>
        <w:t>Building a framework around these issues</w:t>
      </w:r>
    </w:p>
    <w:p w14:paraId="18FE53AF" w14:textId="063FE331" w:rsidR="00CC28DB" w:rsidRDefault="00515280" w:rsidP="00CC28DB">
      <w:pPr>
        <w:pStyle w:val="Heading2"/>
      </w:pPr>
      <w:r>
        <w:t>Addressing these issues</w:t>
      </w:r>
    </w:p>
    <w:p w14:paraId="54551753" w14:textId="4ACA91B0" w:rsidR="004E6EC8" w:rsidRPr="00515280" w:rsidRDefault="00515280" w:rsidP="004E6EC8">
      <w:r>
        <w:tab/>
      </w:r>
      <w:r w:rsidR="00C42E08">
        <w:t xml:space="preserve">Client management tools give the system administrators the ability to define policy centrally and then target groups of workstations.  Effective device management needs a similar mechanism that accounts for platform-specific variations.  </w:t>
      </w:r>
      <w:r w:rsidR="00C42E08" w:rsidRPr="00C42E08">
        <w:t>Unified Endpoint Management (UEM) addresses these issues by creating an abstraction layer that can translate corporate governance and policies into device</w:t>
      </w:r>
      <w:r w:rsidR="00C42E08">
        <w:t>-</w:t>
      </w:r>
      <w:r w:rsidR="00C42E08" w:rsidRPr="00C42E08">
        <w:t>specific configurations</w:t>
      </w:r>
      <w:sdt>
        <w:sdtPr>
          <w:id w:val="-2072187879"/>
          <w:citation/>
        </w:sdtPr>
        <w:sdtContent>
          <w:r w:rsidR="008139FB">
            <w:fldChar w:fldCharType="begin"/>
          </w:r>
          <w:r w:rsidR="008139FB">
            <w:instrText xml:space="preserve"> CITATION Tar18 \l 1033 </w:instrText>
          </w:r>
          <w:r w:rsidR="008139FB">
            <w:fldChar w:fldCharType="separate"/>
          </w:r>
          <w:r w:rsidR="008139FB">
            <w:rPr>
              <w:noProof/>
            </w:rPr>
            <w:t xml:space="preserve"> (Tarzey, 2018)</w:t>
          </w:r>
          <w:r w:rsidR="008139FB">
            <w:fldChar w:fldCharType="end"/>
          </w:r>
        </w:sdtContent>
      </w:sdt>
      <w:r w:rsidR="00C42E08" w:rsidRPr="00C42E08">
        <w:t xml:space="preserve">.  For instance, the administrator can </w:t>
      </w:r>
      <w:r w:rsidR="00C42E08">
        <w:t xml:space="preserve">mandate the installation of </w:t>
      </w:r>
      <w:r w:rsidR="00C42E08" w:rsidRPr="00C42E08">
        <w:t xml:space="preserve">all critical operating system patches.  </w:t>
      </w:r>
      <w:r w:rsidR="00C42E08">
        <w:t>The i</w:t>
      </w:r>
      <w:r w:rsidR="00C42E08" w:rsidRPr="00C42E08">
        <w:t>mplementation of this action varies between Windows desktops, Apple iPhones, and Android Chromebooks</w:t>
      </w:r>
      <w:r w:rsidR="00C42E08">
        <w:t>—though the intent remains consistent</w:t>
      </w:r>
      <w:r w:rsidR="00C42E08" w:rsidRPr="00C42E08">
        <w:t>.</w:t>
      </w:r>
      <w:r w:rsidR="000952B8">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w:t>
      </w:r>
      <w:r w:rsidR="004E6EC8">
        <w:t xml:space="preserve">  Advanced solutions like Microsoft Intune and MobileIron, support sandbox technologies that prevent mixing personal and corporate data</w:t>
      </w:r>
      <w:r w:rsidR="008139FB">
        <w:t xml:space="preserve"> (</w:t>
      </w:r>
      <w:proofErr w:type="spellStart"/>
      <w:r w:rsidR="008139FB">
        <w:t>Soseman</w:t>
      </w:r>
      <w:proofErr w:type="spellEnd"/>
      <w:r w:rsidR="008139FB">
        <w:t>, 2019; MobileIron 2020)</w:t>
      </w:r>
      <w:r w:rsidR="004E6EC8">
        <w:t>.  The data context tagging also opens the door for smarter remote wipe scenarios that do not touch personal data like family pictures.</w:t>
      </w:r>
    </w:p>
    <w:p w14:paraId="44CA2B8C" w14:textId="377907BE" w:rsidR="00CC28DB" w:rsidRDefault="00CC28DB" w:rsidP="00CC28DB">
      <w:pPr>
        <w:pStyle w:val="Heading2"/>
      </w:pPr>
      <w:r>
        <w:lastRenderedPageBreak/>
        <w:t>MDM Tooling Recommendation</w:t>
      </w:r>
    </w:p>
    <w:p w14:paraId="392ACB95" w14:textId="4D5892D3" w:rsidR="004E6EC8" w:rsidRPr="004E6EC8" w:rsidRDefault="004E6EC8" w:rsidP="004E6EC8">
      <w:r>
        <w:tab/>
        <w:t>Gartner</w:t>
      </w:r>
      <w:r w:rsidR="008139FB">
        <w:t xml:space="preserve"> (2019)</w:t>
      </w:r>
      <w:r>
        <w:t xml:space="preserve"> enumerates several MDM vendors and calls out strengths and weaknesses among their offerings.  Of these providers, Microsoft’s Intune stands out for being both a SaaS-based solution and supportability for most mainstream devices.  Service integrations allow connecting existing </w:t>
      </w:r>
      <w:r>
        <w:t xml:space="preserve">on-premise </w:t>
      </w:r>
      <w:r>
        <w:t>CMT solutions like Microsoft Configuration Manager.  Administrators can enjoy a wide range of scenario-specific configuration templates and extensive reporting capabilities.</w:t>
      </w:r>
      <w:r w:rsidR="00772873">
        <w:t xml:space="preserve">  Other market leaders include MobileIron, IBM</w:t>
      </w:r>
      <w:r w:rsidR="00F033B6">
        <w:t>,</w:t>
      </w:r>
      <w:r w:rsidR="00772873">
        <w:t xml:space="preserve"> and VMWare, which come with similar feature sets and unique challenges.</w:t>
      </w:r>
    </w:p>
    <w:p w14:paraId="0084C457" w14:textId="1562463B" w:rsidR="00CC28DB" w:rsidRDefault="00F033B6" w:rsidP="00F033B6">
      <w:pPr>
        <w:pStyle w:val="Heading2"/>
      </w:pPr>
      <w:r>
        <w:t>Building a Privacy First Framework</w:t>
      </w:r>
    </w:p>
    <w:p w14:paraId="1EED39AE" w14:textId="05135155" w:rsidR="00F033B6" w:rsidRDefault="008139FB" w:rsidP="006D01E7">
      <w:pPr>
        <w:ind w:firstLine="720"/>
      </w:pPr>
      <w:r>
        <w:t xml:space="preserve">Building accountable information policy requires sponsorship, transparency, </w:t>
      </w:r>
      <w:r w:rsidRPr="008139FB">
        <w:t>auditability</w:t>
      </w:r>
      <w:r>
        <w:t>, and the ability to remediate non-compliance</w:t>
      </w:r>
      <w:sdt>
        <w:sdtPr>
          <w:id w:val="-1421632442"/>
          <w:citation/>
        </w:sdtPr>
        <w:sdtContent>
          <w:r>
            <w:fldChar w:fldCharType="begin"/>
          </w:r>
          <w:r>
            <w:instrText xml:space="preserve"> CITATION Jac13 \l 1033 </w:instrText>
          </w:r>
          <w:r>
            <w:fldChar w:fldCharType="separate"/>
          </w:r>
          <w:r>
            <w:rPr>
              <w:noProof/>
            </w:rPr>
            <w:t xml:space="preserve"> (Jackson &amp; Walshe, 2013)</w:t>
          </w:r>
          <w:r>
            <w:fldChar w:fldCharType="end"/>
          </w:r>
        </w:sdtContent>
      </w:sdt>
      <w:r>
        <w:t>.</w:t>
      </w:r>
      <w:r w:rsidR="00F033B6">
        <w:t xml:space="preserve">  These foundational components </w:t>
      </w:r>
      <w:r>
        <w:t xml:space="preserve">require </w:t>
      </w:r>
      <w:r w:rsidR="006D01E7">
        <w:t xml:space="preserve">executive sponsorship </w:t>
      </w:r>
      <w:r>
        <w:t xml:space="preserve">to </w:t>
      </w:r>
      <w:r w:rsidR="006D01E7">
        <w:t>ensure data collection strategies align with corporate values.  For instance, a school district might be sensitive to any appearance of encroaching on student privacy or infringing FERPA norms</w:t>
      </w:r>
      <w:sdt>
        <w:sdtPr>
          <w:id w:val="-15085617"/>
          <w:citation/>
        </w:sdtPr>
        <w:sdtContent>
          <w:r>
            <w:fldChar w:fldCharType="begin"/>
          </w:r>
          <w:r>
            <w:instrText xml:space="preserve"> CITATION Lan14 \l 1033 </w:instrText>
          </w:r>
          <w:r>
            <w:fldChar w:fldCharType="separate"/>
          </w:r>
          <w:r>
            <w:rPr>
              <w:noProof/>
            </w:rPr>
            <w:t xml:space="preserve"> (Langlois, 2014)</w:t>
          </w:r>
          <w:r>
            <w:fldChar w:fldCharType="end"/>
          </w:r>
        </w:sdtContent>
      </w:sdt>
      <w:r w:rsidR="006D01E7">
        <w:t>.  These values might limit data assemblage within software inventory reports on those devices.</w:t>
      </w:r>
    </w:p>
    <w:p w14:paraId="009610CF" w14:textId="7D652E48" w:rsidR="00F033B6" w:rsidRPr="00F033B6" w:rsidRDefault="006D01E7" w:rsidP="00390628">
      <w:pPr>
        <w:ind w:firstLine="720"/>
      </w:pPr>
      <w:r>
        <w:t xml:space="preserve">The people, processes, and products of the institution must also be aware of these values and understand how to apply them.  This awareness starts with training about industry-specific requirements and the rationale behind these ideas.  </w:t>
      </w:r>
      <w:proofErr w:type="gramStart"/>
      <w:r>
        <w:t>Next processes,</w:t>
      </w:r>
      <w:proofErr w:type="gramEnd"/>
      <w:r>
        <w:t xml:space="preserve"> must leverage that training to incorporate the best practices into every business workflow.  For example, the business might have various categorizations of customer data, with each category requiring retention durations and access policies.</w:t>
      </w:r>
      <w:r w:rsidR="00390628">
        <w:t xml:space="preserve">  Documentation needs to record these decisions and relevant controls for internal and external auditing.  Processes that are auditable and transparent encourages staff to make ethical decisions, knowing action scrutiny will follow later.  </w:t>
      </w:r>
      <w:r w:rsidR="008139FB">
        <w:t>Finally</w:t>
      </w:r>
      <w:r w:rsidR="00390628">
        <w:t xml:space="preserve">, no business workflow </w:t>
      </w:r>
      <w:r w:rsidR="00390628">
        <w:lastRenderedPageBreak/>
        <w:t xml:space="preserve">is perfect, and mistakes are bound to happen.  Remediation strategies </w:t>
      </w:r>
      <w:r w:rsidR="008139FB">
        <w:t xml:space="preserve">must be possible to </w:t>
      </w:r>
      <w:r w:rsidR="00390628">
        <w:t>need to correct erroneous behaviors and restore compliance</w:t>
      </w:r>
      <w:r w:rsidR="008139FB">
        <w:t>.</w:t>
      </w:r>
    </w:p>
    <w:p w14:paraId="59814B67" w14:textId="7B9FD756" w:rsidR="00CC28DB" w:rsidRDefault="00CC28DB" w:rsidP="00CC28DB">
      <w:pPr>
        <w:pStyle w:val="Heading2"/>
      </w:pPr>
      <w:r>
        <w:t>Integrating with other Frameworks</w:t>
      </w:r>
    </w:p>
    <w:p w14:paraId="7B0F0728" w14:textId="7FCCA859" w:rsidR="00390628" w:rsidRDefault="00390628" w:rsidP="00390628">
      <w:r>
        <w:tab/>
        <w:t xml:space="preserve">Risk management systems, like COBIT and NIST Cybersecurity Framework, follow feedback loops that identify threats, plan a response, implements that plan, and </w:t>
      </w:r>
      <w:r w:rsidR="002E33D9">
        <w:t>confirm the resolution</w:t>
      </w:r>
      <w:sdt>
        <w:sdtPr>
          <w:id w:val="-489323709"/>
          <w:citation/>
        </w:sdtPr>
        <w:sdtContent>
          <w:r w:rsidR="00D07359">
            <w:fldChar w:fldCharType="begin"/>
          </w:r>
          <w:r w:rsidR="00D07359">
            <w:instrText xml:space="preserve"> CITATION Bas18 \l 1033 </w:instrText>
          </w:r>
          <w:r w:rsidR="00D07359">
            <w:fldChar w:fldCharType="separate"/>
          </w:r>
          <w:r w:rsidR="00D07359">
            <w:rPr>
              <w:noProof/>
            </w:rPr>
            <w:t xml:space="preserve"> (Baskerville, Rowe, &amp; Wolff, 2018)</w:t>
          </w:r>
          <w:r w:rsidR="00D07359">
            <w:fldChar w:fldCharType="end"/>
          </w:r>
        </w:sdtContent>
      </w:sdt>
      <w:r>
        <w:t>.</w:t>
      </w:r>
      <w:r w:rsidR="00B50D57">
        <w:t xml:space="preserve">  Each cycle through this process addresses a distinct problem and then mitigates it</w:t>
      </w:r>
      <w:r w:rsidR="00D07359">
        <w:t xml:space="preserve">.  Handling </w:t>
      </w:r>
      <w:r w:rsidR="00B50D57">
        <w:t xml:space="preserve">privacy and mobility </w:t>
      </w:r>
      <w:r w:rsidR="00D07359">
        <w:t xml:space="preserve">concerns </w:t>
      </w:r>
      <w:r w:rsidR="00B50D57">
        <w:t>can follow a similar workflow.  For example, the organization wants to expand its mobile device management to cover a subsidy in a foreign nation.</w:t>
      </w:r>
    </w:p>
    <w:p w14:paraId="7CB5ED95" w14:textId="16EE3BCC" w:rsidR="00B50D57" w:rsidRPr="00390628" w:rsidRDefault="00B50D57" w:rsidP="00390628">
      <w:r>
        <w:tab/>
        <w:t xml:space="preserve">First, the leadership team needs to identify any privacy and related laws for that region.  This step might involve hiring or contracting a specialist to navigate the overseas legal systems.  </w:t>
      </w:r>
      <w:r w:rsidR="007F3CF3">
        <w:t>Second, following the</w:t>
      </w:r>
      <w:r>
        <w:t xml:space="preserve"> results </w:t>
      </w:r>
      <w:r w:rsidR="007F3CF3">
        <w:t xml:space="preserve">to </w:t>
      </w:r>
      <w:r>
        <w:t xml:space="preserve">guide a response strategy that influences policies and data collection across those team members.  </w:t>
      </w:r>
      <w:proofErr w:type="gramStart"/>
      <w:r>
        <w:t>After implementing the plan, there</w:t>
      </w:r>
      <w:proofErr w:type="gramEnd"/>
      <w:r>
        <w:t xml:space="preserve"> needs to be an audit and process validation with experts to confirm the solution meets the specification.</w:t>
      </w:r>
      <w:r w:rsidR="00EE1D0D">
        <w:t xml:space="preserve">  Finally, periodic assessments must identify any policy changes that justify executing another loop iteration.</w:t>
      </w:r>
    </w:p>
    <w:p w14:paraId="5F89AC78" w14:textId="5FFE290B" w:rsidR="00CC28DB" w:rsidRDefault="00CC28DB" w:rsidP="00CC28DB">
      <w:pPr>
        <w:pStyle w:val="Heading1"/>
      </w:pPr>
      <w:r>
        <w:t>Conclusion</w:t>
      </w:r>
    </w:p>
    <w:p w14:paraId="1F3351C3" w14:textId="77777777" w:rsidR="00F11C3A" w:rsidRDefault="00D07359" w:rsidP="00D07359">
      <w:r>
        <w:tab/>
      </w:r>
      <w:r w:rsidR="00150B66">
        <w:t>The core objective of any organization is to deliver on efficiently deliver on its mission.  Over the last fifty years, technology has viciously evolved to meet these needs from its humble beginnings with centralized data warehouses.  These business entities escaped onto workstations that traditional client management tooling (CMT) could manage through rigid policy.  One of the challenges with this model is the tooling restricts innovation by forcing homogenous device configurations across the ecosystem versus exploiting IT to provide the best tool for the job.</w:t>
      </w:r>
      <w:r w:rsidR="00CE4C7B">
        <w:t xml:space="preserve">  The </w:t>
      </w:r>
      <w:r w:rsidR="00CE4C7B">
        <w:lastRenderedPageBreak/>
        <w:t xml:space="preserve">BYOD movement instead takes the position that employees should choose the device that enables them to be most productive.  Administrators must overcome the challenges from these variations </w:t>
      </w:r>
      <w:proofErr w:type="gramStart"/>
      <w:r w:rsidR="00CE4C7B">
        <w:t>and also</w:t>
      </w:r>
      <w:proofErr w:type="gramEnd"/>
      <w:r w:rsidR="00CE4C7B">
        <w:t xml:space="preserve"> approach it from a position of policy governance, not a mandate.  The critical difference comes from businesses no longer explicitly owning the underlying hardware used by their employees</w:t>
      </w:r>
      <w:r w:rsidR="00EE2953">
        <w:t xml:space="preserve"> and contractors</w:t>
      </w:r>
      <w:r w:rsidR="00CE4C7B">
        <w:t>.</w:t>
      </w:r>
      <w:r w:rsidR="00F11C3A">
        <w:t xml:space="preserve">  </w:t>
      </w:r>
      <w:r w:rsidR="00172CE1">
        <w:tab/>
      </w:r>
    </w:p>
    <w:p w14:paraId="6103C3BE" w14:textId="77777777" w:rsidR="00F11C3A" w:rsidRDefault="00172CE1" w:rsidP="00F11C3A">
      <w:pPr>
        <w:ind w:firstLine="720"/>
      </w:pPr>
      <w:r>
        <w:t>When the service administrator and device owner are different people, this introduces substantial risk to breach privacy norms.  After reviewing a cross-section of international, financial, health care, and educational privacy policies—themes begin to form.  These themes state that data from a user is the property of that person, and the scope of that statement is more extensive than one might initially think.</w:t>
      </w:r>
      <w:r w:rsidR="00ED1E3D">
        <w:t xml:space="preserve">  Failure to approach privacy from this perspective can cause legal or ethical challenges, neither are </w:t>
      </w:r>
      <w:r w:rsidR="004A0806">
        <w:t>favorabl</w:t>
      </w:r>
      <w:r w:rsidR="00ED1E3D">
        <w:t xml:space="preserve">e </w:t>
      </w:r>
      <w:r w:rsidR="004A0806">
        <w:t>to</w:t>
      </w:r>
      <w:r w:rsidR="00ED1E3D">
        <w:t xml:space="preserve"> the organization.</w:t>
      </w:r>
      <w:r w:rsidR="00F11C3A">
        <w:t xml:space="preserve"> </w:t>
      </w:r>
    </w:p>
    <w:p w14:paraId="17760C60" w14:textId="5EFF6AAA" w:rsidR="000A570A" w:rsidRDefault="00DF21A0" w:rsidP="00F11C3A">
      <w:pPr>
        <w:ind w:firstLine="720"/>
      </w:pPr>
      <w:r>
        <w:t>Along with these privacy concerns are several risks that come from partially trusted devices and mobile platforms storing sensitive information.  These systems must run over hostile networks and handle being lost or stolen.  Outside of malicious scenarios, negligence can occur from using the machine in multiple contexts (e.g., business and pleasure).</w:t>
      </w:r>
      <w:r w:rsidR="000A570A">
        <w:t xml:space="preserve">  Businesses can purchase MDM tooling like Intune to provide </w:t>
      </w:r>
      <w:r w:rsidR="00C97E4C">
        <w:t>essential</w:t>
      </w:r>
      <w:r w:rsidR="000A570A">
        <w:t xml:space="preserve"> </w:t>
      </w:r>
      <w:r w:rsidR="00F11C3A">
        <w:t>remediations to these challenges</w:t>
      </w:r>
      <w:r w:rsidR="000A570A">
        <w:t>.</w:t>
      </w:r>
      <w:r w:rsidR="00273A82">
        <w:t xml:space="preserve">  However, a holistic solution must go further and integrate into existing risk management frameworks.</w:t>
      </w:r>
    </w:p>
    <w:p w14:paraId="67F1900B" w14:textId="0307EE67" w:rsidR="00273A82" w:rsidRDefault="00273A82">
      <w:r>
        <w:br w:type="page"/>
      </w:r>
    </w:p>
    <w:sdt>
      <w:sdtPr>
        <w:id w:val="1736740238"/>
        <w:docPartObj>
          <w:docPartGallery w:val="Bibliographies"/>
          <w:docPartUnique/>
        </w:docPartObj>
      </w:sdtPr>
      <w:sdtEndPr>
        <w:rPr>
          <w:b w:val="0"/>
        </w:rPr>
      </w:sdtEndPr>
      <w:sdtContent>
        <w:p w14:paraId="51BE4D12" w14:textId="0E176D22" w:rsidR="00214154" w:rsidRDefault="00214154">
          <w:pPr>
            <w:pStyle w:val="Heading1"/>
          </w:pPr>
          <w:r>
            <w:t>References</w:t>
          </w:r>
        </w:p>
        <w:sdt>
          <w:sdtPr>
            <w:id w:val="-573587230"/>
            <w:bibliography/>
          </w:sdtPr>
          <w:sdtContent>
            <w:p w14:paraId="13D803D3" w14:textId="5DF28C84" w:rsidR="00214154" w:rsidRDefault="00214154" w:rsidP="00214154">
              <w:pPr>
                <w:pStyle w:val="Bibliography"/>
                <w:ind w:left="720" w:hanging="720"/>
                <w:rPr>
                  <w:noProof/>
                </w:rPr>
              </w:pPr>
              <w:r>
                <w:fldChar w:fldCharType="begin"/>
              </w:r>
              <w:r>
                <w:instrText xml:space="preserve"> BIBLIOGRAPHY </w:instrText>
              </w:r>
              <w:r>
                <w:fldChar w:fldCharType="separate"/>
              </w:r>
              <w:r>
                <w:rPr>
                  <w:noProof/>
                </w:rPr>
                <w:t xml:space="preserve">AHIMA. (2014, February 14). </w:t>
              </w:r>
              <w:r>
                <w:rPr>
                  <w:i/>
                  <w:iCs/>
                  <w:noProof/>
                </w:rPr>
                <w:t>HITECH HIPAA Omnibus Rule’s Most Frequently Asked Questions</w:t>
              </w:r>
              <w:r>
                <w:rPr>
                  <w:noProof/>
                </w:rPr>
                <w:t>. (American Health and Information Management Association) Retrieved from YouTube: https://www.youtube.com/watch?v=TyjUbMIJ26U</w:t>
              </w:r>
            </w:p>
            <w:p w14:paraId="61177BEF" w14:textId="77777777" w:rsidR="00214154" w:rsidRDefault="00214154" w:rsidP="00214154">
              <w:pPr>
                <w:pStyle w:val="Bibliography"/>
                <w:ind w:left="720" w:hanging="720"/>
                <w:rPr>
                  <w:noProof/>
                </w:rPr>
              </w:pPr>
              <w:r>
                <w:rPr>
                  <w:noProof/>
                </w:rPr>
                <w:t xml:space="preserve">Astani, M., &amp; Ready, K. (2016). Trends and preventive strategies for mitigating cybersecurity breaches in organizations. </w:t>
              </w:r>
              <w:r>
                <w:rPr>
                  <w:i/>
                  <w:iCs/>
                  <w:noProof/>
                </w:rPr>
                <w:t>Issues in Information Systems, 17</w:t>
              </w:r>
              <w:r>
                <w:rPr>
                  <w:noProof/>
                </w:rPr>
                <w:t>(2), 208-214. Retrieved May 9, 2020, from https://iacis.org/iis/2016/2_iis_2016_208-214.pdf</w:t>
              </w:r>
            </w:p>
            <w:p w14:paraId="5CFA6833" w14:textId="77777777" w:rsidR="00214154" w:rsidRDefault="00214154" w:rsidP="00214154">
              <w:pPr>
                <w:pStyle w:val="Bibliography"/>
                <w:ind w:left="720" w:hanging="720"/>
                <w:rPr>
                  <w:noProof/>
                </w:rPr>
              </w:pPr>
              <w:r>
                <w:rPr>
                  <w:noProof/>
                </w:rPr>
                <w:t xml:space="preserve">Banks, W. (2017). Cyber espionage and electronic surveillance: beyond the media coverage. </w:t>
              </w:r>
              <w:r>
                <w:rPr>
                  <w:i/>
                  <w:iCs/>
                  <w:noProof/>
                </w:rPr>
                <w:t>Emory Law Journal, 66</w:t>
              </w:r>
              <w:r>
                <w:rPr>
                  <w:noProof/>
                </w:rPr>
                <w:t>(3), 513-525. Retrieved from https://search-ebscohost-com.proxy1.ncu.edu/login.aspx?direct=true&amp;db=ofs&amp;AN=121933698&amp;site=eds-live</w:t>
              </w:r>
            </w:p>
            <w:p w14:paraId="0D7C4758" w14:textId="248D87AF" w:rsidR="00214154" w:rsidRDefault="00214154" w:rsidP="00214154">
              <w:pPr>
                <w:pStyle w:val="Bibliography"/>
                <w:ind w:left="720" w:hanging="720"/>
                <w:rPr>
                  <w:noProof/>
                </w:rPr>
              </w:pPr>
              <w:r>
                <w:rPr>
                  <w:noProof/>
                </w:rPr>
                <w:t xml:space="preserve">Baskerville, R., Rowe, F., &amp; Wolff, F. (2018). Integration of information systems and cybersecurity countermeasures. </w:t>
              </w:r>
              <w:r>
                <w:rPr>
                  <w:i/>
                  <w:iCs/>
                  <w:noProof/>
                </w:rPr>
                <w:t>SIGMIS Database. 49</w:t>
              </w:r>
              <w:r>
                <w:rPr>
                  <w:noProof/>
                </w:rPr>
                <w:t>, 33-52. doi:https://doi.org/10.1145/3184444.3184448.</w:t>
              </w:r>
            </w:p>
            <w:p w14:paraId="73C9B423" w14:textId="77777777" w:rsidR="00214154" w:rsidRDefault="00214154" w:rsidP="00214154">
              <w:pPr>
                <w:pStyle w:val="Bibliography"/>
                <w:ind w:left="720" w:hanging="720"/>
                <w:rPr>
                  <w:noProof/>
                </w:rPr>
              </w:pPr>
              <w:r>
                <w:rPr>
                  <w:noProof/>
                </w:rPr>
                <w:t xml:space="preserve">Busby, J., Green, B., &amp; Hutchison, D. (2017). Analysis of Affordance, Time, and Adaptation in the Assessment of Industrial Control System Cybersecurity Risk. </w:t>
              </w:r>
              <w:r>
                <w:rPr>
                  <w:i/>
                  <w:iCs/>
                  <w:noProof/>
                </w:rPr>
                <w:t>Risk Analysis: An International Journal, 37</w:t>
              </w:r>
              <w:r>
                <w:rPr>
                  <w:noProof/>
                </w:rPr>
                <w:t>(7), 1298-1314. doi:https://doi-org.proxy1.ncu.edu/10.1111/risa.12681</w:t>
              </w:r>
            </w:p>
            <w:p w14:paraId="1C109342" w14:textId="77777777" w:rsidR="00214154" w:rsidRDefault="00214154" w:rsidP="00214154">
              <w:pPr>
                <w:pStyle w:val="Bibliography"/>
                <w:ind w:left="720" w:hanging="720"/>
                <w:rPr>
                  <w:noProof/>
                </w:rPr>
              </w:pPr>
              <w:r>
                <w:rPr>
                  <w:noProof/>
                </w:rPr>
                <w:t xml:space="preserve">EDUStaff. (2016, May 3). </w:t>
              </w:r>
              <w:r>
                <w:rPr>
                  <w:i/>
                  <w:iCs/>
                  <w:noProof/>
                </w:rPr>
                <w:t>SubTalk: FERPA What You Should Know</w:t>
              </w:r>
              <w:r>
                <w:rPr>
                  <w:noProof/>
                </w:rPr>
                <w:t>. Retrieved from YouTube: https://www.youtube.com/watch?v=eIOmskTvp08</w:t>
              </w:r>
            </w:p>
            <w:p w14:paraId="42EE1E39" w14:textId="77777777" w:rsidR="00214154" w:rsidRDefault="00214154" w:rsidP="00214154">
              <w:pPr>
                <w:pStyle w:val="Bibliography"/>
                <w:ind w:left="720" w:hanging="720"/>
                <w:rPr>
                  <w:noProof/>
                </w:rPr>
              </w:pPr>
              <w:r>
                <w:rPr>
                  <w:noProof/>
                </w:rPr>
                <w:t xml:space="preserve">ERM Initiative Faculty. (2014). </w:t>
              </w:r>
              <w:r>
                <w:rPr>
                  <w:i/>
                  <w:iCs/>
                  <w:noProof/>
                </w:rPr>
                <w:t>Managing risks of the mobile enterprise</w:t>
              </w:r>
              <w:r>
                <w:rPr>
                  <w:noProof/>
                </w:rPr>
                <w:t>. Retrieved July 19, 2020, from NC State: Enterprise Risk Management Initiative: https://erm.ncsu.edu/library/article/manage-risks-mobile-enterprise</w:t>
              </w:r>
            </w:p>
            <w:p w14:paraId="440A42FA" w14:textId="77777777" w:rsidR="00214154" w:rsidRDefault="00214154" w:rsidP="00214154">
              <w:pPr>
                <w:pStyle w:val="Bibliography"/>
                <w:ind w:left="720" w:hanging="720"/>
                <w:rPr>
                  <w:noProof/>
                </w:rPr>
              </w:pPr>
              <w:r>
                <w:rPr>
                  <w:noProof/>
                </w:rPr>
                <w:lastRenderedPageBreak/>
                <w:t xml:space="preserve">Grimes, S., &amp; Wirth, A. (2017). Holding the line: events that shaped healthcare cybersecurity. </w:t>
              </w:r>
              <w:r>
                <w:rPr>
                  <w:i/>
                  <w:iCs/>
                  <w:noProof/>
                </w:rPr>
                <w:t>Biomedical Instrumentation &amp; Technology, 51</w:t>
              </w:r>
              <w:r>
                <w:rPr>
                  <w:noProof/>
                </w:rPr>
                <w:t>(S6), 30-32. doi:https://doi-org.proxy1.ncu.edu/10.2345/0899-8205-51.s6.30</w:t>
              </w:r>
            </w:p>
            <w:p w14:paraId="58B85B98" w14:textId="2BBCF345" w:rsidR="00214154" w:rsidRDefault="00214154" w:rsidP="00214154">
              <w:pPr>
                <w:pStyle w:val="Bibliography"/>
                <w:ind w:left="720" w:hanging="720"/>
                <w:rPr>
                  <w:noProof/>
                </w:rPr>
              </w:pPr>
              <w:r>
                <w:rPr>
                  <w:noProof/>
                </w:rPr>
                <w:t xml:space="preserve">HIPAA Journal. (2014). </w:t>
              </w:r>
              <w:r>
                <w:rPr>
                  <w:i/>
                  <w:iCs/>
                  <w:noProof/>
                </w:rPr>
                <w:t>What is the HITECH Act</w:t>
              </w:r>
              <w:r>
                <w:rPr>
                  <w:noProof/>
                </w:rPr>
                <w:t>? Retrieved July 19, 2020, from HIPAA Journal: https://www.hipaajournal.com/what-is-the-hitech-act/</w:t>
              </w:r>
            </w:p>
            <w:p w14:paraId="339EA9D7" w14:textId="0680DC56" w:rsidR="00214154" w:rsidRDefault="00214154" w:rsidP="00214154">
              <w:pPr>
                <w:pStyle w:val="Bibliography"/>
                <w:ind w:left="720" w:hanging="720"/>
                <w:rPr>
                  <w:noProof/>
                </w:rPr>
              </w:pPr>
              <w:r>
                <w:rPr>
                  <w:noProof/>
                </w:rPr>
                <w:t xml:space="preserve">Jackson, N., &amp; Walshe, P. (2013, January). </w:t>
              </w:r>
              <w:r>
                <w:rPr>
                  <w:i/>
                  <w:iCs/>
                  <w:noProof/>
                </w:rPr>
                <w:t>The accountability framework for the implementation of the GSMA privacy design guidelines for mobile app development</w:t>
              </w:r>
              <w:r>
                <w:rPr>
                  <w:noProof/>
                </w:rPr>
                <w:t>. Retrieved from Global System for Mobile Communications Association: https://www.gsma.com/publicpolicy/wp-content/uploads/2013/01/Accountability-framework-final.pdf</w:t>
              </w:r>
            </w:p>
            <w:p w14:paraId="68E66BDA" w14:textId="189193A8" w:rsidR="00214154" w:rsidRDefault="00214154" w:rsidP="00214154">
              <w:pPr>
                <w:pStyle w:val="Bibliography"/>
                <w:ind w:left="720" w:hanging="720"/>
                <w:rPr>
                  <w:noProof/>
                </w:rPr>
              </w:pPr>
              <w:r>
                <w:rPr>
                  <w:noProof/>
                </w:rPr>
                <w:t xml:space="preserve">Kovacs, L. (2017). Cybersecurity policy and strategy in the European Union and NATO. </w:t>
              </w:r>
              <w:r>
                <w:rPr>
                  <w:i/>
                  <w:iCs/>
                  <w:noProof/>
                </w:rPr>
                <w:t>Revista Academiei Fortelor Terestre, 23</w:t>
              </w:r>
              <w:r>
                <w:rPr>
                  <w:noProof/>
                </w:rPr>
                <w:t>(1), 16-24. Retrieved from https://search-ebscohost-com.proxy1.ncu.edu/login.aspx?direct=true&amp;db=a9h&amp;AN=128789540&amp;site=eds-live</w:t>
              </w:r>
            </w:p>
            <w:p w14:paraId="6AC486B9" w14:textId="77777777" w:rsidR="00214154" w:rsidRDefault="00214154" w:rsidP="00214154">
              <w:pPr>
                <w:pStyle w:val="Bibliography"/>
                <w:ind w:left="720" w:hanging="720"/>
                <w:rPr>
                  <w:noProof/>
                </w:rPr>
              </w:pPr>
              <w:r>
                <w:rPr>
                  <w:noProof/>
                </w:rPr>
                <w:t xml:space="preserve">Lamolle, M., Menet, L., &amp; Le Duc, C. (2015). Incremental checking of Master Data Management model based on contextual graphs. </w:t>
              </w:r>
              <w:r>
                <w:rPr>
                  <w:i/>
                  <w:iCs/>
                  <w:noProof/>
                </w:rPr>
                <w:t>Enterprise Information Systems, 9</w:t>
              </w:r>
              <w:r>
                <w:rPr>
                  <w:noProof/>
                </w:rPr>
                <w:t>(7), 681-708. doi:https://doi.org/10.1080/17517575.2013.792395</w:t>
              </w:r>
            </w:p>
            <w:p w14:paraId="10716311" w14:textId="77777777" w:rsidR="00214154" w:rsidRDefault="00214154" w:rsidP="00214154">
              <w:pPr>
                <w:pStyle w:val="Bibliography"/>
                <w:ind w:left="720" w:hanging="720"/>
                <w:rPr>
                  <w:noProof/>
                </w:rPr>
              </w:pPr>
              <w:r>
                <w:rPr>
                  <w:noProof/>
                </w:rPr>
                <w:t xml:space="preserve">Langlois, S. (2014, June 5). </w:t>
              </w:r>
              <w:r>
                <w:rPr>
                  <w:i/>
                  <w:iCs/>
                  <w:noProof/>
                </w:rPr>
                <w:t>FERPA rules and responsibilities training</w:t>
              </w:r>
              <w:r>
                <w:rPr>
                  <w:noProof/>
                </w:rPr>
                <w:t>. Retrieved from Harrison County Department of Education: https://www.youtube.com/watch?v=2TkEHLXLhK0</w:t>
              </w:r>
            </w:p>
            <w:p w14:paraId="68F24064" w14:textId="77777777" w:rsidR="00214154" w:rsidRDefault="00214154" w:rsidP="00214154">
              <w:pPr>
                <w:pStyle w:val="Bibliography"/>
                <w:ind w:left="720" w:hanging="720"/>
                <w:rPr>
                  <w:noProof/>
                </w:rPr>
              </w:pPr>
              <w:r>
                <w:rPr>
                  <w:noProof/>
                </w:rPr>
                <w:t xml:space="preserve">Mallor, J., Prenkert, J., Barnes, A., Langvardt, A., &amp; McCrory, M. (2013). </w:t>
              </w:r>
              <w:r>
                <w:rPr>
                  <w:i/>
                  <w:iCs/>
                  <w:noProof/>
                </w:rPr>
                <w:t>Business Law, Sixteenth Edition.</w:t>
              </w:r>
              <w:r>
                <w:rPr>
                  <w:noProof/>
                </w:rPr>
                <w:t xml:space="preserve"> </w:t>
              </w:r>
            </w:p>
            <w:p w14:paraId="309D2587" w14:textId="070782A3" w:rsidR="00214154" w:rsidRDefault="00214154" w:rsidP="00214154">
              <w:pPr>
                <w:pStyle w:val="Bibliography"/>
                <w:ind w:left="720" w:hanging="720"/>
                <w:rPr>
                  <w:noProof/>
                </w:rPr>
              </w:pPr>
              <w:r>
                <w:rPr>
                  <w:noProof/>
                </w:rPr>
                <w:t xml:space="preserve">MobileIron. (2020, June 29). </w:t>
              </w:r>
              <w:r>
                <w:rPr>
                  <w:i/>
                  <w:iCs/>
                  <w:noProof/>
                </w:rPr>
                <w:t>How does MobileIron work</w:t>
              </w:r>
              <w:r>
                <w:rPr>
                  <w:noProof/>
                </w:rPr>
                <w:t>? Retrieved from YouTube: https://www.youtube.com/watch?v=00T5A1qj18E</w:t>
              </w:r>
            </w:p>
            <w:p w14:paraId="17B586C9" w14:textId="77777777" w:rsidR="00214154" w:rsidRDefault="00214154" w:rsidP="00214154">
              <w:pPr>
                <w:pStyle w:val="Bibliography"/>
                <w:ind w:left="720" w:hanging="720"/>
                <w:rPr>
                  <w:noProof/>
                </w:rPr>
              </w:pPr>
              <w:r>
                <w:rPr>
                  <w:noProof/>
                </w:rPr>
                <w:lastRenderedPageBreak/>
                <w:t xml:space="preserve">Rivas, B., Caballero, M., Serrano, M., &amp; Pattini, M. (2017, November). Towards a service architecture for master data exchange. </w:t>
              </w:r>
              <w:r>
                <w:rPr>
                  <w:i/>
                  <w:iCs/>
                  <w:noProof/>
                </w:rPr>
                <w:t>Computer Standards &amp; Interfaces, 54</w:t>
              </w:r>
              <w:r>
                <w:rPr>
                  <w:noProof/>
                </w:rPr>
                <w:t>(2), 94-104. doi:https://doi.org/10.1016/j.csi.2016.10.004</w:t>
              </w:r>
            </w:p>
            <w:p w14:paraId="2A007F39" w14:textId="77777777" w:rsidR="00214154" w:rsidRDefault="00214154" w:rsidP="00214154">
              <w:pPr>
                <w:pStyle w:val="Bibliography"/>
                <w:ind w:left="720" w:hanging="720"/>
                <w:rPr>
                  <w:noProof/>
                </w:rPr>
              </w:pPr>
              <w:r>
                <w:rPr>
                  <w:noProof/>
                </w:rPr>
                <w:t xml:space="preserve">Silva, C., Bhat, M., Doheny, R., &amp; Smith, R. (2019, August 6). </w:t>
              </w:r>
              <w:r>
                <w:rPr>
                  <w:i/>
                  <w:iCs/>
                  <w:noProof/>
                </w:rPr>
                <w:t>Magic Quadrant for Unified Endpoint Management Tools</w:t>
              </w:r>
              <w:r>
                <w:rPr>
                  <w:noProof/>
                </w:rPr>
                <w:t>. Retrieved July 19, 2020, from Gartner: https://www.gartner.com/doc/reprints?id=1-1ODRVFHP&amp;ct=190812&amp;st=sb</w:t>
              </w:r>
            </w:p>
            <w:p w14:paraId="701D7C01" w14:textId="77777777" w:rsidR="00214154" w:rsidRDefault="00214154" w:rsidP="00214154">
              <w:pPr>
                <w:pStyle w:val="Bibliography"/>
                <w:ind w:left="720" w:hanging="720"/>
                <w:rPr>
                  <w:noProof/>
                </w:rPr>
              </w:pPr>
              <w:r>
                <w:rPr>
                  <w:noProof/>
                </w:rPr>
                <w:t xml:space="preserve">Soseman, M. (2019, January 31). </w:t>
              </w:r>
              <w:r>
                <w:rPr>
                  <w:i/>
                  <w:iCs/>
                  <w:noProof/>
                </w:rPr>
                <w:t>Intune for mobile device management</w:t>
              </w:r>
              <w:r>
                <w:rPr>
                  <w:noProof/>
                </w:rPr>
                <w:t>. Retrieved from Agile IT: https://www.youtube.com/watch?v=00T5A1qj18E</w:t>
              </w:r>
            </w:p>
            <w:p w14:paraId="362B2B73" w14:textId="77777777" w:rsidR="00214154" w:rsidRDefault="00214154" w:rsidP="00214154">
              <w:pPr>
                <w:pStyle w:val="Bibliography"/>
                <w:ind w:left="720" w:hanging="720"/>
                <w:rPr>
                  <w:noProof/>
                </w:rPr>
              </w:pPr>
              <w:r>
                <w:rPr>
                  <w:noProof/>
                </w:rPr>
                <w:t xml:space="preserve">Tarzey, B. (2018, August). The value of unified endpoint management. </w:t>
              </w:r>
              <w:r>
                <w:rPr>
                  <w:i/>
                  <w:iCs/>
                  <w:noProof/>
                </w:rPr>
                <w:t>Computer Weekly, 16</w:t>
              </w:r>
              <w:r>
                <w:rPr>
                  <w:noProof/>
                </w:rPr>
                <w:t>. Retrieved from https://search-ebscohost-com.proxy1.ncu.edu/login.aspx?direct=true&amp;db=edb&amp;AN=131123396&amp;site=eds-live</w:t>
              </w:r>
            </w:p>
            <w:p w14:paraId="312EA2A3" w14:textId="462B5705" w:rsidR="00214154" w:rsidRDefault="00214154" w:rsidP="00214154">
              <w:pPr>
                <w:pStyle w:val="Bibliography"/>
                <w:ind w:left="720" w:hanging="720"/>
                <w:rPr>
                  <w:noProof/>
                </w:rPr>
              </w:pPr>
              <w:r>
                <w:rPr>
                  <w:noProof/>
                </w:rPr>
                <w:t xml:space="preserve">Yamin, M., &amp; Katt, B. (2019). Mobile device management (MDM) technologies, issues, and challenges. </w:t>
              </w:r>
              <w:r>
                <w:rPr>
                  <w:i/>
                  <w:iCs/>
                  <w:noProof/>
                </w:rPr>
                <w:t>Proceedings of the 3rd International Conference on Cryptography.</w:t>
              </w:r>
              <w:r>
                <w:rPr>
                  <w:noProof/>
                </w:rPr>
                <w:t xml:space="preserve"> New York, NY, USA: Association for Computing Machinery. doi:https://doi.org/10.1145/3309074.3309103</w:t>
              </w:r>
            </w:p>
            <w:p w14:paraId="0C9F9916" w14:textId="77E10205" w:rsidR="00214154" w:rsidRDefault="00214154" w:rsidP="00214154">
              <w:r>
                <w:rPr>
                  <w:b/>
                  <w:bCs/>
                  <w:noProof/>
                </w:rPr>
                <w:fldChar w:fldCharType="end"/>
              </w:r>
            </w:p>
          </w:sdtContent>
        </w:sdt>
      </w:sdtContent>
    </w:sdt>
    <w:p w14:paraId="6D0BCEB3" w14:textId="77777777" w:rsidR="00214154" w:rsidRPr="00D07359" w:rsidRDefault="00214154" w:rsidP="00214154"/>
    <w:sectPr w:rsidR="00214154" w:rsidRPr="00D07359"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8C94C" w14:textId="77777777" w:rsidR="00D74E57" w:rsidRDefault="00D74E57" w:rsidP="0082223F">
      <w:pPr>
        <w:spacing w:line="240" w:lineRule="auto"/>
      </w:pPr>
      <w:r>
        <w:separator/>
      </w:r>
    </w:p>
  </w:endnote>
  <w:endnote w:type="continuationSeparator" w:id="0">
    <w:p w14:paraId="3896978B" w14:textId="77777777" w:rsidR="00D74E57" w:rsidRDefault="00D74E5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CDF21" w14:textId="77777777" w:rsidR="00D74E57" w:rsidRDefault="00D74E57" w:rsidP="0082223F">
      <w:pPr>
        <w:spacing w:line="240" w:lineRule="auto"/>
      </w:pPr>
      <w:r>
        <w:separator/>
      </w:r>
    </w:p>
  </w:footnote>
  <w:footnote w:type="continuationSeparator" w:id="0">
    <w:p w14:paraId="7B67BD71" w14:textId="77777777" w:rsidR="00D74E57" w:rsidRDefault="00D74E5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C407C1"/>
    <w:multiLevelType w:val="hybridMultilevel"/>
    <w:tmpl w:val="C270CC1C"/>
    <w:lvl w:ilvl="0" w:tplc="685644E0">
      <w:start w:val="5"/>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42593"/>
    <w:rsid w:val="00051791"/>
    <w:rsid w:val="000952B8"/>
    <w:rsid w:val="000A570A"/>
    <w:rsid w:val="00114C64"/>
    <w:rsid w:val="00150B66"/>
    <w:rsid w:val="001601D6"/>
    <w:rsid w:val="00172CE1"/>
    <w:rsid w:val="00174C6D"/>
    <w:rsid w:val="0017701D"/>
    <w:rsid w:val="00183597"/>
    <w:rsid w:val="0019470C"/>
    <w:rsid w:val="001E04B7"/>
    <w:rsid w:val="00205E8B"/>
    <w:rsid w:val="00214154"/>
    <w:rsid w:val="00264974"/>
    <w:rsid w:val="00273A82"/>
    <w:rsid w:val="002806B7"/>
    <w:rsid w:val="002E33D9"/>
    <w:rsid w:val="003035D9"/>
    <w:rsid w:val="00327070"/>
    <w:rsid w:val="00334838"/>
    <w:rsid w:val="00375CAD"/>
    <w:rsid w:val="0038751D"/>
    <w:rsid w:val="00390628"/>
    <w:rsid w:val="003F4714"/>
    <w:rsid w:val="00401D65"/>
    <w:rsid w:val="00402FB3"/>
    <w:rsid w:val="004223E8"/>
    <w:rsid w:val="004A0806"/>
    <w:rsid w:val="004A784B"/>
    <w:rsid w:val="004E6EC8"/>
    <w:rsid w:val="004F760B"/>
    <w:rsid w:val="00515280"/>
    <w:rsid w:val="005A5852"/>
    <w:rsid w:val="005B7079"/>
    <w:rsid w:val="005C65E7"/>
    <w:rsid w:val="005D0D6C"/>
    <w:rsid w:val="0067103D"/>
    <w:rsid w:val="00675B0E"/>
    <w:rsid w:val="006867EB"/>
    <w:rsid w:val="006D01E7"/>
    <w:rsid w:val="006D3C74"/>
    <w:rsid w:val="006D793E"/>
    <w:rsid w:val="0073677D"/>
    <w:rsid w:val="00772873"/>
    <w:rsid w:val="00790315"/>
    <w:rsid w:val="007F3CF3"/>
    <w:rsid w:val="008139FB"/>
    <w:rsid w:val="0082223F"/>
    <w:rsid w:val="0086401A"/>
    <w:rsid w:val="008714C5"/>
    <w:rsid w:val="00877007"/>
    <w:rsid w:val="008B5129"/>
    <w:rsid w:val="008F21CD"/>
    <w:rsid w:val="009A757D"/>
    <w:rsid w:val="00B13ADF"/>
    <w:rsid w:val="00B50D57"/>
    <w:rsid w:val="00B558D3"/>
    <w:rsid w:val="00B84CA9"/>
    <w:rsid w:val="00BB2E89"/>
    <w:rsid w:val="00BB56AF"/>
    <w:rsid w:val="00BF23AD"/>
    <w:rsid w:val="00C42E08"/>
    <w:rsid w:val="00C54DC8"/>
    <w:rsid w:val="00C73692"/>
    <w:rsid w:val="00C93BB7"/>
    <w:rsid w:val="00C95079"/>
    <w:rsid w:val="00C97E4C"/>
    <w:rsid w:val="00CB018E"/>
    <w:rsid w:val="00CB25E9"/>
    <w:rsid w:val="00CC28DB"/>
    <w:rsid w:val="00CE4005"/>
    <w:rsid w:val="00CE4C7B"/>
    <w:rsid w:val="00D07359"/>
    <w:rsid w:val="00D16878"/>
    <w:rsid w:val="00D74E57"/>
    <w:rsid w:val="00D75C7B"/>
    <w:rsid w:val="00D85C7B"/>
    <w:rsid w:val="00DB7D59"/>
    <w:rsid w:val="00DD654B"/>
    <w:rsid w:val="00DE2224"/>
    <w:rsid w:val="00DF21A0"/>
    <w:rsid w:val="00E234E9"/>
    <w:rsid w:val="00ED1E3D"/>
    <w:rsid w:val="00ED3713"/>
    <w:rsid w:val="00EE1D0D"/>
    <w:rsid w:val="00EE2953"/>
    <w:rsid w:val="00F033B6"/>
    <w:rsid w:val="00F11C3A"/>
    <w:rsid w:val="00FC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8139FB"/>
    <w:pPr>
      <w:ind w:left="720"/>
      <w:contextualSpacing/>
    </w:pPr>
  </w:style>
  <w:style w:type="paragraph" w:styleId="Bibliography">
    <w:name w:val="Bibliography"/>
    <w:basedOn w:val="Normal"/>
    <w:next w:val="Normal"/>
    <w:uiPriority w:val="37"/>
    <w:unhideWhenUsed/>
    <w:rsid w:val="00214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5741">
      <w:bodyDiv w:val="1"/>
      <w:marLeft w:val="0"/>
      <w:marRight w:val="0"/>
      <w:marTop w:val="0"/>
      <w:marBottom w:val="0"/>
      <w:divBdr>
        <w:top w:val="none" w:sz="0" w:space="0" w:color="auto"/>
        <w:left w:val="none" w:sz="0" w:space="0" w:color="auto"/>
        <w:bottom w:val="none" w:sz="0" w:space="0" w:color="auto"/>
        <w:right w:val="none" w:sz="0" w:space="0" w:color="auto"/>
      </w:divBdr>
    </w:div>
    <w:div w:id="137694115">
      <w:bodyDiv w:val="1"/>
      <w:marLeft w:val="0"/>
      <w:marRight w:val="0"/>
      <w:marTop w:val="0"/>
      <w:marBottom w:val="0"/>
      <w:divBdr>
        <w:top w:val="none" w:sz="0" w:space="0" w:color="auto"/>
        <w:left w:val="none" w:sz="0" w:space="0" w:color="auto"/>
        <w:bottom w:val="none" w:sz="0" w:space="0" w:color="auto"/>
        <w:right w:val="none" w:sz="0" w:space="0" w:color="auto"/>
      </w:divBdr>
    </w:div>
    <w:div w:id="181359036">
      <w:bodyDiv w:val="1"/>
      <w:marLeft w:val="0"/>
      <w:marRight w:val="0"/>
      <w:marTop w:val="0"/>
      <w:marBottom w:val="0"/>
      <w:divBdr>
        <w:top w:val="none" w:sz="0" w:space="0" w:color="auto"/>
        <w:left w:val="none" w:sz="0" w:space="0" w:color="auto"/>
        <w:bottom w:val="none" w:sz="0" w:space="0" w:color="auto"/>
        <w:right w:val="none" w:sz="0" w:space="0" w:color="auto"/>
      </w:divBdr>
      <w:divsChild>
        <w:div w:id="776170147">
          <w:marLeft w:val="0"/>
          <w:marRight w:val="0"/>
          <w:marTop w:val="0"/>
          <w:marBottom w:val="0"/>
          <w:divBdr>
            <w:top w:val="none" w:sz="0" w:space="0" w:color="auto"/>
            <w:left w:val="none" w:sz="0" w:space="0" w:color="auto"/>
            <w:bottom w:val="none" w:sz="0" w:space="0" w:color="auto"/>
            <w:right w:val="none" w:sz="0" w:space="0" w:color="auto"/>
          </w:divBdr>
          <w:divsChild>
            <w:div w:id="213002917">
              <w:marLeft w:val="0"/>
              <w:marRight w:val="0"/>
              <w:marTop w:val="0"/>
              <w:marBottom w:val="0"/>
              <w:divBdr>
                <w:top w:val="none" w:sz="0" w:space="0" w:color="auto"/>
                <w:left w:val="none" w:sz="0" w:space="0" w:color="auto"/>
                <w:bottom w:val="none" w:sz="0" w:space="0" w:color="auto"/>
                <w:right w:val="none" w:sz="0" w:space="0" w:color="auto"/>
              </w:divBdr>
            </w:div>
            <w:div w:id="2134250664">
              <w:marLeft w:val="0"/>
              <w:marRight w:val="0"/>
              <w:marTop w:val="0"/>
              <w:marBottom w:val="0"/>
              <w:divBdr>
                <w:top w:val="none" w:sz="0" w:space="0" w:color="auto"/>
                <w:left w:val="none" w:sz="0" w:space="0" w:color="auto"/>
                <w:bottom w:val="none" w:sz="0" w:space="0" w:color="auto"/>
                <w:right w:val="none" w:sz="0" w:space="0" w:color="auto"/>
              </w:divBdr>
            </w:div>
            <w:div w:id="2117477949">
              <w:marLeft w:val="0"/>
              <w:marRight w:val="0"/>
              <w:marTop w:val="0"/>
              <w:marBottom w:val="0"/>
              <w:divBdr>
                <w:top w:val="none" w:sz="0" w:space="0" w:color="auto"/>
                <w:left w:val="none" w:sz="0" w:space="0" w:color="auto"/>
                <w:bottom w:val="none" w:sz="0" w:space="0" w:color="auto"/>
                <w:right w:val="none" w:sz="0" w:space="0" w:color="auto"/>
              </w:divBdr>
            </w:div>
            <w:div w:id="2680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49278">
      <w:bodyDiv w:val="1"/>
      <w:marLeft w:val="0"/>
      <w:marRight w:val="0"/>
      <w:marTop w:val="0"/>
      <w:marBottom w:val="0"/>
      <w:divBdr>
        <w:top w:val="none" w:sz="0" w:space="0" w:color="auto"/>
        <w:left w:val="none" w:sz="0" w:space="0" w:color="auto"/>
        <w:bottom w:val="none" w:sz="0" w:space="0" w:color="auto"/>
        <w:right w:val="none" w:sz="0" w:space="0" w:color="auto"/>
      </w:divBdr>
    </w:div>
    <w:div w:id="312412274">
      <w:bodyDiv w:val="1"/>
      <w:marLeft w:val="0"/>
      <w:marRight w:val="0"/>
      <w:marTop w:val="0"/>
      <w:marBottom w:val="0"/>
      <w:divBdr>
        <w:top w:val="none" w:sz="0" w:space="0" w:color="auto"/>
        <w:left w:val="none" w:sz="0" w:space="0" w:color="auto"/>
        <w:bottom w:val="none" w:sz="0" w:space="0" w:color="auto"/>
        <w:right w:val="none" w:sz="0" w:space="0" w:color="auto"/>
      </w:divBdr>
    </w:div>
    <w:div w:id="425659839">
      <w:bodyDiv w:val="1"/>
      <w:marLeft w:val="0"/>
      <w:marRight w:val="0"/>
      <w:marTop w:val="0"/>
      <w:marBottom w:val="0"/>
      <w:divBdr>
        <w:top w:val="none" w:sz="0" w:space="0" w:color="auto"/>
        <w:left w:val="none" w:sz="0" w:space="0" w:color="auto"/>
        <w:bottom w:val="none" w:sz="0" w:space="0" w:color="auto"/>
        <w:right w:val="none" w:sz="0" w:space="0" w:color="auto"/>
      </w:divBdr>
    </w:div>
    <w:div w:id="430779089">
      <w:bodyDiv w:val="1"/>
      <w:marLeft w:val="0"/>
      <w:marRight w:val="0"/>
      <w:marTop w:val="0"/>
      <w:marBottom w:val="0"/>
      <w:divBdr>
        <w:top w:val="none" w:sz="0" w:space="0" w:color="auto"/>
        <w:left w:val="none" w:sz="0" w:space="0" w:color="auto"/>
        <w:bottom w:val="none" w:sz="0" w:space="0" w:color="auto"/>
        <w:right w:val="none" w:sz="0" w:space="0" w:color="auto"/>
      </w:divBdr>
    </w:div>
    <w:div w:id="499347692">
      <w:bodyDiv w:val="1"/>
      <w:marLeft w:val="0"/>
      <w:marRight w:val="0"/>
      <w:marTop w:val="0"/>
      <w:marBottom w:val="0"/>
      <w:divBdr>
        <w:top w:val="none" w:sz="0" w:space="0" w:color="auto"/>
        <w:left w:val="none" w:sz="0" w:space="0" w:color="auto"/>
        <w:bottom w:val="none" w:sz="0" w:space="0" w:color="auto"/>
        <w:right w:val="none" w:sz="0" w:space="0" w:color="auto"/>
      </w:divBdr>
    </w:div>
    <w:div w:id="779447037">
      <w:bodyDiv w:val="1"/>
      <w:marLeft w:val="0"/>
      <w:marRight w:val="0"/>
      <w:marTop w:val="0"/>
      <w:marBottom w:val="0"/>
      <w:divBdr>
        <w:top w:val="none" w:sz="0" w:space="0" w:color="auto"/>
        <w:left w:val="none" w:sz="0" w:space="0" w:color="auto"/>
        <w:bottom w:val="none" w:sz="0" w:space="0" w:color="auto"/>
        <w:right w:val="none" w:sz="0" w:space="0" w:color="auto"/>
      </w:divBdr>
    </w:div>
    <w:div w:id="916747546">
      <w:bodyDiv w:val="1"/>
      <w:marLeft w:val="0"/>
      <w:marRight w:val="0"/>
      <w:marTop w:val="0"/>
      <w:marBottom w:val="0"/>
      <w:divBdr>
        <w:top w:val="none" w:sz="0" w:space="0" w:color="auto"/>
        <w:left w:val="none" w:sz="0" w:space="0" w:color="auto"/>
        <w:bottom w:val="none" w:sz="0" w:space="0" w:color="auto"/>
        <w:right w:val="none" w:sz="0" w:space="0" w:color="auto"/>
      </w:divBdr>
    </w:div>
    <w:div w:id="973103843">
      <w:bodyDiv w:val="1"/>
      <w:marLeft w:val="0"/>
      <w:marRight w:val="0"/>
      <w:marTop w:val="0"/>
      <w:marBottom w:val="0"/>
      <w:divBdr>
        <w:top w:val="none" w:sz="0" w:space="0" w:color="auto"/>
        <w:left w:val="none" w:sz="0" w:space="0" w:color="auto"/>
        <w:bottom w:val="none" w:sz="0" w:space="0" w:color="auto"/>
        <w:right w:val="none" w:sz="0" w:space="0" w:color="auto"/>
      </w:divBdr>
    </w:div>
    <w:div w:id="1185749198">
      <w:bodyDiv w:val="1"/>
      <w:marLeft w:val="0"/>
      <w:marRight w:val="0"/>
      <w:marTop w:val="0"/>
      <w:marBottom w:val="0"/>
      <w:divBdr>
        <w:top w:val="none" w:sz="0" w:space="0" w:color="auto"/>
        <w:left w:val="none" w:sz="0" w:space="0" w:color="auto"/>
        <w:bottom w:val="none" w:sz="0" w:space="0" w:color="auto"/>
        <w:right w:val="none" w:sz="0" w:space="0" w:color="auto"/>
      </w:divBdr>
    </w:div>
    <w:div w:id="1200975873">
      <w:bodyDiv w:val="1"/>
      <w:marLeft w:val="0"/>
      <w:marRight w:val="0"/>
      <w:marTop w:val="0"/>
      <w:marBottom w:val="0"/>
      <w:divBdr>
        <w:top w:val="none" w:sz="0" w:space="0" w:color="auto"/>
        <w:left w:val="none" w:sz="0" w:space="0" w:color="auto"/>
        <w:bottom w:val="none" w:sz="0" w:space="0" w:color="auto"/>
        <w:right w:val="none" w:sz="0" w:space="0" w:color="auto"/>
      </w:divBdr>
    </w:div>
    <w:div w:id="1245651935">
      <w:bodyDiv w:val="1"/>
      <w:marLeft w:val="0"/>
      <w:marRight w:val="0"/>
      <w:marTop w:val="0"/>
      <w:marBottom w:val="0"/>
      <w:divBdr>
        <w:top w:val="none" w:sz="0" w:space="0" w:color="auto"/>
        <w:left w:val="none" w:sz="0" w:space="0" w:color="auto"/>
        <w:bottom w:val="none" w:sz="0" w:space="0" w:color="auto"/>
        <w:right w:val="none" w:sz="0" w:space="0" w:color="auto"/>
      </w:divBdr>
    </w:div>
    <w:div w:id="1385324561">
      <w:bodyDiv w:val="1"/>
      <w:marLeft w:val="0"/>
      <w:marRight w:val="0"/>
      <w:marTop w:val="0"/>
      <w:marBottom w:val="0"/>
      <w:divBdr>
        <w:top w:val="none" w:sz="0" w:space="0" w:color="auto"/>
        <w:left w:val="none" w:sz="0" w:space="0" w:color="auto"/>
        <w:bottom w:val="none" w:sz="0" w:space="0" w:color="auto"/>
        <w:right w:val="none" w:sz="0" w:space="0" w:color="auto"/>
      </w:divBdr>
    </w:div>
    <w:div w:id="1453474255">
      <w:bodyDiv w:val="1"/>
      <w:marLeft w:val="0"/>
      <w:marRight w:val="0"/>
      <w:marTop w:val="0"/>
      <w:marBottom w:val="0"/>
      <w:divBdr>
        <w:top w:val="none" w:sz="0" w:space="0" w:color="auto"/>
        <w:left w:val="none" w:sz="0" w:space="0" w:color="auto"/>
        <w:bottom w:val="none" w:sz="0" w:space="0" w:color="auto"/>
        <w:right w:val="none" w:sz="0" w:space="0" w:color="auto"/>
      </w:divBdr>
    </w:div>
    <w:div w:id="1639921475">
      <w:bodyDiv w:val="1"/>
      <w:marLeft w:val="0"/>
      <w:marRight w:val="0"/>
      <w:marTop w:val="0"/>
      <w:marBottom w:val="0"/>
      <w:divBdr>
        <w:top w:val="none" w:sz="0" w:space="0" w:color="auto"/>
        <w:left w:val="none" w:sz="0" w:space="0" w:color="auto"/>
        <w:bottom w:val="none" w:sz="0" w:space="0" w:color="auto"/>
        <w:right w:val="none" w:sz="0" w:space="0" w:color="auto"/>
      </w:divBdr>
    </w:div>
    <w:div w:id="1681394040">
      <w:bodyDiv w:val="1"/>
      <w:marLeft w:val="0"/>
      <w:marRight w:val="0"/>
      <w:marTop w:val="0"/>
      <w:marBottom w:val="0"/>
      <w:divBdr>
        <w:top w:val="none" w:sz="0" w:space="0" w:color="auto"/>
        <w:left w:val="none" w:sz="0" w:space="0" w:color="auto"/>
        <w:bottom w:val="none" w:sz="0" w:space="0" w:color="auto"/>
        <w:right w:val="none" w:sz="0" w:space="0" w:color="auto"/>
      </w:divBdr>
    </w:div>
    <w:div w:id="1684161017">
      <w:bodyDiv w:val="1"/>
      <w:marLeft w:val="0"/>
      <w:marRight w:val="0"/>
      <w:marTop w:val="0"/>
      <w:marBottom w:val="0"/>
      <w:divBdr>
        <w:top w:val="none" w:sz="0" w:space="0" w:color="auto"/>
        <w:left w:val="none" w:sz="0" w:space="0" w:color="auto"/>
        <w:bottom w:val="none" w:sz="0" w:space="0" w:color="auto"/>
        <w:right w:val="none" w:sz="0" w:space="0" w:color="auto"/>
      </w:divBdr>
    </w:div>
    <w:div w:id="1739522406">
      <w:bodyDiv w:val="1"/>
      <w:marLeft w:val="0"/>
      <w:marRight w:val="0"/>
      <w:marTop w:val="0"/>
      <w:marBottom w:val="0"/>
      <w:divBdr>
        <w:top w:val="none" w:sz="0" w:space="0" w:color="auto"/>
        <w:left w:val="none" w:sz="0" w:space="0" w:color="auto"/>
        <w:bottom w:val="none" w:sz="0" w:space="0" w:color="auto"/>
        <w:right w:val="none" w:sz="0" w:space="0" w:color="auto"/>
      </w:divBdr>
    </w:div>
    <w:div w:id="1795635905">
      <w:bodyDiv w:val="1"/>
      <w:marLeft w:val="0"/>
      <w:marRight w:val="0"/>
      <w:marTop w:val="0"/>
      <w:marBottom w:val="0"/>
      <w:divBdr>
        <w:top w:val="none" w:sz="0" w:space="0" w:color="auto"/>
        <w:left w:val="none" w:sz="0" w:space="0" w:color="auto"/>
        <w:bottom w:val="none" w:sz="0" w:space="0" w:color="auto"/>
        <w:right w:val="none" w:sz="0" w:space="0" w:color="auto"/>
      </w:divBdr>
    </w:div>
    <w:div w:id="1851479898">
      <w:bodyDiv w:val="1"/>
      <w:marLeft w:val="0"/>
      <w:marRight w:val="0"/>
      <w:marTop w:val="0"/>
      <w:marBottom w:val="0"/>
      <w:divBdr>
        <w:top w:val="none" w:sz="0" w:space="0" w:color="auto"/>
        <w:left w:val="none" w:sz="0" w:space="0" w:color="auto"/>
        <w:bottom w:val="none" w:sz="0" w:space="0" w:color="auto"/>
        <w:right w:val="none" w:sz="0" w:space="0" w:color="auto"/>
      </w:divBdr>
    </w:div>
    <w:div w:id="1901481073">
      <w:bodyDiv w:val="1"/>
      <w:marLeft w:val="0"/>
      <w:marRight w:val="0"/>
      <w:marTop w:val="0"/>
      <w:marBottom w:val="0"/>
      <w:divBdr>
        <w:top w:val="none" w:sz="0" w:space="0" w:color="auto"/>
        <w:left w:val="none" w:sz="0" w:space="0" w:color="auto"/>
        <w:bottom w:val="none" w:sz="0" w:space="0" w:color="auto"/>
        <w:right w:val="none" w:sz="0" w:space="0" w:color="auto"/>
      </w:divBdr>
    </w:div>
    <w:div w:id="1994943097">
      <w:bodyDiv w:val="1"/>
      <w:marLeft w:val="0"/>
      <w:marRight w:val="0"/>
      <w:marTop w:val="0"/>
      <w:marBottom w:val="0"/>
      <w:divBdr>
        <w:top w:val="none" w:sz="0" w:space="0" w:color="auto"/>
        <w:left w:val="none" w:sz="0" w:space="0" w:color="auto"/>
        <w:bottom w:val="none" w:sz="0" w:space="0" w:color="auto"/>
        <w:right w:val="none" w:sz="0" w:space="0" w:color="auto"/>
      </w:divBdr>
    </w:div>
    <w:div w:id="2018195280">
      <w:bodyDiv w:val="1"/>
      <w:marLeft w:val="0"/>
      <w:marRight w:val="0"/>
      <w:marTop w:val="0"/>
      <w:marBottom w:val="0"/>
      <w:divBdr>
        <w:top w:val="none" w:sz="0" w:space="0" w:color="auto"/>
        <w:left w:val="none" w:sz="0" w:space="0" w:color="auto"/>
        <w:bottom w:val="none" w:sz="0" w:space="0" w:color="auto"/>
        <w:right w:val="none" w:sz="0" w:space="0" w:color="auto"/>
      </w:divBdr>
    </w:div>
    <w:div w:id="2086146521">
      <w:bodyDiv w:val="1"/>
      <w:marLeft w:val="0"/>
      <w:marRight w:val="0"/>
      <w:marTop w:val="0"/>
      <w:marBottom w:val="0"/>
      <w:divBdr>
        <w:top w:val="none" w:sz="0" w:space="0" w:color="auto"/>
        <w:left w:val="none" w:sz="0" w:space="0" w:color="auto"/>
        <w:bottom w:val="none" w:sz="0" w:space="0" w:color="auto"/>
        <w:right w:val="none" w:sz="0" w:space="0" w:color="auto"/>
      </w:divBdr>
    </w:div>
    <w:div w:id="2136023451">
      <w:bodyDiv w:val="1"/>
      <w:marLeft w:val="0"/>
      <w:marRight w:val="0"/>
      <w:marTop w:val="0"/>
      <w:marBottom w:val="0"/>
      <w:divBdr>
        <w:top w:val="none" w:sz="0" w:space="0" w:color="auto"/>
        <w:left w:val="none" w:sz="0" w:space="0" w:color="auto"/>
        <w:bottom w:val="none" w:sz="0" w:space="0" w:color="auto"/>
        <w:right w:val="none" w:sz="0" w:space="0" w:color="auto"/>
      </w:divBdr>
    </w:div>
    <w:div w:id="214441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b:RefOrder>
  </b:Source>
  <b:Source>
    <b:Tag>Riv17</b:Tag>
    <b:SourceType>JournalArticle</b:SourceType>
    <b:Guid>{C836BB89-C4AC-410B-9D0A-A32ED07396FE}</b:Guid>
    <b:Title>Towards a service architecture for master data exchange</b:Title>
    <b:JournalName>Computer Standards &amp; Interfaces</b:JournalName>
    <b:Year>2017</b:Year>
    <b:Pages>94-104</b:Pages>
    <b:Author>
      <b:Author>
        <b:NameList>
          <b:Person>
            <b:Last>Rivas</b:Last>
            <b:First>B</b:First>
          </b:Person>
          <b:Person>
            <b:Last>Caballero</b:Last>
            <b:First>M</b:First>
          </b:Person>
          <b:Person>
            <b:Last>Serrano</b:Last>
            <b:First>M</b:First>
          </b:Person>
          <b:Person>
            <b:Last>Pattini</b:Last>
            <b:First>M</b:First>
          </b:Person>
        </b:NameList>
      </b:Author>
    </b:Author>
    <b:Month>November</b:Month>
    <b:Volume>54</b:Volume>
    <b:Issue>2</b:Issue>
    <b:DOI>https://doi.org/10.1016/j.csi.2016.10.004</b:DOI>
    <b:RefOrder>2</b:RefOrder>
  </b:Source>
  <b:Source>
    <b:Tag>Tar18</b:Tag>
    <b:SourceType>JournalArticle</b:SourceType>
    <b:Guid>{572C9E1A-8BCC-4EC5-9802-8F9E52B21BF9}</b:Guid>
    <b:Title>The value of unified endpoint management</b:Title>
    <b:JournalName>Computer Weekly</b:JournalName>
    <b:Year>2018</b:Year>
    <b:Author>
      <b:Author>
        <b:NameList>
          <b:Person>
            <b:Last>Tarzey</b:Last>
            <b:First>B</b:First>
          </b:Person>
        </b:NameList>
      </b:Author>
    </b:Author>
    <b:Month>August</b:Month>
    <b:Volume>16</b:Volume>
    <b:URL>https://search-ebscohost-com.proxy1.ncu.edu/login.aspx?direct=true&amp;db=edb&amp;AN=131123396&amp;site=eds-live</b:URL>
    <b:RefOrder>3</b:RefOrder>
  </b:Source>
  <b:Source>
    <b:Tag>Lam15</b:Tag>
    <b:SourceType>JournalArticle</b:SourceType>
    <b:Guid>{E75F1908-8154-4271-9A38-CECFAE5EB247}</b:Guid>
    <b:Title>Incremental checking of Master Data Management model based on contextual graphs</b:Title>
    <b:JournalName>Enterprise Information Systems</b:JournalName>
    <b:Year>2015</b:Year>
    <b:Pages>681-708</b:Pages>
    <b:Author>
      <b:Author>
        <b:NameList>
          <b:Person>
            <b:Last>Lamolle</b:Last>
            <b:First>M</b:First>
          </b:Person>
          <b:Person>
            <b:Last>Menet</b:Last>
            <b:First>L</b:First>
          </b:Person>
          <b:Person>
            <b:Last>Le Duc</b:Last>
            <b:First>C</b:First>
          </b:Person>
        </b:NameList>
      </b:Author>
    </b:Author>
    <b:Volume>9</b:Volume>
    <b:Issue>7</b:Issue>
    <b:DOI>https://doi.org/10.1080/17517575.2013.792395</b:DOI>
    <b:RefOrder>4</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5</b:RefOrder>
  </b:Source>
  <b:Source>
    <b:Tag>Mal13</b:Tag>
    <b:SourceType>Book</b:SourceType>
    <b:Guid>{023B21E5-12C9-4AAE-BDA0-18414342641C}</b:Guid>
    <b:Author>
      <b:Author>
        <b:NameList>
          <b:Person>
            <b:Last>Mallor</b:Last>
            <b:First>J</b:First>
          </b:Person>
          <b:Person>
            <b:Last>Prenkert</b:Last>
            <b:First>J</b:First>
          </b:Person>
          <b:Person>
            <b:Last>Barnes</b:Last>
            <b:First>A</b:First>
          </b:Person>
          <b:Person>
            <b:Last>Langvardt</b:Last>
            <b:First>A</b:First>
          </b:Person>
          <b:Person>
            <b:Last>McCrory</b:Last>
            <b:First>M</b:First>
          </b:Person>
        </b:NameList>
      </b:Author>
    </b:Author>
    <b:Title>Business Law, Sixteenth Edition</b:Title>
    <b:Year>2013</b:Year>
    <b:RefOrder>6</b:RefOrder>
  </b:Source>
  <b:Source>
    <b:Tag>HIP14</b:Tag>
    <b:SourceType>InternetSite</b:SourceType>
    <b:Guid>{67546CDA-5AAB-4B01-A72B-AF5CAC8E7E41}</b:Guid>
    <b:Title>What is the HITECH Act</b:Title>
    <b:Year>2014</b:Year>
    <b:YearAccessed>2020</b:YearAccessed>
    <b:MonthAccessed>July</b:MonthAccessed>
    <b:DayAccessed>19</b:DayAccessed>
    <b:URL>https://www.hipaajournal.com/what-is-the-hitech-act/</b:URL>
    <b:InternetSiteTitle>HIPAA Journal</b:InternetSiteTitle>
    <b:Author>
      <b:Author>
        <b:Corporate>HIPAA Journal</b:Corporate>
      </b:Author>
    </b:Author>
    <b:RefOrder>8</b:RefOrder>
  </b:Source>
  <b:Source>
    <b:Tag>Gri17</b:Tag>
    <b:SourceType>JournalArticle</b:SourceType>
    <b:Guid>{1A32F0E4-E543-4B44-A4EE-A7EBF381E4F2}</b:Guid>
    <b:Title>Holding the line: events that shaped healthcare cybersecurity</b:Title>
    <b:Year>2017</b:Year>
    <b:Author>
      <b:Author>
        <b:NameList>
          <b:Person>
            <b:Last>Grimes</b:Last>
            <b:First>S</b:First>
          </b:Person>
          <b:Person>
            <b:Last>Wirth</b:Last>
            <b:First>A</b:First>
          </b:Person>
        </b:NameList>
      </b:Author>
    </b:Author>
    <b:JournalName>Biomedical Instrumentation &amp; Technology</b:JournalName>
    <b:Pages>30-32</b:Pages>
    <b:Volume>51</b:Volume>
    <b:Issue>S6</b:Issue>
    <b:DOI>https://doi-org.proxy1.ncu.edu/10.2345/0899-8205-51.s6.30</b:DOI>
    <b:RefOrder>7</b:RefOrder>
  </b:Source>
  <b:Source>
    <b:Tag>AHI14</b:Tag>
    <b:SourceType>InternetSite</b:SourceType>
    <b:Guid>{F94C8C7E-526A-4D5F-9AFE-3BE22D9ACF61}</b:Guid>
    <b:Title>HITECH HIPAA Omnibus Rule's Most Frequently Asked Questions</b:Title>
    <b:Year>2014</b:Year>
    <b:Author>
      <b:Author>
        <b:Corporate>AHIMA</b:Corporate>
      </b:Author>
    </b:Author>
    <b:Month>February</b:Month>
    <b:Day>14</b:Day>
    <b:URL>https://www.youtube.com/watch?v=TyjUbMIJ26U</b:URL>
    <b:InternetSiteTitle>YouTube</b:InternetSiteTitle>
    <b:ProductionCompany>American Health and Information Management Association</b:ProductionCompany>
    <b:RefOrder>9</b:RefOrder>
  </b:Source>
  <b:Source>
    <b:Tag>EDU16</b:Tag>
    <b:SourceType>InternetSite</b:SourceType>
    <b:Guid>{2C5360E6-8AE8-4F17-B175-A912D3CFF673}</b:Guid>
    <b:Author>
      <b:Author>
        <b:Corporate>EDUStaff</b:Corporate>
      </b:Author>
    </b:Author>
    <b:Title>SubTalk: FERPA What You Should Know</b:Title>
    <b:InternetSiteTitle>YouTube</b:InternetSiteTitle>
    <b:Year>2016</b:Year>
    <b:Month>May</b:Month>
    <b:Day>3</b:Day>
    <b:URL>https://www.youtube.com/watch?v=eIOmskTvp08</b:URL>
    <b:RefOrder>10</b:RefOrder>
  </b:Source>
  <b:Source>
    <b:Tag>Lan14</b:Tag>
    <b:SourceType>InternetSite</b:SourceType>
    <b:Guid>{AA6F6914-CE61-45A4-B03A-74F4FFFAAF1C}</b:Guid>
    <b:Author>
      <b:Author>
        <b:NameList>
          <b:Person>
            <b:Last>Langlois</b:Last>
            <b:First>S</b:First>
          </b:Person>
        </b:NameList>
      </b:Author>
    </b:Author>
    <b:Title>FERPA rules and responsibilities training</b:Title>
    <b:InternetSiteTitle>Harrison County Department of Education</b:InternetSiteTitle>
    <b:Year>2014</b:Year>
    <b:Month>June</b:Month>
    <b:Day>5</b:Day>
    <b:URL>https://www.youtube.com/watch?v=2TkEHLXLhK0</b:URL>
    <b:RefOrder>16</b:RefOrder>
  </b:Source>
  <b:Source>
    <b:Tag>Ban17</b:Tag>
    <b:SourceType>JournalArticle</b:SourceType>
    <b:Guid>{A52AF3ED-4EC3-4DC1-A2C4-AD13B85AF678}</b:Guid>
    <b:Author>
      <b:Author>
        <b:NameList>
          <b:Person>
            <b:Last>Banks</b:Last>
            <b:First>W</b:First>
          </b:Person>
        </b:NameList>
      </b:Author>
    </b:Author>
    <b:Title>Cyber espionage and electronic surveillance: beyond the media coverage</b:Title>
    <b:JournalName>Emory Law Journal</b:JournalName>
    <b:Year>2017</b:Year>
    <b:Pages>513-525</b:Pages>
    <b:Volume>66</b:Volume>
    <b:Issue>3</b:Issue>
    <b:URL> https://search-ebscohost-com.proxy1.ncu.edu/login.aspx?direct=true&amp;db=ofs&amp;AN=121933698&amp;site=eds-live</b:URL>
    <b:RefOrder>12</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11</b:RefOrder>
  </b:Source>
  <b:Source>
    <b:Tag>ERM14</b:Tag>
    <b:SourceType>InternetSite</b:SourceType>
    <b:Guid>{BB16438C-8DC9-4139-AC96-4435E8238642}</b:Guid>
    <b:Title>Managing risks of the mobile enterprise</b:Title>
    <b:InternetSiteTitle>NC State: Enterprise Risk Management Initiative</b:InternetSiteTitle>
    <b:Year>2014</b:Year>
    <b:URL>https://erm.ncsu.edu/library/article/manage-risks-mobile-enterprise</b:URL>
    <b:Author>
      <b:Author>
        <b:Corporate>ERM Initiative Faculty</b:Corporate>
      </b:Author>
    </b:Author>
    <b:YearAccessed>2020</b:YearAccessed>
    <b:MonthAccessed>July</b:MonthAccessed>
    <b:DayAccessed>19</b:DayAccessed>
    <b:RefOrder>13</b:RefOrder>
  </b:Source>
  <b:Source>
    <b:Tag>Yam19</b:Tag>
    <b:SourceType>ConferenceProceedings</b:SourceType>
    <b:Guid>{49B4C0EE-8A32-4EED-A90E-5B51F7475B11}</b:Guid>
    <b:Title>Mobile device management (MDM) technologies, issues and challenges</b:Title>
    <b:Year>2019</b:Year>
    <b:Author>
      <b:Author>
        <b:NameList>
          <b:Person>
            <b:Last>Yamin</b:Last>
            <b:First>M</b:First>
          </b:Person>
          <b:Person>
            <b:Last>Katt</b:Last>
            <b:First>B</b:First>
          </b:Person>
        </b:NameList>
      </b:Author>
    </b:Author>
    <b:City>New York, NY, USA</b:City>
    <b:Publisher>Association for Computing Machinery</b:Publisher>
    <b:DOI>https://doi.org/10.1145/3309074.3309103</b:DOI>
    <b:ConferenceName>Proceedings of the 3rd International Conference on Cryptography</b:ConferenceName>
    <b:RefOrder>14</b:RefOrder>
  </b:Source>
  <b:Source>
    <b:Tag>Sos19</b:Tag>
    <b:SourceType>InternetSite</b:SourceType>
    <b:Guid>{CA87D10A-95A4-4FD0-9B6B-3815CA0F9D18}</b:Guid>
    <b:Title>Intune for mobile device management</b:Title>
    <b:Year>2019</b:Year>
    <b:Author>
      <b:Author>
        <b:NameList>
          <b:Person>
            <b:Last>Soseman</b:Last>
            <b:First>M</b:First>
          </b:Person>
        </b:NameList>
      </b:Author>
    </b:Author>
    <b:InternetSiteTitle>Agile IT</b:InternetSiteTitle>
    <b:Month>January</b:Month>
    <b:Day>31</b:Day>
    <b:URL>https://www.youtube.com/watch?v=00T5A1qj18E</b:URL>
    <b:RefOrder>18</b:RefOrder>
  </b:Source>
  <b:Source>
    <b:Tag>Mobon</b:Tag>
    <b:SourceType>InternetSite</b:SourceType>
    <b:Guid>{3540B7D8-0411-4DA8-9AF8-49ABF70FD683}</b:Guid>
    <b:Author>
      <b:Author>
        <b:Corporate>MobileIron</b:Corporate>
      </b:Author>
    </b:Author>
    <b:Title>How does MobileIron work</b:Title>
    <b:InternetSiteTitle>YouTube</b:InternetSiteTitle>
    <b:Year>2020</b:Year>
    <b:Month>June</b:Month>
    <b:Day>29</b:Day>
    <b:URL>https://www.youtube.com/watch?v=00T5A1qj18E</b:URL>
    <b:RefOrder>19</b:RefOrder>
  </b:Source>
  <b:Source>
    <b:Tag>Sil19</b:Tag>
    <b:SourceType>InternetSite</b:SourceType>
    <b:Guid>{BD6CC352-9A2A-4922-AE3E-9B468344EC55}</b:Guid>
    <b:Author>
      <b:Author>
        <b:NameList>
          <b:Person>
            <b:Last>Silva</b:Last>
            <b:First>C</b:First>
          </b:Person>
          <b:Person>
            <b:Last>Bhat</b:Last>
            <b:First>M</b:First>
          </b:Person>
          <b:Person>
            <b:Last>Doheny</b:Last>
            <b:First>R</b:First>
          </b:Person>
          <b:Person>
            <b:Last>Smith</b:Last>
            <b:First>R</b:First>
          </b:Person>
        </b:NameList>
      </b:Author>
    </b:Author>
    <b:Title>Magic Quadrant for Unified Endpoint Management Tools</b:Title>
    <b:InternetSiteTitle>Gartner</b:InternetSiteTitle>
    <b:Year>2019</b:Year>
    <b:Month>August</b:Month>
    <b:Day>6</b:Day>
    <b:URL>https://www.gartner.com/doc/reprints?id=1-1ODRVFHP&amp;ct=190812&amp;st=sb</b:URL>
    <b:YearAccessed>2020</b:YearAccessed>
    <b:MonthAccessed>July</b:MonthAccessed>
    <b:DayAccessed>19</b:DayAccessed>
    <b:RefOrder>20</b:RefOrder>
  </b:Source>
  <b:Source>
    <b:Tag>Jac13</b:Tag>
    <b:SourceType>InternetSite</b:SourceType>
    <b:Guid>{142B55A1-17D3-4940-AF9E-E9A13BEA558D}</b:Guid>
    <b:Title>Accountability framework for the implementation of the GSMA privacy design guidelines for mobile app development</b:Title>
    <b:InternetSiteTitle>Global System for Mobile Communications Association</b:InternetSiteTitle>
    <b:Year>2013</b:Year>
    <b:Month>January</b:Month>
    <b:URL>https://www.gsma.com/publicpolicy/wp-content/uploads/2013/01/Accountability-framework-final.pdf</b:URL>
    <b:Author>
      <b:Author>
        <b:NameList>
          <b:Person>
            <b:Last>Jackson</b:Last>
            <b:First>N</b:First>
          </b:Person>
          <b:Person>
            <b:Last>Walshe</b:Last>
            <b:First>P</b:First>
          </b:Person>
        </b:NameList>
      </b:Author>
    </b:Author>
    <b:RefOrder>15</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17</b:RefOrder>
  </b:Source>
</b:Sources>
</file>

<file path=customXml/itemProps1.xml><?xml version="1.0" encoding="utf-8"?>
<ds:datastoreItem xmlns:ds="http://schemas.openxmlformats.org/officeDocument/2006/customXml" ds:itemID="{D507A96F-4C3A-4568-B501-222894CAB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12</Pages>
  <Words>2878</Words>
  <Characters>16410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79</cp:revision>
  <dcterms:created xsi:type="dcterms:W3CDTF">2019-05-19T17:38:00Z</dcterms:created>
  <dcterms:modified xsi:type="dcterms:W3CDTF">2020-07-20T01:45:00Z</dcterms:modified>
</cp:coreProperties>
</file>