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01BB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 xml:space="preserve">Before building a </w:t>
      </w:r>
      <w:proofErr w:type="gramStart"/>
      <w:r w:rsidR="00864B1A">
        <w:t>risk</w:t>
      </w:r>
      <w:proofErr w:type="gramEnd"/>
      <w:r w:rsidR="00864B1A">
        <w:t xml:space="preserve">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66379364">
            <wp:extent cx="2602954" cy="331372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617" cy="3833976"/>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2C05EB15"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xml:space="preserve">.  These additional considerations include policies, continuity planning, ethical norms, and legal expectations.  </w:t>
      </w:r>
    </w:p>
    <w:p w14:paraId="460EF6C5" w14:textId="0082C7BB"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0A4FD28E" w14:textId="3851E6B5" w:rsidR="005737A3" w:rsidRDefault="005737A3" w:rsidP="005737A3">
      <w:pPr>
        <w:pStyle w:val="Heading2"/>
      </w:pPr>
      <w:r>
        <w:t>Organizational Chart</w:t>
      </w:r>
    </w:p>
    <w:p w14:paraId="2EC39A86" w14:textId="77777777" w:rsidR="009073E6" w:rsidRDefault="009073E6" w:rsidP="009073E6">
      <w:pPr>
        <w:pStyle w:val="Caption"/>
      </w:pPr>
      <w:r>
        <w:t>Table 1: Stakeholders</w:t>
      </w:r>
    </w:p>
    <w:tbl>
      <w:tblPr>
        <w:tblStyle w:val="GridTable4"/>
        <w:tblW w:w="0" w:type="auto"/>
        <w:tblLook w:val="04A0" w:firstRow="1" w:lastRow="0" w:firstColumn="1" w:lastColumn="0" w:noHBand="0" w:noVBand="1"/>
      </w:tblPr>
      <w:tblGrid>
        <w:gridCol w:w="4675"/>
        <w:gridCol w:w="4675"/>
      </w:tblGrid>
      <w:tr w:rsidR="009073E6" w14:paraId="3529F038"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BD85B" w14:textId="77777777" w:rsidR="009073E6" w:rsidRDefault="009073E6" w:rsidP="00FE6E75">
            <w:pPr>
              <w:jc w:val="center"/>
            </w:pPr>
            <w:r>
              <w:t>Team/Role</w:t>
            </w:r>
          </w:p>
        </w:tc>
        <w:tc>
          <w:tcPr>
            <w:tcW w:w="4675" w:type="dxa"/>
          </w:tcPr>
          <w:p w14:paraId="5E77CE15" w14:textId="77777777" w:rsidR="009073E6" w:rsidRDefault="009073E6"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9073E6" w14:paraId="3A17FF5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16019" w14:textId="77777777" w:rsidR="009073E6" w:rsidRPr="004D677B" w:rsidRDefault="009073E6"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5B006B0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9073E6" w14:paraId="05A2581C"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AB3466" w14:textId="77777777" w:rsidR="009073E6" w:rsidRPr="004D677B" w:rsidRDefault="009073E6" w:rsidP="00FE6E75">
            <w:pPr>
              <w:rPr>
                <w:b w:val="0"/>
                <w:bCs w:val="0"/>
              </w:rPr>
            </w:pPr>
            <w:r w:rsidRPr="004D677B">
              <w:rPr>
                <w:b w:val="0"/>
                <w:bCs w:val="0"/>
              </w:rPr>
              <w:t>Security Engineer</w:t>
            </w:r>
            <w:r>
              <w:rPr>
                <w:b w:val="0"/>
                <w:bCs w:val="0"/>
              </w:rPr>
              <w:t>s</w:t>
            </w:r>
          </w:p>
        </w:tc>
        <w:tc>
          <w:tcPr>
            <w:tcW w:w="4675" w:type="dxa"/>
          </w:tcPr>
          <w:p w14:paraId="540602B2"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9073E6" w14:paraId="79F6F5F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ADDCC" w14:textId="77777777" w:rsidR="009073E6" w:rsidRPr="004D677B" w:rsidRDefault="009073E6" w:rsidP="00FE6E75">
            <w:pPr>
              <w:rPr>
                <w:b w:val="0"/>
                <w:bCs w:val="0"/>
              </w:rPr>
            </w:pPr>
            <w:r w:rsidRPr="004D677B">
              <w:rPr>
                <w:b w:val="0"/>
                <w:bCs w:val="0"/>
              </w:rPr>
              <w:t>Software Engineer</w:t>
            </w:r>
            <w:r>
              <w:rPr>
                <w:b w:val="0"/>
                <w:bCs w:val="0"/>
              </w:rPr>
              <w:t>s</w:t>
            </w:r>
          </w:p>
        </w:tc>
        <w:tc>
          <w:tcPr>
            <w:tcW w:w="4675" w:type="dxa"/>
          </w:tcPr>
          <w:p w14:paraId="61BBBAB7"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9073E6" w14:paraId="4EA7553D"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247E040" w14:textId="77777777" w:rsidR="009073E6" w:rsidRPr="004D677B" w:rsidRDefault="009073E6" w:rsidP="00FE6E75">
            <w:pPr>
              <w:rPr>
                <w:b w:val="0"/>
                <w:bCs w:val="0"/>
              </w:rPr>
            </w:pPr>
            <w:r w:rsidRPr="004D677B">
              <w:rPr>
                <w:b w:val="0"/>
                <w:bCs w:val="0"/>
              </w:rPr>
              <w:t>Program Manager</w:t>
            </w:r>
            <w:r>
              <w:rPr>
                <w:b w:val="0"/>
                <w:bCs w:val="0"/>
              </w:rPr>
              <w:t>s</w:t>
            </w:r>
          </w:p>
        </w:tc>
        <w:tc>
          <w:tcPr>
            <w:tcW w:w="4675" w:type="dxa"/>
          </w:tcPr>
          <w:p w14:paraId="6A72BC1B"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9073E6" w14:paraId="50A5B428"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7DE18D" w14:textId="77777777" w:rsidR="009073E6" w:rsidRPr="004D677B" w:rsidRDefault="009073E6" w:rsidP="00FE6E75">
            <w:pPr>
              <w:rPr>
                <w:b w:val="0"/>
                <w:bCs w:val="0"/>
              </w:rPr>
            </w:pPr>
            <w:r w:rsidRPr="004D677B">
              <w:rPr>
                <w:b w:val="0"/>
                <w:bCs w:val="0"/>
              </w:rPr>
              <w:t>Support Engineer</w:t>
            </w:r>
            <w:r>
              <w:rPr>
                <w:b w:val="0"/>
                <w:bCs w:val="0"/>
              </w:rPr>
              <w:t>s</w:t>
            </w:r>
          </w:p>
        </w:tc>
        <w:tc>
          <w:tcPr>
            <w:tcW w:w="4675" w:type="dxa"/>
          </w:tcPr>
          <w:p w14:paraId="6C4290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9073E6" w14:paraId="1382B4D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FFD3D91" w14:textId="77777777" w:rsidR="009073E6" w:rsidRPr="004D677B" w:rsidRDefault="009073E6" w:rsidP="00FE6E75">
            <w:pPr>
              <w:rPr>
                <w:b w:val="0"/>
                <w:bCs w:val="0"/>
              </w:rPr>
            </w:pPr>
            <w:r w:rsidRPr="004D677B">
              <w:rPr>
                <w:b w:val="0"/>
                <w:bCs w:val="0"/>
              </w:rPr>
              <w:t>User Experience (UX)</w:t>
            </w:r>
          </w:p>
        </w:tc>
        <w:tc>
          <w:tcPr>
            <w:tcW w:w="4675" w:type="dxa"/>
          </w:tcPr>
          <w:p w14:paraId="312FD81E"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9073E6" w14:paraId="07B16BDE"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616472" w14:textId="77777777" w:rsidR="009073E6" w:rsidRPr="004D677B" w:rsidRDefault="009073E6" w:rsidP="00FE6E75">
            <w:pPr>
              <w:rPr>
                <w:b w:val="0"/>
                <w:bCs w:val="0"/>
              </w:rPr>
            </w:pPr>
            <w:r>
              <w:rPr>
                <w:b w:val="0"/>
                <w:bCs w:val="0"/>
              </w:rPr>
              <w:t xml:space="preserve">Legal and </w:t>
            </w:r>
            <w:r w:rsidRPr="004D677B">
              <w:rPr>
                <w:b w:val="0"/>
                <w:bCs w:val="0"/>
              </w:rPr>
              <w:t>Compliance</w:t>
            </w:r>
          </w:p>
        </w:tc>
        <w:tc>
          <w:tcPr>
            <w:tcW w:w="4675" w:type="dxa"/>
          </w:tcPr>
          <w:p w14:paraId="6B571AF0"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9073E6" w14:paraId="113CC13F"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C83CEBC" w14:textId="77777777" w:rsidR="009073E6" w:rsidRPr="004D677B" w:rsidRDefault="009073E6" w:rsidP="00FE6E75">
            <w:pPr>
              <w:rPr>
                <w:b w:val="0"/>
                <w:bCs w:val="0"/>
              </w:rPr>
            </w:pPr>
            <w:r>
              <w:rPr>
                <w:b w:val="0"/>
                <w:bCs w:val="0"/>
              </w:rPr>
              <w:t>Marketing and Sales</w:t>
            </w:r>
          </w:p>
        </w:tc>
        <w:tc>
          <w:tcPr>
            <w:tcW w:w="4675" w:type="dxa"/>
          </w:tcPr>
          <w:p w14:paraId="279EC6C8"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9073E6" w14:paraId="6068581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E5883" w14:textId="77777777" w:rsidR="009073E6" w:rsidRDefault="009073E6" w:rsidP="00FE6E75">
            <w:pPr>
              <w:rPr>
                <w:b w:val="0"/>
                <w:bCs w:val="0"/>
              </w:rPr>
            </w:pPr>
            <w:r>
              <w:rPr>
                <w:b w:val="0"/>
                <w:bCs w:val="0"/>
              </w:rPr>
              <w:t>Accounting and Finance</w:t>
            </w:r>
          </w:p>
        </w:tc>
        <w:tc>
          <w:tcPr>
            <w:tcW w:w="4675" w:type="dxa"/>
          </w:tcPr>
          <w:p w14:paraId="2126967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9073E6" w14:paraId="3BF3863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E08F913" w14:textId="77777777" w:rsidR="009073E6" w:rsidRDefault="009073E6" w:rsidP="00FE6E75">
            <w:pPr>
              <w:rPr>
                <w:b w:val="0"/>
                <w:bCs w:val="0"/>
              </w:rPr>
            </w:pPr>
            <w:r>
              <w:rPr>
                <w:b w:val="0"/>
                <w:bCs w:val="0"/>
              </w:rPr>
              <w:t>Senior Leadership</w:t>
            </w:r>
          </w:p>
        </w:tc>
        <w:tc>
          <w:tcPr>
            <w:tcW w:w="4675" w:type="dxa"/>
          </w:tcPr>
          <w:p w14:paraId="59480BA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9073E6" w14:paraId="7D5EB770"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FEA0F" w14:textId="77777777" w:rsidR="009073E6" w:rsidRDefault="009073E6" w:rsidP="00FE6E75">
            <w:pPr>
              <w:rPr>
                <w:b w:val="0"/>
                <w:bCs w:val="0"/>
              </w:rPr>
            </w:pPr>
            <w:r>
              <w:rPr>
                <w:b w:val="0"/>
                <w:bCs w:val="0"/>
              </w:rPr>
              <w:t>Technical Writers</w:t>
            </w:r>
          </w:p>
        </w:tc>
        <w:tc>
          <w:tcPr>
            <w:tcW w:w="4675" w:type="dxa"/>
          </w:tcPr>
          <w:p w14:paraId="4872F6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9073E6" w14:paraId="4A2BA3B3"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5B045FD" w14:textId="77777777" w:rsidR="009073E6" w:rsidRDefault="009073E6" w:rsidP="00FE6E75">
            <w:pPr>
              <w:rPr>
                <w:b w:val="0"/>
                <w:bCs w:val="0"/>
              </w:rPr>
            </w:pPr>
            <w:r>
              <w:rPr>
                <w:b w:val="0"/>
                <w:bCs w:val="0"/>
              </w:rPr>
              <w:t>Network Security Engineers</w:t>
            </w:r>
          </w:p>
        </w:tc>
        <w:tc>
          <w:tcPr>
            <w:tcW w:w="4675" w:type="dxa"/>
          </w:tcPr>
          <w:p w14:paraId="4679CFF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9073E6" w14:paraId="7E2E67D4"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33DEA0" w14:textId="77777777" w:rsidR="009073E6" w:rsidRDefault="009073E6" w:rsidP="00FE6E75">
            <w:pPr>
              <w:rPr>
                <w:b w:val="0"/>
                <w:bCs w:val="0"/>
              </w:rPr>
            </w:pPr>
            <w:r>
              <w:rPr>
                <w:b w:val="0"/>
                <w:bCs w:val="0"/>
              </w:rPr>
              <w:t>Operations</w:t>
            </w:r>
          </w:p>
        </w:tc>
        <w:tc>
          <w:tcPr>
            <w:tcW w:w="4675" w:type="dxa"/>
          </w:tcPr>
          <w:p w14:paraId="6BF0565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390C7A7B" w14:textId="77777777" w:rsidR="009073E6" w:rsidRPr="009073E6" w:rsidRDefault="009073E6" w:rsidP="009073E6"/>
    <w:p w14:paraId="207A34F7" w14:textId="555230D1" w:rsidR="00A358F7" w:rsidRP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63892E5D" w14:textId="5F6B63A3" w:rsidR="005737A3" w:rsidRDefault="005737A3" w:rsidP="005737A3">
      <w:pPr>
        <w:pStyle w:val="Heading1"/>
      </w:pPr>
      <w:r>
        <w:t>Section II: Objectives of Risk Management Plan</w:t>
      </w:r>
    </w:p>
    <w:p w14:paraId="35DA5189" w14:textId="2762429C" w:rsidR="00D86416" w:rsidRP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6D0D574C" w14:textId="0A890AE2" w:rsidR="005737A3" w:rsidRDefault="005737A3" w:rsidP="005737A3">
      <w:pPr>
        <w:pStyle w:val="Heading1"/>
      </w:pPr>
      <w:bookmarkStart w:id="0" w:name="_Hlk46607831"/>
      <w:r>
        <w:t>Section III: Business Impact Analysis</w:t>
      </w:r>
    </w:p>
    <w:p w14:paraId="3CC809B0" w14:textId="77777777" w:rsidR="008310E7"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w:t>
      </w:r>
      <w:r w:rsidR="008310E7">
        <w:lastRenderedPageBreak/>
        <w:t>building an asset dependency graph and then weighting the edges equal to the value at risk.  For instance, a service interruption of the branch office VPN link cascades to workstations at that venue.  Since employees cannot promptly access central information, they will miss out on sales opportunities.  NCU-F can then measure the order flow across this channel to quantify the loss from an hour disconnection.</w:t>
      </w:r>
    </w:p>
    <w:p w14:paraId="689BB3F2" w14:textId="1E1B0E69" w:rsidR="000213F9" w:rsidRPr="000213F9" w:rsidRDefault="008310E7" w:rsidP="008310E7">
      <w:pPr>
        <w:ind w:firstLine="720"/>
      </w:pPr>
      <w:r>
        <w:t>Having this information provides two critical pieces of information.  First, it identifies dependencies for the response plan.  Second, it enables the business to assess if the risk is acceptable.  For example, this channel has a mean failure rate of 0.1% and annually operates 2032 hours (8 hours x 254 days).  The business will experience 2.0 hours of service interruption per year.  If the order flow across this media is sufficiently high, then it highlights the need for purchasing a redundant connection.</w:t>
      </w:r>
    </w:p>
    <w:bookmarkEnd w:id="0"/>
    <w:p w14:paraId="5C982AD3" w14:textId="75952799" w:rsidR="005737A3" w:rsidRDefault="005737A3" w:rsidP="005737A3">
      <w:pPr>
        <w:pStyle w:val="Heading1"/>
      </w:pPr>
      <w:r>
        <w:t>Section IV: Plan of Action and Milestones</w:t>
      </w:r>
    </w:p>
    <w:p w14:paraId="761D1FF9" w14:textId="59078B59" w:rsidR="005737A3" w:rsidRDefault="005737A3" w:rsidP="005737A3">
      <w:pPr>
        <w:pStyle w:val="Heading1"/>
      </w:pPr>
      <w:r>
        <w:t>Section V: Risk Reduction for Mobile Device Management</w:t>
      </w:r>
    </w:p>
    <w:p w14:paraId="17C0517E" w14:textId="77777777"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xml:space="preserve">.  Now that employees could locally cache information on their corporate laptops and workstations, productivity increased, but ensuring data confidentiality and integrity became more complex.  </w:t>
      </w:r>
    </w:p>
    <w:p w14:paraId="124AD6FA" w14:textId="58171A73" w:rsidR="00D80C70" w:rsidRPr="00174C6D" w:rsidRDefault="00D80C70" w:rsidP="00D80C70">
      <w:pPr>
        <w:ind w:firstLine="720"/>
      </w:pPr>
      <w:r>
        <w:lastRenderedPageBreak/>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With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77777777" w:rsidR="00D80C70" w:rsidRDefault="00D80C70" w:rsidP="00D80C70">
      <w:pPr>
        <w:pStyle w:val="Heading2"/>
      </w:pPr>
      <w:r>
        <w:t>Addressing these issues</w:t>
      </w:r>
    </w:p>
    <w:p w14:paraId="67CDE150" w14:textId="77777777" w:rsidR="00D80C70" w:rsidRPr="00515280" w:rsidRDefault="00D80C70" w:rsidP="00D80C70">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w:t>
      </w:r>
      <w:r>
        <w:lastRenderedPageBreak/>
        <w:t>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095E9E53" w:rsidR="005737A3" w:rsidRDefault="005737A3" w:rsidP="005737A3">
      <w:pPr>
        <w:pStyle w:val="Heading1"/>
      </w:pPr>
      <w:r>
        <w:t>Section VI: Tooling Recommendations</w:t>
      </w:r>
    </w:p>
    <w:p w14:paraId="0DEC82E3" w14:textId="4ECE7868" w:rsidR="008310E7" w:rsidRPr="008310E7" w:rsidRDefault="008310E7" w:rsidP="008310E7">
      <w:pPr>
        <w:pStyle w:val="Heading2"/>
      </w:pPr>
      <w:r>
        <w:t>Standard Protections</w:t>
      </w:r>
    </w:p>
    <w:p w14:paraId="3E1202F1" w14:textId="775407AF"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deploy </w:t>
      </w:r>
      <w:proofErr w:type="spellStart"/>
      <w:r w:rsidR="00A358F7">
        <w:t>HoneyPots</w:t>
      </w:r>
      <w:proofErr w:type="spellEnd"/>
      <w:r>
        <w:t xml:space="preserve"> and </w:t>
      </w:r>
      <w:proofErr w:type="spellStart"/>
      <w:r>
        <w:t>HoneyNets</w:t>
      </w:r>
      <w:proofErr w:type="spellEnd"/>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4E7D076B" w:rsidR="00A86D02"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p>
    <w:p w14:paraId="1CD98970" w14:textId="77777777"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In addition to these failure scenarios, there must also be considerations around industry norms and regulatory requirements.  Not if, but when customers file litigation against NCU-F, the business must have </w:t>
      </w:r>
      <w:r>
        <w:lastRenderedPageBreak/>
        <w:t xml:space="preserve">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3D2F7086" w:rsidR="00A86D02" w:rsidRDefault="00A86D02" w:rsidP="00A86D02">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w:t>
      </w:r>
    </w:p>
    <w:p w14:paraId="44DD36BD" w14:textId="43B660E3"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4EA00B24"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xml:space="preserve">.   By design, anonymous </w:t>
      </w:r>
      <w:r>
        <w:lastRenderedPageBreak/>
        <w:t>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controls to meet the challenges of these application-specific vulnerabilities using strategies that encompasses people, processes, and products.</w:t>
      </w:r>
    </w:p>
    <w:p w14:paraId="6CD83094" w14:textId="741820E5" w:rsidR="009277F4" w:rsidRDefault="009277F4" w:rsidP="009277F4">
      <w:pPr>
        <w:pStyle w:val="Heading2"/>
      </w:pPr>
      <w:r>
        <w:t>Influence of Geography</w:t>
      </w:r>
    </w:p>
    <w:p w14:paraId="6F584076" w14:textId="29BBC152"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proofErr w:type="spellStart"/>
      <w:r>
        <w:t>Deleware</w:t>
      </w:r>
      <w:proofErr w:type="spellEnd"/>
      <w:r>
        <w:t>, and the European Union, place a strong emphasis on user privacy and data protection.  When organizations violate this trust, it results in severe penalties for non-compliance.  Other nations like China and Russia, are more concerned with governmental access and can levy fines for non-compliance.</w:t>
      </w:r>
    </w:p>
    <w:p w14:paraId="22F41DB7" w14:textId="4432F4E5" w:rsidR="009277F4" w:rsidRPr="00A358F7" w:rsidRDefault="009277F4" w:rsidP="00A8113B">
      <w:pPr>
        <w:ind w:firstLine="720"/>
      </w:pPr>
      <w:r>
        <w:lastRenderedPageBreak/>
        <w:t>Organizations have legal and ethical obligations to safeguard customer privacy, using controls like Authentication, Authorization, and Auditing (AAA), and encryption of data at rest and in transit.  While industry-standard to limit access to the fewest individuals, data leaks are inevitable due to malicious theft or judicial subpoena.</w:t>
      </w:r>
      <w:r w:rsidR="009D3174">
        <w:t xml:space="preserve">  When these incidents occur, processes need to determine the scope of impact and an appropriate level of disclosure.</w:t>
      </w:r>
      <w:r w:rsidR="002100EE">
        <w:t xml:space="preserve">  It can be tempting to ignore any ethical responsibilities and only perform the bare minimum communication.  However, the truth will eventually get out, and this tactic cannot drive the narrative. </w:t>
      </w:r>
    </w:p>
    <w:p w14:paraId="5CCA0D11" w14:textId="7C81B8D2" w:rsidR="005737A3" w:rsidRDefault="00A358F7" w:rsidP="00A358F7">
      <w:pPr>
        <w:pStyle w:val="Heading1"/>
      </w:pPr>
      <w:r>
        <w:t>Section V</w:t>
      </w:r>
      <w:r w:rsidR="00A86D02">
        <w:t>I</w:t>
      </w:r>
      <w:r>
        <w:t xml:space="preserve">II: </w:t>
      </w:r>
      <w:r w:rsidR="005737A3">
        <w:t>Incident Response Process</w:t>
      </w:r>
    </w:p>
    <w:p w14:paraId="4542469A" w14:textId="025ADE87" w:rsidR="00A358F7" w:rsidRDefault="00554770" w:rsidP="00554770">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1A9B5AAA" w14:textId="77777777" w:rsidR="00A358F7" w:rsidRDefault="00A358F7" w:rsidP="00A358F7">
      <w:pPr>
        <w:pStyle w:val="Heading2"/>
      </w:pPr>
      <w:r>
        <w:t>Corporate Network</w:t>
      </w:r>
    </w:p>
    <w:p w14:paraId="54F1E1A1" w14:textId="618AAB1D" w:rsidR="00A358F7" w:rsidRDefault="00A358F7" w:rsidP="00A358F7">
      <w:pPr>
        <w:ind w:firstLine="720"/>
      </w:pPr>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w:t>
      </w:r>
      <w:r w:rsidR="00554770">
        <w:t>For instance, r</w:t>
      </w:r>
      <w:r>
        <w:t xml:space="preserve">ansomware has </w:t>
      </w:r>
      <w:proofErr w:type="gramStart"/>
      <w:r>
        <w:t>corrupt</w:t>
      </w:r>
      <w:proofErr w:type="gramEnd"/>
      <w:r>
        <w:t xml:space="preserve"> the mission-critical database and payroll department.  Without access to that database, NCU-F cannot continue any operations.  Meanwhile, the accounting department can temporarily resort to more mechanical processes or offload to </w:t>
      </w:r>
      <w:proofErr w:type="gramStart"/>
      <w:r>
        <w:t>third-parties</w:t>
      </w:r>
      <w:proofErr w:type="gramEnd"/>
      <w:r>
        <w:t xml:space="preserve">.  After identifying the most critical systems, planning needs to stop the bleeding before drilling into a longer-term solution.  For example, deploying the most recent backup of the database, </w:t>
      </w:r>
      <w:r w:rsidR="00554770">
        <w:t>updating</w:t>
      </w:r>
      <w:r>
        <w:t xml:space="preserve"> software patches, and installing new malware definitions might be an acceptable first step.  However, later cleanup will need to revisit configurations and additional access controls.</w:t>
      </w:r>
    </w:p>
    <w:p w14:paraId="5E69CE54" w14:textId="77777777" w:rsidR="00A358F7" w:rsidRDefault="00A358F7" w:rsidP="00A358F7">
      <w:pPr>
        <w:pStyle w:val="Heading2"/>
      </w:pPr>
      <w:r>
        <w:lastRenderedPageBreak/>
        <w:t>Branch Offices</w:t>
      </w:r>
    </w:p>
    <w:p w14:paraId="1C1D5B7D" w14:textId="77777777" w:rsidR="00A358F7" w:rsidRDefault="00A358F7" w:rsidP="00A358F7">
      <w:pPr>
        <w:ind w:firstLine="720"/>
      </w:pPr>
      <w:r>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reliable zero-day vulnerabilities being worth tens of thousands of dollars on the dark web, 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2D4B7E43" w14:textId="77777777" w:rsidR="00A358F7" w:rsidRDefault="00A358F7" w:rsidP="00A358F7">
      <w:pPr>
        <w:pStyle w:val="Heading2"/>
      </w:pPr>
      <w:r>
        <w:t>Cloud Technologies</w:t>
      </w:r>
    </w:p>
    <w:p w14:paraId="44379E7D" w14:textId="0F80D5F8" w:rsidR="00A358F7" w:rsidRDefault="00A358F7" w:rsidP="00A358F7">
      <w:r>
        <w:tab/>
        <w:t>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the intranet</w:t>
      </w:r>
      <w:r>
        <w:t>’</w:t>
      </w:r>
      <w:r>
        <w:t xml:space="preserve">s edge.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t>ClamAV</w:t>
      </w:r>
      <w:proofErr w:type="spellEnd"/>
      <w:r>
        <w:t xml:space="preserve"> and Cuckoo</w:t>
      </w:r>
      <w:sdt>
        <w:sdtPr>
          <w:id w:val="319467881"/>
          <w:citation/>
        </w:sdtPr>
        <w:sdtContent>
          <w:r>
            <w:fldChar w:fldCharType="begin"/>
          </w:r>
          <w:r>
            <w:instrText xml:space="preserve"> CITATION Kil171 \l 1033 </w:instrText>
          </w:r>
          <w:r>
            <w:fldChar w:fldCharType="separate"/>
          </w:r>
          <w:r>
            <w:rPr>
              <w:noProof/>
            </w:rPr>
            <w:t xml:space="preserve"> (Kilgallon, De La Rosa, &amp; Cavazos, 2017)</w:t>
          </w:r>
          <w:r>
            <w:fldChar w:fldCharType="end"/>
          </w:r>
        </w:sdtContent>
      </w:sdt>
      <w:r>
        <w:t>.</w:t>
      </w:r>
    </w:p>
    <w:p w14:paraId="24C80C8F" w14:textId="77777777" w:rsidR="00A358F7" w:rsidRDefault="00A358F7" w:rsidP="00A358F7">
      <w:pPr>
        <w:pStyle w:val="Heading2"/>
      </w:pPr>
      <w:r>
        <w:t>People</w:t>
      </w:r>
    </w:p>
    <w:p w14:paraId="29969A0D" w14:textId="5777F52D" w:rsidR="00A358F7" w:rsidRDefault="00A358F7" w:rsidP="00A358F7">
      <w:r>
        <w:lastRenderedPageBreak/>
        <w:tab/>
        <w:t>One of the byproducts of modern networks having abstract borders is that the rampant malware does not stop at devices owned exclusively by NCU-F.  Instead, it continues onto 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At a minimum, the organization has an ethical obligation to guide team members and provide anti</w:t>
      </w:r>
      <w:r>
        <w:t>-</w:t>
      </w:r>
      <w:r>
        <w:t>virus licenses.  Depending on the specifics, the company could also be liable for any damages to employee property.</w:t>
      </w:r>
    </w:p>
    <w:p w14:paraId="11A09EDF" w14:textId="77777777" w:rsidR="00A358F7" w:rsidRDefault="00A358F7" w:rsidP="00A358F7">
      <w:pPr>
        <w:pStyle w:val="Heading2"/>
      </w:pPr>
      <w:r>
        <w:t>Coming Back Stronger</w:t>
      </w:r>
    </w:p>
    <w:p w14:paraId="59FB82B0" w14:textId="77777777" w:rsidR="00A358F7" w:rsidRPr="00EB16FC" w:rsidRDefault="00A358F7" w:rsidP="00A358F7">
      <w:pPr>
        <w:ind w:firstLine="720"/>
      </w:pPr>
      <w:r>
        <w:t>After addressing the initial crisis, the business must come up with alerting and monitoring enhancements to become more proactive against future attacks.  One reason that this attack will 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p w14:paraId="3971D07D" w14:textId="1F186C82" w:rsidR="005737A3" w:rsidRDefault="00A358F7" w:rsidP="00A358F7">
      <w:pPr>
        <w:pStyle w:val="Heading1"/>
      </w:pPr>
      <w:r>
        <w:t xml:space="preserve">Section VIII: </w:t>
      </w:r>
      <w:r w:rsidR="005737A3">
        <w:t>Vulnerability Assessments</w:t>
      </w:r>
    </w:p>
    <w:p w14:paraId="4746D701" w14:textId="40F4A44D"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from that specific threat.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w:t>
      </w:r>
      <w:r>
        <w:lastRenderedPageBreak/>
        <w:t>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4598BDDD" w14:textId="77777777" w:rsidR="00A358F7" w:rsidRDefault="00A358F7" w:rsidP="00A358F7">
      <w:pPr>
        <w:pStyle w:val="Heading2"/>
      </w:pPr>
      <w:r>
        <w:t>Identification</w:t>
      </w:r>
    </w:p>
    <w:p w14:paraId="044FF1F9" w14:textId="29458828" w:rsidR="00A358F7" w:rsidRDefault="00A358F7" w:rsidP="00A358F7">
      <w:r>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3960281C" w14:textId="77777777" w:rsidR="00A358F7" w:rsidRDefault="00A358F7" w:rsidP="00A358F7">
      <w:pPr>
        <w:pStyle w:val="Caption"/>
      </w:pPr>
      <w:r>
        <w:t>Figure 3: Identification Strategies</w:t>
      </w:r>
    </w:p>
    <w:p w14:paraId="38EF83C1" w14:textId="77777777" w:rsidR="00A358F7" w:rsidRDefault="00A358F7" w:rsidP="00A358F7">
      <w:pPr>
        <w:jc w:val="center"/>
      </w:pPr>
      <w:r>
        <w:rPr>
          <w:noProof/>
        </w:rPr>
        <w:drawing>
          <wp:inline distT="0" distB="0" distL="0" distR="0" wp14:anchorId="579E44D3" wp14:editId="6DC337F4">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 xml:space="preserve">The full impact of a vulnerability might not be immediately visible, as engineering teams often copy-paste existing code and infrastructure into multiple locations.  During the planning </w:t>
      </w:r>
      <w:r>
        <w:lastRenderedPageBreak/>
        <w:t>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13FA832" w:rsidR="005737A3" w:rsidRDefault="005737A3" w:rsidP="005737A3">
      <w:pPr>
        <w:pStyle w:val="Heading1"/>
      </w:pPr>
      <w:r>
        <w:lastRenderedPageBreak/>
        <w:t xml:space="preserve">Section </w:t>
      </w:r>
      <w:r w:rsidR="00A358F7">
        <w:t>IX</w:t>
      </w:r>
      <w:r>
        <w:t>: Disaster Recovery</w:t>
      </w:r>
    </w:p>
    <w:p w14:paraId="72245C67" w14:textId="62D4EFFD" w:rsidR="004D7796" w:rsidRPr="004D7796" w:rsidRDefault="004D7796" w:rsidP="004D7796">
      <w:pPr>
        <w:ind w:firstLine="720"/>
      </w:pPr>
      <w:r>
        <w:t xml:space="preserve">The operations and security teams at </w:t>
      </w:r>
      <w:r>
        <w:t xml:space="preserve">NCU-F </w:t>
      </w:r>
      <w:r>
        <w:t>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554770">
        <w:t xml:space="preserve">  </w:t>
      </w:r>
      <w:r>
        <w:t xml:space="preserve">The compensation strategy will need to follow a procedure that restores service.  If the procedure is poorly defined or not implemented, then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632E4E58" w14:textId="0D59C10E" w:rsidR="00554770" w:rsidRDefault="00554770" w:rsidP="00554770">
      <w:r>
        <w:tab/>
        <w:t xml:space="preserve">An effective strategy for increasing availability is to remove any single point of failure and increase the replica count.  For example, an on-premise file server can synchronize into the cloud.  While employees prefer the speed and convenience of the local endpoint, having the alternative fail-over system guarantees continuity.  This general pattern of using remote locations and fail-over resources appears across the organizational footprint. </w:t>
      </w:r>
    </w:p>
    <w:p w14:paraId="70D5E7B4" w14:textId="2C9A3A5B" w:rsidR="005737A3" w:rsidRDefault="005737A3" w:rsidP="005737A3">
      <w:pPr>
        <w:pStyle w:val="Heading2"/>
      </w:pPr>
      <w:r>
        <w:t>Inventory Management</w:t>
      </w:r>
    </w:p>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lastRenderedPageBreak/>
        <w:t>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records (e.g., repudiation) from the copy.</w:t>
      </w:r>
    </w:p>
    <w:p w14:paraId="2A7069A2" w14:textId="1D9317A7" w:rsidR="005737A3" w:rsidRDefault="005737A3" w:rsidP="005737A3">
      <w:pPr>
        <w:pStyle w:val="Heading1"/>
      </w:pPr>
      <w:r>
        <w:t>Section X: Plan Verification</w:t>
      </w:r>
    </w:p>
    <w:p w14:paraId="157AE2DD" w14:textId="67FC867B" w:rsidR="005737A3" w:rsidRDefault="005737A3" w:rsidP="005737A3">
      <w:pPr>
        <w:pStyle w:val="Heading2"/>
      </w:pPr>
      <w:r>
        <w:t>Implementing Drills</w:t>
      </w:r>
    </w:p>
    <w:p w14:paraId="5DBFFBC4" w14:textId="41F99963" w:rsidR="005737A3" w:rsidRDefault="005737A3" w:rsidP="005737A3">
      <w:pPr>
        <w:pStyle w:val="Heading2"/>
      </w:pPr>
      <w:r>
        <w:t>Assessing Drills</w:t>
      </w:r>
    </w:p>
    <w:p w14:paraId="1F7E52BE" w14:textId="2EFF30B8" w:rsidR="005737A3" w:rsidRDefault="005737A3" w:rsidP="005737A3">
      <w:pPr>
        <w:pStyle w:val="Heading1"/>
      </w:pPr>
      <w:r>
        <w:t>Section X</w:t>
      </w:r>
      <w:r w:rsidR="00A86D02">
        <w:t>I</w:t>
      </w:r>
      <w:r>
        <w:t>: Dissemination</w:t>
      </w:r>
    </w:p>
    <w:p w14:paraId="01062AAA" w14:textId="0F7FEBD6" w:rsidR="005737A3" w:rsidRDefault="005737A3" w:rsidP="005737A3">
      <w:pPr>
        <w:pStyle w:val="Heading2"/>
      </w:pPr>
      <w:r>
        <w:t>Plan Distribution</w:t>
      </w:r>
    </w:p>
    <w:p w14:paraId="39873C0C" w14:textId="6C51C2D4" w:rsidR="00A358F7" w:rsidRPr="00A358F7"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For instance, NCU-F’s intrusion began with a phishing attack.  Security awareness training could reduce the likelihood of that scenario but not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Through a similar mechanism, RSA became compromised via malicious emails, automatically triggering a zero-day exploit in Adobe Flash</w:t>
      </w:r>
      <w:sdt>
        <w:sdtPr>
          <w:id w:val="-2129457131"/>
          <w:citation/>
        </w:sdtPr>
        <w:sdtContent>
          <w:r>
            <w:fldChar w:fldCharType="begin"/>
          </w:r>
          <w:r>
            <w:instrText xml:space="preserve"> CITATION Ley11 \l 1033 </w:instrText>
          </w:r>
          <w:r>
            <w:fldChar w:fldCharType="separate"/>
          </w:r>
          <w:r>
            <w:rPr>
              <w:noProof/>
            </w:rPr>
            <w:t xml:space="preserve"> (Leyden, 2011)</w:t>
          </w:r>
          <w:r>
            <w:fldChar w:fldCharType="end"/>
          </w:r>
        </w:sdtContent>
      </w:sdt>
      <w:r>
        <w:t>.  After slipping past the firewall, many enterprise environments lack defense-in-depth controls allowing lateral movement across the network</w:t>
      </w:r>
      <w:sdt>
        <w:sdtPr>
          <w:id w:val="-950852588"/>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xml:space="preserve">.  Removing these </w:t>
      </w:r>
      <w:r>
        <w:lastRenderedPageBreak/>
        <w:t>auxiliary threats requires a fundamental shift in approach that centers around zero-trust and an assume breach mindset.  Promoting such a shift is only possible under a shared vision of success and collective agreement that change is necessary.</w:t>
      </w:r>
    </w:p>
    <w:p w14:paraId="3FA1D70A" w14:textId="1250D860" w:rsidR="005737A3" w:rsidRDefault="005737A3" w:rsidP="005737A3">
      <w:pPr>
        <w:pStyle w:val="Heading2"/>
      </w:pPr>
      <w:r>
        <w:t>Awareness Training</w:t>
      </w:r>
    </w:p>
    <w:p w14:paraId="42898941" w14:textId="706E8714"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This group represents both people that want to do the right thing and the most significant slice of the pie.  Controls need to exist through compliance training that communicates the expectations and rationale of HTM.  For instance, flagging email as originating from an untrusted source provides little value when the employee 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6BB9301" w:rsidR="005737A3" w:rsidRPr="005737A3" w:rsidRDefault="005737A3" w:rsidP="005737A3">
      <w:pPr>
        <w:pStyle w:val="Heading2"/>
      </w:pPr>
      <w:r>
        <w:t>Formation of Emergency Committee Personnel</w:t>
      </w:r>
    </w:p>
    <w:sectPr w:rsidR="005737A3" w:rsidRPr="005737A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46C2C" w14:textId="77777777" w:rsidR="00D01BB6" w:rsidRDefault="00D01BB6" w:rsidP="0082223F">
      <w:pPr>
        <w:spacing w:line="240" w:lineRule="auto"/>
      </w:pPr>
      <w:r>
        <w:separator/>
      </w:r>
    </w:p>
  </w:endnote>
  <w:endnote w:type="continuationSeparator" w:id="0">
    <w:p w14:paraId="0A074DA7" w14:textId="77777777" w:rsidR="00D01BB6" w:rsidRDefault="00D01B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B9E42" w14:textId="77777777" w:rsidR="00D01BB6" w:rsidRDefault="00D01BB6" w:rsidP="0082223F">
      <w:pPr>
        <w:spacing w:line="240" w:lineRule="auto"/>
      </w:pPr>
      <w:r>
        <w:separator/>
      </w:r>
    </w:p>
  </w:footnote>
  <w:footnote w:type="continuationSeparator" w:id="0">
    <w:p w14:paraId="1FC28CE4" w14:textId="77777777" w:rsidR="00D01BB6" w:rsidRDefault="00D01B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3F9"/>
    <w:rsid w:val="00036708"/>
    <w:rsid w:val="00036F58"/>
    <w:rsid w:val="0007531E"/>
    <w:rsid w:val="00151EEE"/>
    <w:rsid w:val="00183597"/>
    <w:rsid w:val="002100EE"/>
    <w:rsid w:val="002806B7"/>
    <w:rsid w:val="003A6800"/>
    <w:rsid w:val="003F4714"/>
    <w:rsid w:val="003F7ED5"/>
    <w:rsid w:val="00401D65"/>
    <w:rsid w:val="00404259"/>
    <w:rsid w:val="004223E8"/>
    <w:rsid w:val="0046305D"/>
    <w:rsid w:val="004A784B"/>
    <w:rsid w:val="004D7796"/>
    <w:rsid w:val="00554770"/>
    <w:rsid w:val="005737A3"/>
    <w:rsid w:val="00580A42"/>
    <w:rsid w:val="005B7079"/>
    <w:rsid w:val="006D793E"/>
    <w:rsid w:val="0073677D"/>
    <w:rsid w:val="007369EF"/>
    <w:rsid w:val="007637BD"/>
    <w:rsid w:val="0082223F"/>
    <w:rsid w:val="008310E7"/>
    <w:rsid w:val="00852E5B"/>
    <w:rsid w:val="00864B1A"/>
    <w:rsid w:val="00872812"/>
    <w:rsid w:val="00877007"/>
    <w:rsid w:val="0089697D"/>
    <w:rsid w:val="008B5129"/>
    <w:rsid w:val="008D5C2F"/>
    <w:rsid w:val="009073E6"/>
    <w:rsid w:val="00917092"/>
    <w:rsid w:val="009277F4"/>
    <w:rsid w:val="00933FFF"/>
    <w:rsid w:val="009A757D"/>
    <w:rsid w:val="009D3174"/>
    <w:rsid w:val="00A12A02"/>
    <w:rsid w:val="00A1503A"/>
    <w:rsid w:val="00A237FB"/>
    <w:rsid w:val="00A358F7"/>
    <w:rsid w:val="00A51C39"/>
    <w:rsid w:val="00A8113B"/>
    <w:rsid w:val="00A86D02"/>
    <w:rsid w:val="00AB4483"/>
    <w:rsid w:val="00B13ADF"/>
    <w:rsid w:val="00B306E3"/>
    <w:rsid w:val="00B93991"/>
    <w:rsid w:val="00BF4EA2"/>
    <w:rsid w:val="00C54DC8"/>
    <w:rsid w:val="00C73692"/>
    <w:rsid w:val="00C93BB7"/>
    <w:rsid w:val="00CB25E9"/>
    <w:rsid w:val="00D01BB6"/>
    <w:rsid w:val="00D75C7B"/>
    <w:rsid w:val="00D80C70"/>
    <w:rsid w:val="00D85C7B"/>
    <w:rsid w:val="00D86416"/>
    <w:rsid w:val="00DA493D"/>
    <w:rsid w:val="00DE2224"/>
    <w:rsid w:val="00DF6F13"/>
    <w:rsid w:val="00E234E9"/>
    <w:rsid w:val="00E260F4"/>
    <w:rsid w:val="00E739C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38</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39</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40</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41</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32</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33</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34</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24</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25</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27</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28</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29</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30</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31</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35</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42</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43</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44</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45</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46</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47</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28</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29</b:RefOrder>
  </b:Source>
</b:Sources>
</file>

<file path=customXml/itemProps1.xml><?xml version="1.0" encoding="utf-8"?>
<ds:datastoreItem xmlns:ds="http://schemas.openxmlformats.org/officeDocument/2006/customXml" ds:itemID="{C8C5D8F1-E95E-4251-B4B3-C72E450C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19</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54</cp:revision>
  <dcterms:created xsi:type="dcterms:W3CDTF">2019-05-19T17:38:00Z</dcterms:created>
  <dcterms:modified xsi:type="dcterms:W3CDTF">2020-07-26T17:28:00Z</dcterms:modified>
</cp:coreProperties>
</file>