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6679A7"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10F43FC4" w:rsidR="0082223F" w:rsidRDefault="0082223F" w:rsidP="0082223F">
      <w:pPr>
        <w:pStyle w:val="Title"/>
      </w:pPr>
      <w:r>
        <w:t xml:space="preserve">Section </w:t>
      </w:r>
      <w:r w:rsidR="00A1503A">
        <w:t>3</w:t>
      </w:r>
      <w:r>
        <w:t xml:space="preserve">: Week </w:t>
      </w:r>
      <w:r w:rsidR="00A1503A">
        <w:t>8</w:t>
      </w:r>
      <w:r>
        <w:t xml:space="preserve">: </w:t>
      </w:r>
      <w:r w:rsidR="00A1503A">
        <w:t>Corporate Risk Management Plan</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DD8A3BC" w:rsidR="0082223F" w:rsidRDefault="0082223F" w:rsidP="0082223F">
      <w:pPr>
        <w:jc w:val="center"/>
      </w:pPr>
      <w:r>
        <w:t>TIM-</w:t>
      </w:r>
      <w:r w:rsidR="00B13ADF">
        <w:t>7030</w:t>
      </w:r>
      <w:r>
        <w:t xml:space="preserve">: </w:t>
      </w:r>
      <w:r w:rsidR="00B13ADF">
        <w:t>Managing Risk, Security, and Privacy</w:t>
      </w:r>
    </w:p>
    <w:p w14:paraId="13BFFB78" w14:textId="0C6623FE" w:rsidR="00CB25E9" w:rsidRDefault="00A1503A" w:rsidP="0082223F">
      <w:pPr>
        <w:jc w:val="center"/>
      </w:pPr>
      <w:r>
        <w:t>July 26</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2A6A5F0D" w:rsidR="0082223F" w:rsidRDefault="00A1503A" w:rsidP="005B7079">
      <w:pPr>
        <w:pStyle w:val="Heading1"/>
      </w:pPr>
      <w:r>
        <w:lastRenderedPageBreak/>
        <w:t>Corporate Risk Management Plans</w:t>
      </w:r>
    </w:p>
    <w:p w14:paraId="02EA80CA" w14:textId="77777777" w:rsidR="00404259" w:rsidRDefault="00A237FB" w:rsidP="00A237FB">
      <w:pPr>
        <w:ind w:firstLine="720"/>
      </w:pPr>
      <w:r>
        <w:t>NCU Financial (NCU-F) operates on a finite budget and must prioritize investments into features and services.  On the one hand, the business would like to spend all available resources delivering its core mission, enabling personalized investing.  Allocating time and money into other projects might even appear to detract from this mission and feel like a waste.  However, along the journey are risks from a litany of sources that can derail progress, cause financial hardship, and harm the organization’s reputation</w:t>
      </w:r>
      <w:sdt>
        <w:sdtPr>
          <w:id w:val="1469863747"/>
          <w:citation/>
        </w:sdtPr>
        <w:sdtContent>
          <w:r>
            <w:fldChar w:fldCharType="begin"/>
          </w:r>
          <w:r>
            <w:instrText xml:space="preserve"> CITATION Eri18 \l 1033 </w:instrText>
          </w:r>
          <w:r>
            <w:fldChar w:fldCharType="separate"/>
          </w:r>
          <w:r>
            <w:rPr>
              <w:noProof/>
            </w:rPr>
            <w:t xml:space="preserve"> (Erickson &amp; Neilson, 2018)</w:t>
          </w:r>
          <w:r>
            <w:fldChar w:fldCharType="end"/>
          </w:r>
        </w:sdtContent>
      </w:sdt>
      <w:r>
        <w:t>.  Using a security framework, such as COBIT or NIST Cybersecurity, formalize processes for identifying and approaching threats from these risks</w:t>
      </w:r>
      <w:sdt>
        <w:sdtPr>
          <w:id w:val="8649572"/>
          <w:citation/>
        </w:sdtPr>
        <w:sdtContent>
          <w:r>
            <w:fldChar w:fldCharType="begin"/>
          </w:r>
          <w:r>
            <w:instrText xml:space="preserve"> CITATION Dev15 \l 1033 </w:instrText>
          </w:r>
          <w:r>
            <w:fldChar w:fldCharType="separate"/>
          </w:r>
          <w:r>
            <w:rPr>
              <w:noProof/>
            </w:rPr>
            <w:t xml:space="preserve"> (Devos &amp; Van de Ginste, 2015)</w:t>
          </w:r>
          <w:r>
            <w:fldChar w:fldCharType="end"/>
          </w:r>
        </w:sdtContent>
      </w:sdt>
      <w:r>
        <w:t>.  It would be economically prohibitive to remove every threat against the organization.  Instead, a prioritization discussion must delineate between threats and vulnerabilities.</w:t>
      </w:r>
      <w:r w:rsidR="00404259">
        <w:t xml:space="preserve">  </w:t>
      </w:r>
    </w:p>
    <w:p w14:paraId="4A1D20C6" w14:textId="25D5B61E" w:rsidR="00A237FB" w:rsidRDefault="00A237FB" w:rsidP="00A237FB">
      <w:pPr>
        <w:ind w:firstLine="720"/>
      </w:pPr>
      <w:r>
        <w:t xml:space="preserve">Assessing and addressing vulnerabilities requires a mixture of proactive and reactive controls that constrains the blast radius of malicious and negligent people, processes, and products.  </w:t>
      </w:r>
      <w:r>
        <w:t>Meeting that expectation requires a corporate strategy that minimizes risks using mitigation, avoidance, and transference strategies</w:t>
      </w:r>
      <w:sdt>
        <w:sdtPr>
          <w:id w:val="-1466419492"/>
          <w:citation/>
        </w:sdtPr>
        <w:sdtContent>
          <w:r>
            <w:fldChar w:fldCharType="begin"/>
          </w:r>
          <w:r>
            <w:instrText xml:space="preserve"> CITATION Bas181 \l 1033 </w:instrText>
          </w:r>
          <w:r>
            <w:fldChar w:fldCharType="separate"/>
          </w:r>
          <w:r>
            <w:rPr>
              <w:noProof/>
            </w:rPr>
            <w:t xml:space="preserve"> (Baskerville, Rowe, &amp; Wolff, 2018)</w:t>
          </w:r>
          <w:r>
            <w:fldChar w:fldCharType="end"/>
          </w:r>
        </w:sdtContent>
      </w:sdt>
      <w:r>
        <w:t>.</w:t>
      </w:r>
      <w:r>
        <w:t xml:space="preserve">  Deciding the appropriate solution is contextually sensitive and can also require tooling and redundancies.  For example, data loss can occur from ransomware, hardware failure, or accidental deletion.  While the reasons vary, the resolution is too </w:t>
      </w:r>
      <w:proofErr w:type="gramStart"/>
      <w:r>
        <w:t>perform</w:t>
      </w:r>
      <w:proofErr w:type="gramEnd"/>
      <w:r>
        <w:t xml:space="preserve"> a disaster recovery process.  If the business accounts for that situation ahead of time, then systems will already exist and impact to service continuity is </w:t>
      </w:r>
      <w:r w:rsidR="00404259">
        <w:t>curtailed</w:t>
      </w:r>
      <w:r>
        <w:t>.</w:t>
      </w:r>
    </w:p>
    <w:p w14:paraId="12B85FBD" w14:textId="42E67737" w:rsidR="00404259" w:rsidRDefault="00864B1A" w:rsidP="00A237FB">
      <w:pPr>
        <w:ind w:firstLine="720"/>
      </w:pPr>
      <w:r>
        <w:t>Lastly, t</w:t>
      </w:r>
      <w:r w:rsidR="00404259">
        <w:t>he most brilliant risk management plans are ineffective without processes to verify and disseminate across the team members.  Over time business priorities and technologies change, necessitating the need to confirm these procedures continue being accurate.</w:t>
      </w:r>
    </w:p>
    <w:p w14:paraId="51300803" w14:textId="22FEE590" w:rsidR="005737A3" w:rsidRDefault="005737A3" w:rsidP="00404259">
      <w:pPr>
        <w:pStyle w:val="Heading1"/>
      </w:pPr>
      <w:r>
        <w:lastRenderedPageBreak/>
        <w:t>Section I: State of the Organization</w:t>
      </w:r>
    </w:p>
    <w:p w14:paraId="2753E46B" w14:textId="41B1793B" w:rsidR="00404259" w:rsidRPr="00404259" w:rsidRDefault="00404259" w:rsidP="00404259">
      <w:r>
        <w:tab/>
      </w:r>
      <w:r w:rsidR="00864B1A">
        <w:t xml:space="preserve">Before building a </w:t>
      </w:r>
      <w:proofErr w:type="gramStart"/>
      <w:r w:rsidR="00864B1A">
        <w:t>risk</w:t>
      </w:r>
      <w:proofErr w:type="gramEnd"/>
      <w:r w:rsidR="00864B1A">
        <w:t xml:space="preserve"> management plan is to assess the state of the organization.  This introspection process evaluates the existing system and applications, along with identifying challenges that come with the business model.</w:t>
      </w:r>
    </w:p>
    <w:p w14:paraId="47869351" w14:textId="476879A2" w:rsidR="005737A3" w:rsidRDefault="005737A3" w:rsidP="005737A3">
      <w:pPr>
        <w:pStyle w:val="Heading2"/>
      </w:pPr>
      <w:r>
        <w:t xml:space="preserve">Corporate </w:t>
      </w:r>
      <w:r w:rsidR="00404259">
        <w:t>m</w:t>
      </w:r>
      <w:r>
        <w:t xml:space="preserve">anagement of </w:t>
      </w:r>
      <w:r w:rsidR="00404259">
        <w:t>s</w:t>
      </w:r>
      <w:r>
        <w:t>ystems</w:t>
      </w:r>
      <w:r w:rsidR="00404259">
        <w:t xml:space="preserve"> and applications</w:t>
      </w:r>
    </w:p>
    <w:p w14:paraId="0E0F1F6F" w14:textId="5B2A21DA" w:rsidR="00864B1A" w:rsidRDefault="00864B1A" w:rsidP="00864B1A">
      <w:r>
        <w:tab/>
        <w:t xml:space="preserve">NCU-F has significant investments in its private data center resources, which hosts several legacy and business-critical systems (see Figure 1).  There are fifty branch offices across the country that transact with the corporate network using Virtual Private Networking (VPN).  Around four years ago, the business began transitioning to a hybrid cloud model with plans to decommission the private data center eventually.  </w:t>
      </w:r>
      <w:r w:rsidR="0089697D">
        <w:t xml:space="preserve">Most recently, the global </w:t>
      </w:r>
      <w:r>
        <w:t>pandemic</w:t>
      </w:r>
      <w:r w:rsidR="0089697D">
        <w:t xml:space="preserve"> has forced</w:t>
      </w:r>
      <w:r>
        <w:t xml:space="preserve"> most employees </w:t>
      </w:r>
      <w:r w:rsidR="0089697D">
        <w:t xml:space="preserve">to </w:t>
      </w:r>
      <w:r>
        <w:t>work remotely</w:t>
      </w:r>
      <w:r w:rsidR="0089697D">
        <w:t>,</w:t>
      </w:r>
      <w:r>
        <w:t xml:space="preserve"> using a combination of personal equipment, mobile devices, and employer-purchased hardware.</w:t>
      </w:r>
    </w:p>
    <w:p w14:paraId="09CC24B0" w14:textId="77777777" w:rsidR="00917092" w:rsidRDefault="00917092" w:rsidP="00917092">
      <w:pPr>
        <w:pStyle w:val="Caption"/>
      </w:pPr>
      <w:r>
        <w:t>Figure 1: NCU-F Network Topology</w:t>
      </w:r>
    </w:p>
    <w:p w14:paraId="7A61822E" w14:textId="011038E5" w:rsidR="00917092" w:rsidRDefault="00917092" w:rsidP="00917092">
      <w:pPr>
        <w:jc w:val="center"/>
      </w:pPr>
      <w:r>
        <w:rPr>
          <w:noProof/>
        </w:rPr>
        <w:drawing>
          <wp:inline distT="0" distB="0" distL="0" distR="0" wp14:anchorId="07AF6E2F" wp14:editId="66379364">
            <wp:extent cx="2602954" cy="3313723"/>
            <wp:effectExtent l="0" t="0" r="698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1617" cy="3833976"/>
                    </a:xfrm>
                    <a:prstGeom prst="rect">
                      <a:avLst/>
                    </a:prstGeom>
                  </pic:spPr>
                </pic:pic>
              </a:graphicData>
            </a:graphic>
          </wp:inline>
        </w:drawing>
      </w:r>
    </w:p>
    <w:p w14:paraId="43596C5B" w14:textId="2E24B248" w:rsidR="0089697D" w:rsidRDefault="0089697D" w:rsidP="00864B1A">
      <w:r>
        <w:lastRenderedPageBreak/>
        <w:tab/>
        <w:t xml:space="preserve">The network administration team must define policies and procedures for ensuring the consistency of these different environments.  This requirement is challenging because resources ownership extends over multiple parties, and technology stacks range drastically.  For instance, the cloud solution uses a mixture of Infrastructure, Platform, and Service as a Service (IaaS, PaaS, and SaaS) </w:t>
      </w:r>
      <w:r>
        <w:t>platforms</w:t>
      </w:r>
      <w:r>
        <w:t>.  Meanwhile, client technicians must support Microsoft Windows, Apple iOS, and Google Android.  Further complicating matters, the applications that run on these systems execute with varying levels of isolation and trust.</w:t>
      </w:r>
      <w:r w:rsidR="00917092">
        <w:t xml:space="preserve">  While the business can mandate anti-virus products and patch management, there is still a high probability that these machines will become infected with malicious software.</w:t>
      </w:r>
    </w:p>
    <w:p w14:paraId="6306A299" w14:textId="351F9B5B" w:rsidR="005737A3" w:rsidRDefault="005737A3" w:rsidP="005737A3">
      <w:pPr>
        <w:pStyle w:val="Heading2"/>
      </w:pPr>
      <w:r>
        <w:t>Threats Every Organization Faces</w:t>
      </w:r>
    </w:p>
    <w:p w14:paraId="1897D3D8" w14:textId="2C05EB15" w:rsidR="00A12A02" w:rsidRPr="00A12A02" w:rsidRDefault="00A12A02" w:rsidP="00A12A02">
      <w:r>
        <w:tab/>
        <w:t>Traditional threat discovery processes focus on technical management using filter and barrier products, such as firewalls and Intrusion Detection and Prevention Systems (IDS/IPS).</w:t>
      </w:r>
      <w:r w:rsidR="009073E6">
        <w:t xml:space="preserve">  A more modern and mature process includes information governance and compliance concerns within the model</w:t>
      </w:r>
      <w:sdt>
        <w:sdtPr>
          <w:id w:val="895173436"/>
          <w:citation/>
        </w:sdtPr>
        <w:sdtContent>
          <w:r w:rsidR="009073E6">
            <w:fldChar w:fldCharType="begin"/>
          </w:r>
          <w:r w:rsidR="009073E6">
            <w:instrText xml:space="preserve"> CITATION Bob15 \l 1033 </w:instrText>
          </w:r>
          <w:r w:rsidR="009073E6">
            <w:fldChar w:fldCharType="separate"/>
          </w:r>
          <w:r w:rsidR="009073E6">
            <w:rPr>
              <w:noProof/>
            </w:rPr>
            <w:t xml:space="preserve"> (Bobbert &amp; Mulder, 2015)</w:t>
          </w:r>
          <w:r w:rsidR="009073E6">
            <w:fldChar w:fldCharType="end"/>
          </w:r>
        </w:sdtContent>
      </w:sdt>
      <w:r w:rsidR="009073E6">
        <w:t xml:space="preserve">.  These additional considerations include policies, continuity planning, ethical norms, and legal expectations.  </w:t>
      </w:r>
    </w:p>
    <w:p w14:paraId="460EF6C5" w14:textId="0082C7BB" w:rsidR="00A358F7" w:rsidRDefault="00A358F7" w:rsidP="00404259">
      <w:pPr>
        <w:ind w:firstLine="720"/>
      </w:pPr>
      <w:proofErr w:type="spellStart"/>
      <w:r>
        <w:t>CyberSecurity</w:t>
      </w:r>
      <w:proofErr w:type="spellEnd"/>
      <w:r>
        <w:t xml:space="preserve"> </w:t>
      </w:r>
      <w:r w:rsidR="009073E6">
        <w:t xml:space="preserve">policies and controls </w:t>
      </w:r>
      <w:r>
        <w:t>refer to a collection of mechanisms and processes that constrain risk to business systems by ensuring they meet performance and consistency expectations, even under erroneous conditions</w:t>
      </w:r>
      <w:sdt>
        <w:sdtPr>
          <w:id w:val="-1494180555"/>
          <w:citation/>
        </w:sdtPr>
        <w:sdtContent>
          <w:r>
            <w:fldChar w:fldCharType="begin"/>
          </w:r>
          <w:r>
            <w:instrText xml:space="preserve">CITATION Mic18 \l 1033 </w:instrText>
          </w:r>
          <w:r>
            <w:fldChar w:fldCharType="separate"/>
          </w:r>
          <w:r>
            <w:rPr>
              <w:noProof/>
            </w:rPr>
            <w:t xml:space="preserve"> (Mickens, 2018)</w:t>
          </w:r>
          <w:r>
            <w:fldChar w:fldCharType="end"/>
          </w:r>
        </w:sdtContent>
      </w:sdt>
      <w:r>
        <w:t>.  These erroneous conditions arise due to both malicious and negligent scenarios, degrading the confidentiality, integrity, and availability of our service offerings.</w:t>
      </w:r>
      <w:r w:rsidR="00917092">
        <w:t xml:space="preserve">  </w:t>
      </w:r>
      <w:r>
        <w:t>When categorizing these risks, a taxonomy needs to consider the incentives and origin of the risk</w:t>
      </w:r>
      <w:sdt>
        <w:sdtPr>
          <w:id w:val="-38670034"/>
          <w:citation/>
        </w:sdtPr>
        <w:sdtContent>
          <w:r>
            <w:fldChar w:fldCharType="begin"/>
          </w:r>
          <w:r>
            <w:instrText xml:space="preserve"> CITATION LiZ18 \l 1033 </w:instrText>
          </w:r>
          <w:r>
            <w:fldChar w:fldCharType="separate"/>
          </w:r>
          <w:r>
            <w:rPr>
              <w:noProof/>
            </w:rPr>
            <w:t xml:space="preserve"> (Li &amp; Liao, 2018)</w:t>
          </w:r>
          <w:r>
            <w:fldChar w:fldCharType="end"/>
          </w:r>
        </w:sdtContent>
      </w:sdt>
      <w:r>
        <w:t xml:space="preserve">.  Incentives of malicious and negligent behavior are drastically different and require unique approaches.  </w:t>
      </w:r>
      <w:proofErr w:type="spellStart"/>
      <w:r>
        <w:t>Kosub</w:t>
      </w:r>
      <w:proofErr w:type="spellEnd"/>
      <w:r>
        <w:t xml:space="preserve"> (2015) proposes the terms cyber-risk (negligence) and cyber-crime (maliciousness) to distinguish </w:t>
      </w:r>
      <w:r>
        <w:lastRenderedPageBreak/>
        <w:t>between these scenarios.  For instance, technical support staff wants to follow the cultural norms set by their employer and minimize any friction in completing their assignments</w:t>
      </w:r>
      <w:sdt>
        <w:sdtPr>
          <w:id w:val="1137607026"/>
          <w:citation/>
        </w:sdtPr>
        <w:sdtContent>
          <w:r>
            <w:fldChar w:fldCharType="begin"/>
          </w:r>
          <w:r>
            <w:instrText xml:space="preserve"> CITATION Wes18 \l 1033 </w:instrText>
          </w:r>
          <w:r>
            <w:fldChar w:fldCharType="separate"/>
          </w:r>
          <w:r>
            <w:rPr>
              <w:noProof/>
            </w:rPr>
            <w:t xml:space="preserve"> (Weston, Conklin, &amp; Drobnis, 2018)</w:t>
          </w:r>
          <w:r>
            <w:fldChar w:fldCharType="end"/>
          </w:r>
        </w:sdtContent>
      </w:sdt>
      <w:r>
        <w:t>.  Meanwhile, malicious actors seek to exploit espionage, sabotage, and subversion attacks</w:t>
      </w:r>
      <w:sdt>
        <w:sdtPr>
          <w:id w:val="998764371"/>
          <w:citation/>
        </w:sdtPr>
        <w:sdtContent>
          <w:r>
            <w:fldChar w:fldCharType="begin"/>
          </w:r>
          <w:r>
            <w:instrText xml:space="preserve"> CITATION Mat14 \l 1033 </w:instrText>
          </w:r>
          <w:r>
            <w:fldChar w:fldCharType="separate"/>
          </w:r>
          <w:r>
            <w:rPr>
              <w:noProof/>
            </w:rPr>
            <w:t xml:space="preserve"> (Matsubara, 2014)</w:t>
          </w:r>
          <w:r>
            <w:fldChar w:fldCharType="end"/>
          </w:r>
        </w:sdtContent>
      </w:sdt>
      <w:r>
        <w:t>.  While policies and training can reduce the impact of erroneous technicians, those solutions do not apply to external criminals.</w:t>
      </w:r>
    </w:p>
    <w:p w14:paraId="0A4FD28E" w14:textId="3851E6B5" w:rsidR="005737A3" w:rsidRDefault="005737A3" w:rsidP="005737A3">
      <w:pPr>
        <w:pStyle w:val="Heading2"/>
      </w:pPr>
      <w:r>
        <w:t>Organizational Chart</w:t>
      </w:r>
    </w:p>
    <w:p w14:paraId="2EC39A86" w14:textId="77777777" w:rsidR="009073E6" w:rsidRDefault="009073E6" w:rsidP="009073E6">
      <w:pPr>
        <w:pStyle w:val="Caption"/>
      </w:pPr>
      <w:r>
        <w:t>Table 1: Stakeholders</w:t>
      </w:r>
    </w:p>
    <w:tbl>
      <w:tblPr>
        <w:tblStyle w:val="GridTable4"/>
        <w:tblW w:w="0" w:type="auto"/>
        <w:tblLook w:val="04A0" w:firstRow="1" w:lastRow="0" w:firstColumn="1" w:lastColumn="0" w:noHBand="0" w:noVBand="1"/>
      </w:tblPr>
      <w:tblGrid>
        <w:gridCol w:w="4675"/>
        <w:gridCol w:w="4675"/>
      </w:tblGrid>
      <w:tr w:rsidR="009073E6" w14:paraId="3529F038" w14:textId="77777777" w:rsidTr="00FE6E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10BD85B" w14:textId="77777777" w:rsidR="009073E6" w:rsidRDefault="009073E6" w:rsidP="00FE6E75">
            <w:pPr>
              <w:jc w:val="center"/>
            </w:pPr>
            <w:r>
              <w:t>Team/Role</w:t>
            </w:r>
          </w:p>
        </w:tc>
        <w:tc>
          <w:tcPr>
            <w:tcW w:w="4675" w:type="dxa"/>
          </w:tcPr>
          <w:p w14:paraId="5E77CE15" w14:textId="77777777" w:rsidR="009073E6" w:rsidRDefault="009073E6" w:rsidP="00FE6E75">
            <w:pPr>
              <w:jc w:val="center"/>
              <w:cnfStyle w:val="100000000000" w:firstRow="1" w:lastRow="0" w:firstColumn="0" w:lastColumn="0" w:oddVBand="0" w:evenVBand="0" w:oddHBand="0" w:evenHBand="0" w:firstRowFirstColumn="0" w:firstRowLastColumn="0" w:lastRowFirstColumn="0" w:lastRowLastColumn="0"/>
            </w:pPr>
            <w:r>
              <w:t>Primary Concerns</w:t>
            </w:r>
          </w:p>
        </w:tc>
      </w:tr>
      <w:tr w:rsidR="009073E6" w14:paraId="3A17FF55"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4F16019" w14:textId="77777777" w:rsidR="009073E6" w:rsidRPr="004D677B" w:rsidRDefault="009073E6" w:rsidP="00FE6E75">
            <w:pPr>
              <w:rPr>
                <w:b w:val="0"/>
                <w:bCs w:val="0"/>
              </w:rPr>
            </w:pPr>
            <w:r w:rsidRPr="004D677B">
              <w:rPr>
                <w:b w:val="0"/>
                <w:bCs w:val="0"/>
              </w:rPr>
              <w:t xml:space="preserve">Customers and </w:t>
            </w:r>
            <w:proofErr w:type="gramStart"/>
            <w:r w:rsidRPr="004D677B">
              <w:rPr>
                <w:b w:val="0"/>
                <w:bCs w:val="0"/>
              </w:rPr>
              <w:t>other</w:t>
            </w:r>
            <w:proofErr w:type="gramEnd"/>
            <w:r w:rsidRPr="004D677B">
              <w:rPr>
                <w:b w:val="0"/>
                <w:bCs w:val="0"/>
              </w:rPr>
              <w:t xml:space="preserve"> end-user</w:t>
            </w:r>
          </w:p>
        </w:tc>
        <w:tc>
          <w:tcPr>
            <w:tcW w:w="4675" w:type="dxa"/>
          </w:tcPr>
          <w:p w14:paraId="5B006B0F" w14:textId="77777777" w:rsidR="009073E6" w:rsidRDefault="009073E6" w:rsidP="00FE6E75">
            <w:pPr>
              <w:cnfStyle w:val="000000100000" w:firstRow="0" w:lastRow="0" w:firstColumn="0" w:lastColumn="0" w:oddVBand="0" w:evenVBand="0" w:oddHBand="1" w:evenHBand="0" w:firstRowFirstColumn="0" w:firstRowLastColumn="0" w:lastRowFirstColumn="0" w:lastRowLastColumn="0"/>
            </w:pPr>
            <w:r>
              <w:t>Privacy, reliability, usability, and available</w:t>
            </w:r>
          </w:p>
        </w:tc>
      </w:tr>
      <w:tr w:rsidR="009073E6" w14:paraId="05A2581C" w14:textId="77777777" w:rsidTr="00FE6E75">
        <w:tc>
          <w:tcPr>
            <w:cnfStyle w:val="001000000000" w:firstRow="0" w:lastRow="0" w:firstColumn="1" w:lastColumn="0" w:oddVBand="0" w:evenVBand="0" w:oddHBand="0" w:evenHBand="0" w:firstRowFirstColumn="0" w:firstRowLastColumn="0" w:lastRowFirstColumn="0" w:lastRowLastColumn="0"/>
            <w:tcW w:w="4675" w:type="dxa"/>
          </w:tcPr>
          <w:p w14:paraId="45AB3466" w14:textId="77777777" w:rsidR="009073E6" w:rsidRPr="004D677B" w:rsidRDefault="009073E6" w:rsidP="00FE6E75">
            <w:pPr>
              <w:rPr>
                <w:b w:val="0"/>
                <w:bCs w:val="0"/>
              </w:rPr>
            </w:pPr>
            <w:r w:rsidRPr="004D677B">
              <w:rPr>
                <w:b w:val="0"/>
                <w:bCs w:val="0"/>
              </w:rPr>
              <w:t>Security Engineer</w:t>
            </w:r>
            <w:r>
              <w:rPr>
                <w:b w:val="0"/>
                <w:bCs w:val="0"/>
              </w:rPr>
              <w:t>s</w:t>
            </w:r>
          </w:p>
        </w:tc>
        <w:tc>
          <w:tcPr>
            <w:tcW w:w="4675" w:type="dxa"/>
          </w:tcPr>
          <w:p w14:paraId="540602B2" w14:textId="77777777" w:rsidR="009073E6" w:rsidRDefault="009073E6" w:rsidP="00FE6E75">
            <w:pPr>
              <w:cnfStyle w:val="000000000000" w:firstRow="0" w:lastRow="0" w:firstColumn="0" w:lastColumn="0" w:oddVBand="0" w:evenVBand="0" w:oddHBand="0" w:evenHBand="0" w:firstRowFirstColumn="0" w:firstRowLastColumn="0" w:lastRowFirstColumn="0" w:lastRowLastColumn="0"/>
            </w:pPr>
            <w:r>
              <w:t xml:space="preserve">Confidentiality, integrity, and availability </w:t>
            </w:r>
          </w:p>
        </w:tc>
      </w:tr>
      <w:tr w:rsidR="009073E6" w14:paraId="79F6F5FD"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1ADDCC" w14:textId="77777777" w:rsidR="009073E6" w:rsidRPr="004D677B" w:rsidRDefault="009073E6" w:rsidP="00FE6E75">
            <w:pPr>
              <w:rPr>
                <w:b w:val="0"/>
                <w:bCs w:val="0"/>
              </w:rPr>
            </w:pPr>
            <w:r w:rsidRPr="004D677B">
              <w:rPr>
                <w:b w:val="0"/>
                <w:bCs w:val="0"/>
              </w:rPr>
              <w:t>Software Engineer</w:t>
            </w:r>
            <w:r>
              <w:rPr>
                <w:b w:val="0"/>
                <w:bCs w:val="0"/>
              </w:rPr>
              <w:t>s</w:t>
            </w:r>
          </w:p>
        </w:tc>
        <w:tc>
          <w:tcPr>
            <w:tcW w:w="4675" w:type="dxa"/>
          </w:tcPr>
          <w:p w14:paraId="61BBBAB7" w14:textId="77777777" w:rsidR="009073E6" w:rsidRDefault="009073E6" w:rsidP="00FE6E75">
            <w:pPr>
              <w:cnfStyle w:val="000000100000" w:firstRow="0" w:lastRow="0" w:firstColumn="0" w:lastColumn="0" w:oddVBand="0" w:evenVBand="0" w:oddHBand="1" w:evenHBand="0" w:firstRowFirstColumn="0" w:firstRowLastColumn="0" w:lastRowFirstColumn="0" w:lastRowLastColumn="0"/>
            </w:pPr>
            <w:r>
              <w:t>Reliability, observability, and performance</w:t>
            </w:r>
          </w:p>
        </w:tc>
      </w:tr>
      <w:tr w:rsidR="009073E6" w14:paraId="4EA7553D" w14:textId="77777777" w:rsidTr="00FE6E75">
        <w:tc>
          <w:tcPr>
            <w:cnfStyle w:val="001000000000" w:firstRow="0" w:lastRow="0" w:firstColumn="1" w:lastColumn="0" w:oddVBand="0" w:evenVBand="0" w:oddHBand="0" w:evenHBand="0" w:firstRowFirstColumn="0" w:firstRowLastColumn="0" w:lastRowFirstColumn="0" w:lastRowLastColumn="0"/>
            <w:tcW w:w="4675" w:type="dxa"/>
          </w:tcPr>
          <w:p w14:paraId="1247E040" w14:textId="77777777" w:rsidR="009073E6" w:rsidRPr="004D677B" w:rsidRDefault="009073E6" w:rsidP="00FE6E75">
            <w:pPr>
              <w:rPr>
                <w:b w:val="0"/>
                <w:bCs w:val="0"/>
              </w:rPr>
            </w:pPr>
            <w:r w:rsidRPr="004D677B">
              <w:rPr>
                <w:b w:val="0"/>
                <w:bCs w:val="0"/>
              </w:rPr>
              <w:t>Program Manager</w:t>
            </w:r>
            <w:r>
              <w:rPr>
                <w:b w:val="0"/>
                <w:bCs w:val="0"/>
              </w:rPr>
              <w:t>s</w:t>
            </w:r>
          </w:p>
        </w:tc>
        <w:tc>
          <w:tcPr>
            <w:tcW w:w="4675" w:type="dxa"/>
          </w:tcPr>
          <w:p w14:paraId="6A72BC1B" w14:textId="77777777" w:rsidR="009073E6" w:rsidRDefault="009073E6" w:rsidP="00FE6E75">
            <w:pPr>
              <w:cnfStyle w:val="000000000000" w:firstRow="0" w:lastRow="0" w:firstColumn="0" w:lastColumn="0" w:oddVBand="0" w:evenVBand="0" w:oddHBand="0" w:evenHBand="0" w:firstRowFirstColumn="0" w:firstRowLastColumn="0" w:lastRowFirstColumn="0" w:lastRowLastColumn="0"/>
            </w:pPr>
            <w:r>
              <w:t>Functionality, predictability, and extensibility</w:t>
            </w:r>
          </w:p>
        </w:tc>
      </w:tr>
      <w:tr w:rsidR="009073E6" w14:paraId="50A5B428"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47DE18D" w14:textId="77777777" w:rsidR="009073E6" w:rsidRPr="004D677B" w:rsidRDefault="009073E6" w:rsidP="00FE6E75">
            <w:pPr>
              <w:rPr>
                <w:b w:val="0"/>
                <w:bCs w:val="0"/>
              </w:rPr>
            </w:pPr>
            <w:r w:rsidRPr="004D677B">
              <w:rPr>
                <w:b w:val="0"/>
                <w:bCs w:val="0"/>
              </w:rPr>
              <w:t>Support Engineer</w:t>
            </w:r>
            <w:r>
              <w:rPr>
                <w:b w:val="0"/>
                <w:bCs w:val="0"/>
              </w:rPr>
              <w:t>s</w:t>
            </w:r>
          </w:p>
        </w:tc>
        <w:tc>
          <w:tcPr>
            <w:tcW w:w="4675" w:type="dxa"/>
          </w:tcPr>
          <w:p w14:paraId="6C429046" w14:textId="77777777" w:rsidR="009073E6" w:rsidRDefault="009073E6" w:rsidP="00FE6E75">
            <w:pPr>
              <w:cnfStyle w:val="000000100000" w:firstRow="0" w:lastRow="0" w:firstColumn="0" w:lastColumn="0" w:oddVBand="0" w:evenVBand="0" w:oddHBand="1" w:evenHBand="0" w:firstRowFirstColumn="0" w:firstRowLastColumn="0" w:lastRowFirstColumn="0" w:lastRowLastColumn="0"/>
            </w:pPr>
            <w:r>
              <w:t>Observability and supportability</w:t>
            </w:r>
          </w:p>
        </w:tc>
      </w:tr>
      <w:tr w:rsidR="009073E6" w14:paraId="1382B4DE" w14:textId="77777777" w:rsidTr="00FE6E75">
        <w:tc>
          <w:tcPr>
            <w:cnfStyle w:val="001000000000" w:firstRow="0" w:lastRow="0" w:firstColumn="1" w:lastColumn="0" w:oddVBand="0" w:evenVBand="0" w:oddHBand="0" w:evenHBand="0" w:firstRowFirstColumn="0" w:firstRowLastColumn="0" w:lastRowFirstColumn="0" w:lastRowLastColumn="0"/>
            <w:tcW w:w="4675" w:type="dxa"/>
          </w:tcPr>
          <w:p w14:paraId="7FFD3D91" w14:textId="77777777" w:rsidR="009073E6" w:rsidRPr="004D677B" w:rsidRDefault="009073E6" w:rsidP="00FE6E75">
            <w:pPr>
              <w:rPr>
                <w:b w:val="0"/>
                <w:bCs w:val="0"/>
              </w:rPr>
            </w:pPr>
            <w:r w:rsidRPr="004D677B">
              <w:rPr>
                <w:b w:val="0"/>
                <w:bCs w:val="0"/>
              </w:rPr>
              <w:t>User Experience (UX)</w:t>
            </w:r>
          </w:p>
        </w:tc>
        <w:tc>
          <w:tcPr>
            <w:tcW w:w="4675" w:type="dxa"/>
          </w:tcPr>
          <w:p w14:paraId="312FD81E" w14:textId="77777777" w:rsidR="009073E6" w:rsidRDefault="009073E6" w:rsidP="00FE6E75">
            <w:pPr>
              <w:cnfStyle w:val="000000000000" w:firstRow="0" w:lastRow="0" w:firstColumn="0" w:lastColumn="0" w:oddVBand="0" w:evenVBand="0" w:oddHBand="0" w:evenHBand="0" w:firstRowFirstColumn="0" w:firstRowLastColumn="0" w:lastRowFirstColumn="0" w:lastRowLastColumn="0"/>
            </w:pPr>
            <w:r>
              <w:t>Convenience and performance</w:t>
            </w:r>
          </w:p>
        </w:tc>
      </w:tr>
      <w:tr w:rsidR="009073E6" w14:paraId="07B16BDE"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8616472" w14:textId="77777777" w:rsidR="009073E6" w:rsidRPr="004D677B" w:rsidRDefault="009073E6" w:rsidP="00FE6E75">
            <w:pPr>
              <w:rPr>
                <w:b w:val="0"/>
                <w:bCs w:val="0"/>
              </w:rPr>
            </w:pPr>
            <w:r>
              <w:rPr>
                <w:b w:val="0"/>
                <w:bCs w:val="0"/>
              </w:rPr>
              <w:t xml:space="preserve">Legal and </w:t>
            </w:r>
            <w:r w:rsidRPr="004D677B">
              <w:rPr>
                <w:b w:val="0"/>
                <w:bCs w:val="0"/>
              </w:rPr>
              <w:t>Compliance</w:t>
            </w:r>
          </w:p>
        </w:tc>
        <w:tc>
          <w:tcPr>
            <w:tcW w:w="4675" w:type="dxa"/>
          </w:tcPr>
          <w:p w14:paraId="6B571AF0" w14:textId="77777777" w:rsidR="009073E6" w:rsidRDefault="009073E6" w:rsidP="00FE6E75">
            <w:pPr>
              <w:cnfStyle w:val="000000100000" w:firstRow="0" w:lastRow="0" w:firstColumn="0" w:lastColumn="0" w:oddVBand="0" w:evenVBand="0" w:oddHBand="1" w:evenHBand="0" w:firstRowFirstColumn="0" w:firstRowLastColumn="0" w:lastRowFirstColumn="0" w:lastRowLastColumn="0"/>
            </w:pPr>
            <w:r>
              <w:t>Privacy and confidentiality</w:t>
            </w:r>
          </w:p>
        </w:tc>
      </w:tr>
      <w:tr w:rsidR="009073E6" w14:paraId="113CC13F" w14:textId="77777777" w:rsidTr="00FE6E75">
        <w:tc>
          <w:tcPr>
            <w:cnfStyle w:val="001000000000" w:firstRow="0" w:lastRow="0" w:firstColumn="1" w:lastColumn="0" w:oddVBand="0" w:evenVBand="0" w:oddHBand="0" w:evenHBand="0" w:firstRowFirstColumn="0" w:firstRowLastColumn="0" w:lastRowFirstColumn="0" w:lastRowLastColumn="0"/>
            <w:tcW w:w="4675" w:type="dxa"/>
          </w:tcPr>
          <w:p w14:paraId="3C83CEBC" w14:textId="77777777" w:rsidR="009073E6" w:rsidRPr="004D677B" w:rsidRDefault="009073E6" w:rsidP="00FE6E75">
            <w:pPr>
              <w:rPr>
                <w:b w:val="0"/>
                <w:bCs w:val="0"/>
              </w:rPr>
            </w:pPr>
            <w:r>
              <w:rPr>
                <w:b w:val="0"/>
                <w:bCs w:val="0"/>
              </w:rPr>
              <w:t>Marketing and Sales</w:t>
            </w:r>
          </w:p>
        </w:tc>
        <w:tc>
          <w:tcPr>
            <w:tcW w:w="4675" w:type="dxa"/>
          </w:tcPr>
          <w:p w14:paraId="279EC6C8" w14:textId="77777777" w:rsidR="009073E6" w:rsidRDefault="009073E6" w:rsidP="00FE6E75">
            <w:pPr>
              <w:cnfStyle w:val="000000000000" w:firstRow="0" w:lastRow="0" w:firstColumn="0" w:lastColumn="0" w:oddVBand="0" w:evenVBand="0" w:oddHBand="0" w:evenHBand="0" w:firstRowFirstColumn="0" w:firstRowLastColumn="0" w:lastRowFirstColumn="0" w:lastRowLastColumn="0"/>
            </w:pPr>
            <w:r>
              <w:t>Functionality and consistency</w:t>
            </w:r>
          </w:p>
        </w:tc>
      </w:tr>
      <w:tr w:rsidR="009073E6" w14:paraId="6068581B"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2CE5883" w14:textId="77777777" w:rsidR="009073E6" w:rsidRDefault="009073E6" w:rsidP="00FE6E75">
            <w:pPr>
              <w:rPr>
                <w:b w:val="0"/>
                <w:bCs w:val="0"/>
              </w:rPr>
            </w:pPr>
            <w:r>
              <w:rPr>
                <w:b w:val="0"/>
                <w:bCs w:val="0"/>
              </w:rPr>
              <w:t>Accounting and Finance</w:t>
            </w:r>
          </w:p>
        </w:tc>
        <w:tc>
          <w:tcPr>
            <w:tcW w:w="4675" w:type="dxa"/>
          </w:tcPr>
          <w:p w14:paraId="2126967F" w14:textId="77777777" w:rsidR="009073E6" w:rsidRDefault="009073E6" w:rsidP="00FE6E75">
            <w:pPr>
              <w:cnfStyle w:val="000000100000" w:firstRow="0" w:lastRow="0" w:firstColumn="0" w:lastColumn="0" w:oddVBand="0" w:evenVBand="0" w:oddHBand="1" w:evenHBand="0" w:firstRowFirstColumn="0" w:firstRowLastColumn="0" w:lastRowFirstColumn="0" w:lastRowLastColumn="0"/>
            </w:pPr>
            <w:r>
              <w:t>Economical and profitable</w:t>
            </w:r>
          </w:p>
        </w:tc>
      </w:tr>
      <w:tr w:rsidR="009073E6" w14:paraId="3BF38631" w14:textId="77777777" w:rsidTr="00FE6E75">
        <w:tc>
          <w:tcPr>
            <w:cnfStyle w:val="001000000000" w:firstRow="0" w:lastRow="0" w:firstColumn="1" w:lastColumn="0" w:oddVBand="0" w:evenVBand="0" w:oddHBand="0" w:evenHBand="0" w:firstRowFirstColumn="0" w:firstRowLastColumn="0" w:lastRowFirstColumn="0" w:lastRowLastColumn="0"/>
            <w:tcW w:w="4675" w:type="dxa"/>
          </w:tcPr>
          <w:p w14:paraId="1E08F913" w14:textId="77777777" w:rsidR="009073E6" w:rsidRDefault="009073E6" w:rsidP="00FE6E75">
            <w:pPr>
              <w:rPr>
                <w:b w:val="0"/>
                <w:bCs w:val="0"/>
              </w:rPr>
            </w:pPr>
            <w:r>
              <w:rPr>
                <w:b w:val="0"/>
                <w:bCs w:val="0"/>
              </w:rPr>
              <w:t>Senior Leadership</w:t>
            </w:r>
          </w:p>
        </w:tc>
        <w:tc>
          <w:tcPr>
            <w:tcW w:w="4675" w:type="dxa"/>
          </w:tcPr>
          <w:p w14:paraId="59480BA4" w14:textId="77777777" w:rsidR="009073E6" w:rsidRDefault="009073E6" w:rsidP="00FE6E75">
            <w:pPr>
              <w:cnfStyle w:val="000000000000" w:firstRow="0" w:lastRow="0" w:firstColumn="0" w:lastColumn="0" w:oddVBand="0" w:evenVBand="0" w:oddHBand="0" w:evenHBand="0" w:firstRowFirstColumn="0" w:firstRowLastColumn="0" w:lastRowFirstColumn="0" w:lastRowLastColumn="0"/>
            </w:pPr>
            <w:r>
              <w:t>Connects with the broader company strategy</w:t>
            </w:r>
          </w:p>
        </w:tc>
      </w:tr>
      <w:tr w:rsidR="009073E6" w14:paraId="7D5EB770"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86FEA0F" w14:textId="77777777" w:rsidR="009073E6" w:rsidRDefault="009073E6" w:rsidP="00FE6E75">
            <w:pPr>
              <w:rPr>
                <w:b w:val="0"/>
                <w:bCs w:val="0"/>
              </w:rPr>
            </w:pPr>
            <w:r>
              <w:rPr>
                <w:b w:val="0"/>
                <w:bCs w:val="0"/>
              </w:rPr>
              <w:t>Technical Writers</w:t>
            </w:r>
          </w:p>
        </w:tc>
        <w:tc>
          <w:tcPr>
            <w:tcW w:w="4675" w:type="dxa"/>
          </w:tcPr>
          <w:p w14:paraId="4872F646" w14:textId="77777777" w:rsidR="009073E6" w:rsidRDefault="009073E6" w:rsidP="00FE6E75">
            <w:pPr>
              <w:cnfStyle w:val="000000100000" w:firstRow="0" w:lastRow="0" w:firstColumn="0" w:lastColumn="0" w:oddVBand="0" w:evenVBand="0" w:oddHBand="1" w:evenHBand="0" w:firstRowFirstColumn="0" w:firstRowLastColumn="0" w:lastRowFirstColumn="0" w:lastRowLastColumn="0"/>
            </w:pPr>
            <w:r>
              <w:t xml:space="preserve">Consistency and </w:t>
            </w:r>
            <w:proofErr w:type="spellStart"/>
            <w:r>
              <w:t>explainability</w:t>
            </w:r>
            <w:proofErr w:type="spellEnd"/>
          </w:p>
        </w:tc>
      </w:tr>
      <w:tr w:rsidR="009073E6" w14:paraId="4A2BA3B3" w14:textId="77777777" w:rsidTr="00FE6E75">
        <w:tc>
          <w:tcPr>
            <w:cnfStyle w:val="001000000000" w:firstRow="0" w:lastRow="0" w:firstColumn="1" w:lastColumn="0" w:oddVBand="0" w:evenVBand="0" w:oddHBand="0" w:evenHBand="0" w:firstRowFirstColumn="0" w:firstRowLastColumn="0" w:lastRowFirstColumn="0" w:lastRowLastColumn="0"/>
            <w:tcW w:w="4675" w:type="dxa"/>
          </w:tcPr>
          <w:p w14:paraId="35B045FD" w14:textId="77777777" w:rsidR="009073E6" w:rsidRDefault="009073E6" w:rsidP="00FE6E75">
            <w:pPr>
              <w:rPr>
                <w:b w:val="0"/>
                <w:bCs w:val="0"/>
              </w:rPr>
            </w:pPr>
            <w:r>
              <w:rPr>
                <w:b w:val="0"/>
                <w:bCs w:val="0"/>
              </w:rPr>
              <w:t>Network Security Engineers</w:t>
            </w:r>
          </w:p>
        </w:tc>
        <w:tc>
          <w:tcPr>
            <w:tcW w:w="4675" w:type="dxa"/>
          </w:tcPr>
          <w:p w14:paraId="4679CFF4" w14:textId="77777777" w:rsidR="009073E6" w:rsidRDefault="009073E6" w:rsidP="00FE6E75">
            <w:pPr>
              <w:cnfStyle w:val="000000000000" w:firstRow="0" w:lastRow="0" w:firstColumn="0" w:lastColumn="0" w:oddVBand="0" w:evenVBand="0" w:oddHBand="0" w:evenHBand="0" w:firstRowFirstColumn="0" w:firstRowLastColumn="0" w:lastRowFirstColumn="0" w:lastRowLastColumn="0"/>
            </w:pPr>
            <w:r>
              <w:t>Authentication, authorization, and auditing</w:t>
            </w:r>
          </w:p>
        </w:tc>
      </w:tr>
      <w:tr w:rsidR="009073E6" w14:paraId="7E2E67D4"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733DEA0" w14:textId="77777777" w:rsidR="009073E6" w:rsidRDefault="009073E6" w:rsidP="00FE6E75">
            <w:pPr>
              <w:rPr>
                <w:b w:val="0"/>
                <w:bCs w:val="0"/>
              </w:rPr>
            </w:pPr>
            <w:r>
              <w:rPr>
                <w:b w:val="0"/>
                <w:bCs w:val="0"/>
              </w:rPr>
              <w:t>Operations</w:t>
            </w:r>
          </w:p>
        </w:tc>
        <w:tc>
          <w:tcPr>
            <w:tcW w:w="4675" w:type="dxa"/>
          </w:tcPr>
          <w:p w14:paraId="6BF0565F" w14:textId="77777777" w:rsidR="009073E6" w:rsidRDefault="009073E6" w:rsidP="00FE6E75">
            <w:pPr>
              <w:cnfStyle w:val="000000100000" w:firstRow="0" w:lastRow="0" w:firstColumn="0" w:lastColumn="0" w:oddVBand="0" w:evenVBand="0" w:oddHBand="1" w:evenHBand="0" w:firstRowFirstColumn="0" w:firstRowLastColumn="0" w:lastRowFirstColumn="0" w:lastRowLastColumn="0"/>
            </w:pPr>
            <w:r>
              <w:t>Observability, reportability, and discoverability</w:t>
            </w:r>
          </w:p>
        </w:tc>
      </w:tr>
    </w:tbl>
    <w:p w14:paraId="390C7A7B" w14:textId="77777777" w:rsidR="009073E6" w:rsidRPr="009073E6" w:rsidRDefault="009073E6" w:rsidP="009073E6"/>
    <w:p w14:paraId="207A34F7" w14:textId="555230D1" w:rsidR="00A358F7" w:rsidRPr="00A358F7" w:rsidRDefault="00404259" w:rsidP="009073E6">
      <w:pPr>
        <w:ind w:firstLine="720"/>
      </w:pPr>
      <w:r>
        <w:t>Implementing enterprise software solutions requires teams of professionals from across multiple disciplines, each with a unique perspective.  Alignment and inclusion of these different perspectives are critical, or it results in distortion, leading to political confrontation and critical misses.  These diverse ideas originate from industry norms that seek to improve consistency, accuracy, and efficiencies for different aspects of the business (see Table 1).  While there are advantages for teams to operate in vertical silos, such as the speed of decisions, an integrated framework draws on the expertise across the company</w:t>
      </w:r>
      <w:sdt>
        <w:sdtPr>
          <w:id w:val="506334119"/>
          <w:citation/>
        </w:sdtPr>
        <w:sdtContent>
          <w:r>
            <w:fldChar w:fldCharType="begin"/>
          </w:r>
          <w:r>
            <w:instrText xml:space="preserve"> CITATION Nic17 \l 1033 </w:instrText>
          </w:r>
          <w:r>
            <w:fldChar w:fldCharType="separate"/>
          </w:r>
          <w:r>
            <w:rPr>
              <w:noProof/>
            </w:rPr>
            <w:t xml:space="preserve"> (Nicho, Khan, &amp; Rahman, 2017)</w:t>
          </w:r>
          <w:r>
            <w:fldChar w:fldCharType="end"/>
          </w:r>
        </w:sdtContent>
      </w:sdt>
      <w:r>
        <w:t xml:space="preserve">.  When </w:t>
      </w:r>
      <w:r>
        <w:lastRenderedPageBreak/>
        <w:t>all stakeholders can participate in the process, it culminates in releasing the right product at the right time.</w:t>
      </w:r>
    </w:p>
    <w:p w14:paraId="63892E5D" w14:textId="5F6B63A3" w:rsidR="005737A3" w:rsidRDefault="005737A3" w:rsidP="005737A3">
      <w:pPr>
        <w:pStyle w:val="Heading1"/>
      </w:pPr>
      <w:r>
        <w:t>Section II: Objectives of Risk Management Plan</w:t>
      </w:r>
    </w:p>
    <w:p w14:paraId="60C8E6EF" w14:textId="77777777" w:rsidR="0046305D" w:rsidRDefault="00D86416" w:rsidP="00D86416">
      <w:r>
        <w:tab/>
        <w:t>The fundamental purpose of a risk management framework is to identify and prioritize threats, plan and correct those issues, and finally verify and monitor those changes</w:t>
      </w:r>
      <w:sdt>
        <w:sdtPr>
          <w:id w:val="57447748"/>
          <w:citation/>
        </w:sdtPr>
        <w:sdtContent>
          <w:r>
            <w:fldChar w:fldCharType="begin"/>
          </w:r>
          <w:r>
            <w:instrText xml:space="preserve"> CITATION Gil11 \l 1033 </w:instrText>
          </w:r>
          <w:r>
            <w:fldChar w:fldCharType="separate"/>
          </w:r>
          <w:r>
            <w:rPr>
              <w:noProof/>
            </w:rPr>
            <w:t xml:space="preserve"> (Gillies, 2011)</w:t>
          </w:r>
          <w:r>
            <w:fldChar w:fldCharType="end"/>
          </w:r>
        </w:sdtContent>
      </w:sdt>
      <w:r>
        <w:t>.  While it is possible to mitigate specific scenarios pre-emptively, other challenges require reactive compensation.  For instance, anti-virus software can reduce the chances of ransomware corrupting a mission-critical database.  However, an extensive catalog of reasons could conclude at the same point</w:t>
      </w:r>
      <w:r w:rsidR="00852E5B">
        <w:t xml:space="preserve"> (e.g., application defect or drive failure)</w:t>
      </w:r>
      <w:r>
        <w:t>.</w:t>
      </w:r>
      <w:r w:rsidR="007369EF">
        <w:t xml:space="preserve">  </w:t>
      </w:r>
    </w:p>
    <w:p w14:paraId="35DA5189" w14:textId="64BACCA9" w:rsidR="00D86416" w:rsidRPr="00D86416" w:rsidRDefault="007369EF" w:rsidP="0046305D">
      <w:pPr>
        <w:ind w:firstLine="720"/>
      </w:pPr>
      <w:r>
        <w:t>NCU-F has finite resources and cannot address every vector that results in a loss of confidentiality, integrity, and availability.  Instead, the risk management plan must specifically address a subset of circumstances and default to general recovery procedures for other settings.  For example, if an employee’s workstation becomes unresponsive, the support office might follow a ‘retry-reboot-reinstall-replace’ workflow.</w:t>
      </w:r>
      <w:r w:rsidR="007637BD">
        <w:t xml:space="preserve">  Meanwhile, a legacy mainframe might be too costly to touch and need a concise remediation process.</w:t>
      </w:r>
      <w:r w:rsidR="0046305D">
        <w:t xml:space="preserve">  One approach is to delineate appropriate responses is through asset classification system</w:t>
      </w:r>
      <w:r w:rsidR="00BF4EA2">
        <w:t xml:space="preserve"> processes</w:t>
      </w:r>
      <w:r w:rsidR="0046305D">
        <w:t>.</w:t>
      </w:r>
    </w:p>
    <w:p w14:paraId="6D0D574C" w14:textId="2FDC39D7" w:rsidR="005737A3" w:rsidRDefault="005737A3" w:rsidP="005737A3">
      <w:pPr>
        <w:pStyle w:val="Heading1"/>
      </w:pPr>
      <w:r>
        <w:t>Section III: Business Impact Analysis</w:t>
      </w:r>
    </w:p>
    <w:p w14:paraId="5CFFB8FB" w14:textId="77777777" w:rsidR="00A358F7" w:rsidRDefault="00A358F7" w:rsidP="00A358F7">
      <w:pPr>
        <w:ind w:firstLine="720"/>
      </w:pPr>
      <w:r>
        <w:t>When choosing a risk management strategy, the organization needs to consider the threat impact and likelihood</w:t>
      </w:r>
      <w:sdt>
        <w:sdtPr>
          <w:id w:val="-1359502563"/>
          <w:citation/>
        </w:sdtPr>
        <w:sdtContent>
          <w:r>
            <w:fldChar w:fldCharType="begin"/>
          </w:r>
          <w:r>
            <w:instrText xml:space="preserve"> CITATION Bas18 \l 1033 </w:instrText>
          </w:r>
          <w:r>
            <w:fldChar w:fldCharType="separate"/>
          </w:r>
          <w:r>
            <w:rPr>
              <w:noProof/>
            </w:rPr>
            <w:t xml:space="preserve"> (Baskerville, Rowe, &amp; Wolff, 2018)</w:t>
          </w:r>
          <w:r>
            <w:fldChar w:fldCharType="end"/>
          </w:r>
        </w:sdtContent>
      </w:sdt>
      <w:r>
        <w:t>.  If the impact is critical, then the business will need to either transfer that risk or avoid the scenario entirely.  For instance, foreign markets lack intellectual privacy protections, and this might discourage releasing cutting-edge technology to those audiences</w:t>
      </w:r>
      <w:sdt>
        <w:sdtPr>
          <w:id w:val="1363708929"/>
          <w:citation/>
        </w:sdtPr>
        <w:sdtContent>
          <w:r>
            <w:fldChar w:fldCharType="begin"/>
          </w:r>
          <w:r>
            <w:instrText xml:space="preserve"> CITATION Kre19 \l 1033 </w:instrText>
          </w:r>
          <w:r>
            <w:fldChar w:fldCharType="separate"/>
          </w:r>
          <w:r>
            <w:rPr>
              <w:noProof/>
            </w:rPr>
            <w:t xml:space="preserve"> (Krebs, 2019)</w:t>
          </w:r>
          <w:r>
            <w:fldChar w:fldCharType="end"/>
          </w:r>
        </w:sdtContent>
      </w:sdt>
      <w:r>
        <w:t xml:space="preserve">.  In other scenarios, avoiding a hostile market or business activity is not possible, making hedging with insurance a more appropriate response.  </w:t>
      </w:r>
      <w:r>
        <w:lastRenderedPageBreak/>
        <w:t>For example, it might be prohibitively expensive to have redundant manufacturing plants, while unlikely, if the building burnt down, then the organization would go out of business. These situations of catastrophic failure are ideal for insurance and other risk transference solutions.  If the situation is less impactful, then the company might choose either self-insurance or self-protection.  A self-insurance strategy might be cash reserves or options contracts to acquire resources during extreme demand or short supply.  For most other scenarios, the business needs to rely on controls that detect and react to failures promptly</w:t>
      </w:r>
      <w:sdt>
        <w:sdtPr>
          <w:id w:val="-1189131434"/>
          <w:citation/>
        </w:sdtPr>
        <w:sdtContent>
          <w:r>
            <w:fldChar w:fldCharType="begin"/>
          </w:r>
          <w:r>
            <w:instrText xml:space="preserve"> CITATION Kos15 \l 1033 </w:instrText>
          </w:r>
          <w:r>
            <w:fldChar w:fldCharType="separate"/>
          </w:r>
          <w:r>
            <w:rPr>
              <w:noProof/>
            </w:rPr>
            <w:t xml:space="preserve"> (Kosub, 2015)</w:t>
          </w:r>
          <w:r>
            <w:fldChar w:fldCharType="end"/>
          </w:r>
        </w:sdtContent>
      </w:sdt>
      <w:r>
        <w:t>.  These might include technologies such as anti-virus and Intrusion Detection/Prevention Systems (IDS/IPS).</w:t>
      </w:r>
    </w:p>
    <w:p w14:paraId="596855EA" w14:textId="77777777" w:rsidR="00A358F7" w:rsidRPr="00805894" w:rsidRDefault="00A358F7" w:rsidP="00A358F7">
      <w:r>
        <w:tab/>
        <w:t>Another strategy is to form tighter integrations between the system components as a mechanism to reduce the attack surface</w:t>
      </w:r>
      <w:sdt>
        <w:sdtPr>
          <w:id w:val="-1543128989"/>
          <w:citation/>
        </w:sdtPr>
        <w:sdtContent>
          <w:r>
            <w:fldChar w:fldCharType="begin"/>
          </w:r>
          <w:r>
            <w:instrText xml:space="preserve"> CITATION Bas18 \l 1033 </w:instrText>
          </w:r>
          <w:r>
            <w:fldChar w:fldCharType="separate"/>
          </w:r>
          <w:r>
            <w:rPr>
              <w:noProof/>
            </w:rPr>
            <w:t xml:space="preserve"> (Baskerville, Rowe, &amp; Wolff, 2018)</w:t>
          </w:r>
          <w:r>
            <w:fldChar w:fldCharType="end"/>
          </w:r>
        </w:sdtContent>
      </w:sdt>
      <w:r>
        <w:t>.  For instance, if the network topology requires a user to maintain five accounts with different password complexities, the security of those passwords will decrease to offset the lost convenience</w:t>
      </w:r>
      <w:sdt>
        <w:sdtPr>
          <w:id w:val="-754522982"/>
          <w:citation/>
        </w:sdtPr>
        <w:sdtContent>
          <w:r>
            <w:fldChar w:fldCharType="begin"/>
          </w:r>
          <w:r>
            <w:instrText xml:space="preserve"> CITATION Bus171 \l 1033 </w:instrText>
          </w:r>
          <w:r>
            <w:fldChar w:fldCharType="separate"/>
          </w:r>
          <w:r>
            <w:rPr>
              <w:noProof/>
            </w:rPr>
            <w:t xml:space="preserve"> (Busby, Green, &amp; Hutchison, 2017)</w:t>
          </w:r>
          <w:r>
            <w:fldChar w:fldCharType="end"/>
          </w:r>
        </w:sdtContent>
      </w:sdt>
      <w:r>
        <w:t>.  Instead, exposing Single Sign-On (SSO) capabilities improve the user experience and encourages more desirable credential management.  Another technical gain comes from the removal of redundant components, each with the potential to contain incorrect application code or configuration settings.  Removing redundancies also aids in more consistency through centralized policy management and enforcement.</w:t>
      </w:r>
    </w:p>
    <w:p w14:paraId="5C982AD3" w14:textId="75952799" w:rsidR="005737A3" w:rsidRDefault="005737A3" w:rsidP="005737A3">
      <w:pPr>
        <w:pStyle w:val="Heading1"/>
      </w:pPr>
      <w:r>
        <w:t>Section IV: Plan of Action and Milestones</w:t>
      </w:r>
    </w:p>
    <w:p w14:paraId="761D1FF9" w14:textId="59078B59" w:rsidR="005737A3" w:rsidRDefault="005737A3" w:rsidP="005737A3">
      <w:pPr>
        <w:pStyle w:val="Heading1"/>
      </w:pPr>
      <w:r>
        <w:t>Section V: Risk Reduction for Mobile Device Management</w:t>
      </w:r>
    </w:p>
    <w:p w14:paraId="74EC96AB" w14:textId="77777777" w:rsidR="00D80C70" w:rsidRDefault="00D80C70" w:rsidP="00D80C70">
      <w:pPr>
        <w:ind w:firstLine="720"/>
      </w:pPr>
      <w:r>
        <w:t xml:space="preserve">Legacy network environments heavily rely on centralizing information into a single mainframe or data warehouse.  Network security teams could protect these resources through border security solutions, such as firewalls and other network access controls.  However, this </w:t>
      </w:r>
      <w:r>
        <w:lastRenderedPageBreak/>
        <w:t>model lacks the convenience and data portability that users expect</w:t>
      </w:r>
      <w:r w:rsidRPr="006867EB">
        <w:t xml:space="preserve"> </w:t>
      </w:r>
      <w:sdt>
        <w:sdtPr>
          <w:id w:val="162287906"/>
          <w:citation/>
        </w:sdtPr>
        <w:sdtContent>
          <w:r>
            <w:fldChar w:fldCharType="begin"/>
          </w:r>
          <w:r>
            <w:instrText xml:space="preserve"> CITATION Ast16 \l 1033 </w:instrText>
          </w:r>
          <w:r>
            <w:fldChar w:fldCharType="separate"/>
          </w:r>
          <w:r>
            <w:rPr>
              <w:noProof/>
            </w:rPr>
            <w:t xml:space="preserve"> (Astani &amp; Ready, 2016)</w:t>
          </w:r>
          <w:r>
            <w:fldChar w:fldCharType="end"/>
          </w:r>
        </w:sdtContent>
      </w:sdt>
      <w:r>
        <w:t>, leading to the adoption of Master Data Management systems (</w:t>
      </w:r>
      <w:proofErr w:type="spellStart"/>
      <w:r>
        <w:t>MaDaMgmt</w:t>
      </w:r>
      <w:proofErr w:type="spellEnd"/>
      <w:r>
        <w:t xml:space="preserve">).  </w:t>
      </w:r>
    </w:p>
    <w:p w14:paraId="335D030D" w14:textId="77777777" w:rsidR="00D80C70" w:rsidRDefault="00D80C70" w:rsidP="00D80C70">
      <w:pPr>
        <w:ind w:firstLine="720"/>
      </w:pPr>
      <w:r>
        <w:t xml:space="preserve">The objective of </w:t>
      </w:r>
      <w:proofErr w:type="spellStart"/>
      <w:r>
        <w:t>MaDaMgmt</w:t>
      </w:r>
      <w:proofErr w:type="spellEnd"/>
      <w:r>
        <w:t xml:space="preserve"> is to enable the sharing of business entities and related feeds across the organization</w:t>
      </w:r>
      <w:sdt>
        <w:sdtPr>
          <w:id w:val="1372104944"/>
          <w:citation/>
        </w:sdtPr>
        <w:sdtContent>
          <w:r>
            <w:fldChar w:fldCharType="begin"/>
          </w:r>
          <w:r>
            <w:instrText xml:space="preserve">CITATION Riv17 \l 1033 </w:instrText>
          </w:r>
          <w:r>
            <w:fldChar w:fldCharType="separate"/>
          </w:r>
          <w:r>
            <w:rPr>
              <w:noProof/>
            </w:rPr>
            <w:t xml:space="preserve"> (Rivas, Caballero, Serrano, &amp; Pattini, 2017)</w:t>
          </w:r>
          <w:r>
            <w:fldChar w:fldCharType="end"/>
          </w:r>
        </w:sdtContent>
      </w:sdt>
      <w:r>
        <w:t>.  Now that employees could locally cache information on their corporate laptops and workstations, productivity increased, but ensuring data confidentiality and integrity became more complex.  Deploying client management tooling (CMT) allows the administrators to enforce security policy across these edge devices</w:t>
      </w:r>
      <w:sdt>
        <w:sdtPr>
          <w:id w:val="544952291"/>
          <w:citation/>
        </w:sdtPr>
        <w:sdtContent>
          <w:r>
            <w:fldChar w:fldCharType="begin"/>
          </w:r>
          <w:r>
            <w:instrText xml:space="preserve"> CITATION Tar18 \l 1033 </w:instrText>
          </w:r>
          <w:r>
            <w:fldChar w:fldCharType="separate"/>
          </w:r>
          <w:r>
            <w:rPr>
              <w:noProof/>
            </w:rPr>
            <w:t xml:space="preserve"> (Tarzey, 2018)</w:t>
          </w:r>
          <w:r>
            <w:fldChar w:fldCharType="end"/>
          </w:r>
        </w:sdtContent>
      </w:sdt>
      <w:r>
        <w:t>.  However, these CMT products tend to specialize in specific platforms and scenarios, which limits the device supportability matrix for corporate Information Technology (IT) departments.  Due to these restrictions, rigid homogenous topologies became the norm instead of allowing the best tool for the job.</w:t>
      </w:r>
    </w:p>
    <w:p w14:paraId="124AD6FA" w14:textId="77777777" w:rsidR="00D80C70" w:rsidRPr="00174C6D" w:rsidRDefault="00D80C70" w:rsidP="00D80C70">
      <w:pPr>
        <w:ind w:firstLine="720"/>
      </w:pPr>
      <w:r>
        <w:t>Modern networks believe that IT enables the business, not stifles innovation.  The emersion of the Bring-Your-Own-Device (BYOD) makes this perspective front and center</w:t>
      </w:r>
      <w:sdt>
        <w:sdtPr>
          <w:id w:val="-1919552627"/>
          <w:citation/>
        </w:sdtPr>
        <w:sdtContent>
          <w:r>
            <w:fldChar w:fldCharType="begin"/>
          </w:r>
          <w:r>
            <w:instrText xml:space="preserve"> CITATION Lam15 \l 1033 </w:instrText>
          </w:r>
          <w:r>
            <w:fldChar w:fldCharType="separate"/>
          </w:r>
          <w:r>
            <w:rPr>
              <w:noProof/>
            </w:rPr>
            <w:t xml:space="preserve"> (Lamolle, Menet, &amp; Le Duc, 2015)</w:t>
          </w:r>
          <w:r>
            <w:fldChar w:fldCharType="end"/>
          </w:r>
        </w:sdtContent>
      </w:sdt>
      <w:r>
        <w:t>.  With employees are free to use the best tool for their role, it results in highly diverse environments that span multiple technology stacks, like Windows, iOS, and Android.  That freedom improves productivity, at the cost of sensitive business information resides on devices not controlled by the organization and partially trusted at best.</w:t>
      </w:r>
    </w:p>
    <w:p w14:paraId="54B61198" w14:textId="77777777" w:rsidR="00D80C70" w:rsidRDefault="00D80C70" w:rsidP="00D80C70">
      <w:pPr>
        <w:pStyle w:val="Heading2"/>
      </w:pPr>
      <w:r>
        <w:t>Addressing these issues</w:t>
      </w:r>
    </w:p>
    <w:p w14:paraId="67CDE150" w14:textId="77777777" w:rsidR="00D80C70" w:rsidRPr="00515280" w:rsidRDefault="00D80C70" w:rsidP="00D80C70">
      <w:r>
        <w:tab/>
        <w:t xml:space="preserve">Client management tools give the system administrators the ability to define policy centrally and then target groups of workstations.  Effective device management needs a similar mechanism that accounts for platform-specific variations.  </w:t>
      </w:r>
      <w:r w:rsidRPr="00C42E08">
        <w:t>Unified Endpoint Management (UEM) addresses these issues by creating an abstraction layer that can translate corporate governance and policies into device</w:t>
      </w:r>
      <w:r>
        <w:t>-</w:t>
      </w:r>
      <w:r w:rsidRPr="00C42E08">
        <w:t>specific configurations</w:t>
      </w:r>
      <w:sdt>
        <w:sdtPr>
          <w:id w:val="-2072187879"/>
          <w:citation/>
        </w:sdtPr>
        <w:sdtContent>
          <w:r>
            <w:fldChar w:fldCharType="begin"/>
          </w:r>
          <w:r>
            <w:instrText xml:space="preserve"> CITATION Tar18 \l 1033 </w:instrText>
          </w:r>
          <w:r>
            <w:fldChar w:fldCharType="separate"/>
          </w:r>
          <w:r>
            <w:rPr>
              <w:noProof/>
            </w:rPr>
            <w:t xml:space="preserve"> (Tarzey, 2018)</w:t>
          </w:r>
          <w:r>
            <w:fldChar w:fldCharType="end"/>
          </w:r>
        </w:sdtContent>
      </w:sdt>
      <w:r w:rsidRPr="00C42E08">
        <w:t xml:space="preserve">.  For instance, the </w:t>
      </w:r>
      <w:r w:rsidRPr="00C42E08">
        <w:lastRenderedPageBreak/>
        <w:t xml:space="preserve">administrator can </w:t>
      </w:r>
      <w:r>
        <w:t xml:space="preserve">mandate the installation of </w:t>
      </w:r>
      <w:r w:rsidRPr="00C42E08">
        <w:t xml:space="preserve">all critical operating system patches.  </w:t>
      </w:r>
      <w:r>
        <w:t>The i</w:t>
      </w:r>
      <w:r w:rsidRPr="00C42E08">
        <w:t>mplementation of this action varies between Windows desktops, Apple iPhones, and Android Chromebooks</w:t>
      </w:r>
      <w:r>
        <w:t>—though the intent remains consistent</w:t>
      </w:r>
      <w:r w:rsidRPr="00C42E08">
        <w:t>.</w:t>
      </w:r>
      <w:r>
        <w:t xml:space="preserve">  In addition to desired configuration and patch management, UEM platforms can perform operations like remotely wiping the device or requesting inventory reports.  These actions enable the administrators to address specific challenges like the lost and stolen device scenarios.  Advanced solutions like Microsoft Intune and MobileIron, support sandbox technologies that prevent mixing personal and corporate data (</w:t>
      </w:r>
      <w:proofErr w:type="spellStart"/>
      <w:r>
        <w:t>Soseman</w:t>
      </w:r>
      <w:proofErr w:type="spellEnd"/>
      <w:r>
        <w:t>, 2019; MobileIron 2020).  The data context tagging also opens the door for smarter remote wipe scenarios that do not touch personal data like family pictures.</w:t>
      </w:r>
    </w:p>
    <w:p w14:paraId="78B045E5" w14:textId="45753F81" w:rsidR="005737A3" w:rsidRDefault="005737A3" w:rsidP="005737A3">
      <w:pPr>
        <w:pStyle w:val="Heading1"/>
      </w:pPr>
      <w:r>
        <w:t>Section VI: Tooling Recommendations</w:t>
      </w:r>
    </w:p>
    <w:p w14:paraId="3E1202F1" w14:textId="2808CDAB" w:rsidR="00A358F7" w:rsidRDefault="00A358F7" w:rsidP="00A358F7">
      <w:pPr>
        <w:ind w:firstLine="720"/>
      </w:pPr>
      <w:r>
        <w:t>In addition to standard solutions, such as anti-virus and patch management, the business should also consider intrusion detection systems that rely on signatures</w:t>
      </w:r>
      <w:sdt>
        <w:sdtPr>
          <w:id w:val="-1701699227"/>
          <w:citation/>
        </w:sdtPr>
        <w:sdtContent>
          <w:r>
            <w:fldChar w:fldCharType="begin"/>
          </w:r>
          <w:r>
            <w:instrText xml:space="preserve"> CITATION Meh15 \l 1033 </w:instrText>
          </w:r>
          <w:r>
            <w:fldChar w:fldCharType="separate"/>
          </w:r>
          <w:r>
            <w:rPr>
              <w:noProof/>
            </w:rPr>
            <w:t xml:space="preserve"> (Mehresh &amp; Upadhyaya, 2015)</w:t>
          </w:r>
          <w:r>
            <w:fldChar w:fldCharType="end"/>
          </w:r>
        </w:sdtContent>
      </w:sdt>
      <w:r>
        <w:t xml:space="preserve">.  These technologies confirm that the system meets cryptographical proofs that tampering has not occurred.  For instance, the operating system can use a Trusted Platform Module (TPM) to confirm the integrity of the boot loader and other critical components.  An argument exists for network traffic anomaly detection and </w:t>
      </w:r>
      <w:proofErr w:type="spellStart"/>
      <w:r>
        <w:t>HoneyPots</w:t>
      </w:r>
      <w:proofErr w:type="spellEnd"/>
      <w:sdt>
        <w:sdtPr>
          <w:id w:val="1866798396"/>
          <w:citation/>
        </w:sdtPr>
        <w:sdtContent>
          <w:r>
            <w:fldChar w:fldCharType="begin"/>
          </w:r>
          <w:r>
            <w:instrText xml:space="preserve"> CITATION Wes181 \l 1033 </w:instrText>
          </w:r>
          <w:r>
            <w:fldChar w:fldCharType="separate"/>
          </w:r>
          <w:r>
            <w:rPr>
              <w:noProof/>
            </w:rPr>
            <w:t xml:space="preserve"> (Westcon-Comstor, 2018)</w:t>
          </w:r>
          <w:r>
            <w:fldChar w:fldCharType="end"/>
          </w:r>
        </w:sdtContent>
      </w:sdt>
      <w:r>
        <w:t>.  However, these tools can report false positives and be challenging to configure correctly.</w:t>
      </w:r>
    </w:p>
    <w:p w14:paraId="74C6D330" w14:textId="677BC61B" w:rsidR="00A86D02" w:rsidRDefault="00A86D02" w:rsidP="00A86D02">
      <w:pPr>
        <w:pStyle w:val="Heading2"/>
      </w:pPr>
      <w:r>
        <w:t>Security Information and Event Management</w:t>
      </w:r>
    </w:p>
    <w:p w14:paraId="518E8BD7" w14:textId="77777777" w:rsidR="00A86D02" w:rsidRDefault="00A86D02" w:rsidP="00A86D02">
      <w:pPr>
        <w:ind w:firstLine="720"/>
      </w:pPr>
      <w:r>
        <w:t xml:space="preserve">Modern business topologies are dynamic and interconnected, containing components that originate from internal teams, external contractors, and third-party providers.  Overtime priorities shift and follow economic incentives to churn out new products and features, causing </w:t>
      </w:r>
      <w:proofErr w:type="spellStart"/>
      <w:r>
        <w:t>bitrot</w:t>
      </w:r>
      <w:proofErr w:type="spellEnd"/>
      <w:r>
        <w:t xml:space="preserve"> to neglected services and new features that lack sufficient security controls</w:t>
      </w:r>
      <w:sdt>
        <w:sdtPr>
          <w:id w:val="-31344440"/>
          <w:citation/>
        </w:sdtPr>
        <w:sdtContent>
          <w:r>
            <w:fldChar w:fldCharType="begin"/>
          </w:r>
          <w:r>
            <w:instrText xml:space="preserve">CITATION LiZ18 \l 1033 </w:instrText>
          </w:r>
          <w:r>
            <w:fldChar w:fldCharType="separate"/>
          </w:r>
          <w:r>
            <w:rPr>
              <w:noProof/>
            </w:rPr>
            <w:t xml:space="preserve"> (Li &amp; Liao, 2018)</w:t>
          </w:r>
          <w:r>
            <w:fldChar w:fldCharType="end"/>
          </w:r>
        </w:sdtContent>
      </w:sdt>
      <w:r>
        <w:t xml:space="preserve">.  Eventually, service failures occur within this complex environment leading to the natural </w:t>
      </w:r>
      <w:r>
        <w:lastRenderedPageBreak/>
        <w:t>question, “so what happened?”  The cost associated with solving this mystery is dependent on the quality of the auditing information.</w:t>
      </w:r>
    </w:p>
    <w:p w14:paraId="1CD98970" w14:textId="77777777" w:rsidR="00A86D02" w:rsidRDefault="00A86D02" w:rsidP="00A86D02">
      <w:pPr>
        <w:ind w:firstLine="720"/>
      </w:pPr>
      <w:r>
        <w:t xml:space="preserve">Half of these moments come from employee negligence, a quarter from system errors, and the remainder from malicious sources </w:t>
      </w:r>
      <w:sdt>
        <w:sdtPr>
          <w:id w:val="-176345196"/>
          <w:citation/>
        </w:sdtPr>
        <w:sdtContent>
          <w:r>
            <w:fldChar w:fldCharType="begin"/>
          </w:r>
          <w:r>
            <w:instrText xml:space="preserve">CITATION Val17 \l 1033 </w:instrText>
          </w:r>
          <w:r>
            <w:fldChar w:fldCharType="separate"/>
          </w:r>
          <w:r>
            <w:rPr>
              <w:noProof/>
            </w:rPr>
            <w:t xml:space="preserve"> (Valiente, 2017)</w:t>
          </w:r>
          <w:r>
            <w:fldChar w:fldCharType="end"/>
          </w:r>
        </w:sdtContent>
      </w:sdt>
      <w:r>
        <w:t xml:space="preserve">.  According to this breakdown, there is significant value is auditing all change across every business process. In addition to these failure scenarios, there must also be considerations around industry norms and regulatory requirements.  Not if, but when customers file litigation against NCU-F, the business must have documentation that </w:t>
      </w:r>
      <w:r w:rsidRPr="006A4F1F">
        <w:t>corroborate</w:t>
      </w:r>
      <w:r>
        <w:t>s the truth</w:t>
      </w:r>
      <w:sdt>
        <w:sdtPr>
          <w:id w:val="-1662835770"/>
          <w:citation/>
        </w:sdtPr>
        <w:sdtContent>
          <w:r>
            <w:fldChar w:fldCharType="begin"/>
          </w:r>
          <w:r>
            <w:instrText xml:space="preserve"> CITATION Kee15 \l 1033 </w:instrText>
          </w:r>
          <w:r>
            <w:fldChar w:fldCharType="separate"/>
          </w:r>
          <w:r>
            <w:rPr>
              <w:noProof/>
            </w:rPr>
            <w:t xml:space="preserve"> (Keel, 2015)</w:t>
          </w:r>
          <w:r>
            <w:fldChar w:fldCharType="end"/>
          </w:r>
        </w:sdtContent>
      </w:sdt>
      <w:r>
        <w:t>.  Otherwise, misconstruing facts could force the business to admit fault erroneously.  Likewise, if the mandatory audit trails are not available, then regulatory boards can seek damages for non-compliance.</w:t>
      </w:r>
    </w:p>
    <w:p w14:paraId="607A620E" w14:textId="4DB48A14" w:rsidR="00A86D02" w:rsidRDefault="00A86D02" w:rsidP="00A86D02">
      <w:pPr>
        <w:ind w:firstLine="720"/>
      </w:pPr>
      <w:r>
        <w:t>However, a trade-off exists between performance, storage, and observability, which might limit NCU-F’s ability to collect and persist such an enormous volume of data</w:t>
      </w:r>
      <w:sdt>
        <w:sdtPr>
          <w:id w:val="-1293278129"/>
          <w:citation/>
        </w:sdtPr>
        <w:sdtContent>
          <w:r>
            <w:fldChar w:fldCharType="begin"/>
          </w:r>
          <w:r>
            <w:instrText xml:space="preserve"> CITATION Ade15 \l 1033 </w:instrText>
          </w:r>
          <w:r>
            <w:fldChar w:fldCharType="separate"/>
          </w:r>
          <w:r>
            <w:rPr>
              <w:noProof/>
            </w:rPr>
            <w:t xml:space="preserve"> (Adedayo &amp; Oliver, 2015)</w:t>
          </w:r>
          <w:r>
            <w:fldChar w:fldCharType="end"/>
          </w:r>
        </w:sdtContent>
      </w:sdt>
      <w:r>
        <w:t>.  When choosing what information to keep, a one-size-fits-all solution does not exist.  Instead, the administrators need to categorize the potential value of these various events in terms of needs for experimental and retrospective reconstruction.</w:t>
      </w:r>
    </w:p>
    <w:p w14:paraId="22220F43" w14:textId="5945D152" w:rsidR="00A86D02" w:rsidRDefault="00A86D02" w:rsidP="00A86D02">
      <w:pPr>
        <w:ind w:firstLine="720"/>
      </w:pPr>
      <w:r>
        <w:t xml:space="preserve">While there are many benefits to having a formal SIEM product, it is not a magic box and only provides insights into integrated systems.  For instance, NCU-F exposes a public enrollment portal that follows a standard three-tier architecture (see Figure 1).  If monitoring exists only for the database, then it can be perplexing to investigate the reason behind specific alerts.  Perhaps a careless technician is servicing a request against the wrong server.  Alternatively, the inclusion of router and switch logs could detect this traffic anomaly.  Unfortunately, SIEM providers often follow the “more for more” mantra and charge higher licensing fees for additional coverage.  The support of different technology stacks can also depend on the focus areas of the SIEM platform </w:t>
      </w:r>
      <w:r>
        <w:lastRenderedPageBreak/>
        <w:t>(see Table 1).  Before choosing a provider, the organization needs to assess the most concerning scenarios and acceptable costs.  For example, a simple branch office that already uses McAfee anti-virus will likely find McAfee Security Manager a great fit.</w:t>
      </w:r>
    </w:p>
    <w:p w14:paraId="44DD36BD" w14:textId="2E74E968" w:rsidR="005737A3" w:rsidRDefault="005737A3" w:rsidP="005737A3">
      <w:pPr>
        <w:pStyle w:val="Heading1"/>
      </w:pPr>
      <w:r>
        <w:t xml:space="preserve">Section VII: </w:t>
      </w:r>
      <w:r w:rsidR="00A86D02">
        <w:t>Privacy and Risk from Cloud Environments</w:t>
      </w:r>
    </w:p>
    <w:p w14:paraId="795D812B" w14:textId="77777777" w:rsidR="00A8113B" w:rsidRDefault="00A8113B" w:rsidP="00A8113B">
      <w:pPr>
        <w:pStyle w:val="Heading2"/>
      </w:pPr>
      <w:r>
        <w:t xml:space="preserve">Abstract Borders, Cloud, and </w:t>
      </w:r>
      <w:proofErr w:type="spellStart"/>
      <w:r>
        <w:t>XaaS</w:t>
      </w:r>
      <w:proofErr w:type="spellEnd"/>
    </w:p>
    <w:p w14:paraId="0D915A8D" w14:textId="0CB7A6AB" w:rsidR="00A8113B" w:rsidRPr="00A358F7" w:rsidRDefault="00A8113B" w:rsidP="00A8113B">
      <w:pPr>
        <w:ind w:firstLine="720"/>
      </w:pPr>
      <w:r>
        <w:t>Traditional cybersecurity solutions focus on hardening the network parameter with firewalls and vulnerability scanners.  However, this approach is no longer sufficient as attackers center their efforts on the application layer</w:t>
      </w:r>
      <w:sdt>
        <w:sdtPr>
          <w:id w:val="949367783"/>
          <w:citation/>
        </w:sdtPr>
        <w:sdtContent>
          <w:r>
            <w:fldChar w:fldCharType="begin"/>
          </w:r>
          <w:r>
            <w:instrText xml:space="preserve"> CITATION Ast16 \l 1033 </w:instrText>
          </w:r>
          <w:r>
            <w:fldChar w:fldCharType="separate"/>
          </w:r>
          <w:r>
            <w:rPr>
              <w:noProof/>
            </w:rPr>
            <w:t xml:space="preserve"> (Astani &amp; Ready, 2016)</w:t>
          </w:r>
          <w:r>
            <w:fldChar w:fldCharType="end"/>
          </w:r>
        </w:sdtContent>
      </w:sdt>
      <w:r>
        <w:t>.   By design, anonymous users can interact with the organization through public interfaces, such as web services and email.  When malicious actors exploit Structured Query Language Injections (</w:t>
      </w:r>
      <w:proofErr w:type="spellStart"/>
      <w:r>
        <w:t>SQLi</w:t>
      </w:r>
      <w:proofErr w:type="spellEnd"/>
      <w:r>
        <w:t>) or embed ransomware into mail attachments—it bypasses these network barriers and allows unauthorized access to information.  Further complicating matters, the boundary of the network is becoming more abstract due to the notion of “everything as a service”</w:t>
      </w:r>
      <w:sdt>
        <w:sdtPr>
          <w:id w:val="2018573552"/>
          <w:citation/>
        </w:sdtPr>
        <w:sdtContent>
          <w:r>
            <w:fldChar w:fldCharType="begin"/>
          </w:r>
          <w:r>
            <w:instrText xml:space="preserve"> CITATION Pal20 \l 1033 </w:instrText>
          </w:r>
          <w:r>
            <w:fldChar w:fldCharType="separate"/>
          </w:r>
          <w:r>
            <w:rPr>
              <w:noProof/>
            </w:rPr>
            <w:t xml:space="preserve"> (Paller, Mahalik, Skoudis, &amp; Ullrich, 2020)</w:t>
          </w:r>
          <w:r>
            <w:fldChar w:fldCharType="end"/>
          </w:r>
        </w:sdtContent>
      </w:sdt>
      <w:r>
        <w:t>.  For instance, 40% of enterprises are in the process of uplifting mission-critical services, like identity and authorization, into third-party providers</w:t>
      </w:r>
      <w:sdt>
        <w:sdtPr>
          <w:id w:val="-1170865780"/>
          <w:citation/>
        </w:sdtPr>
        <w:sdtContent>
          <w:r>
            <w:fldChar w:fldCharType="begin"/>
          </w:r>
          <w:r>
            <w:instrText xml:space="preserve"> CITATION Gal17 \l 1033 </w:instrText>
          </w:r>
          <w:r>
            <w:fldChar w:fldCharType="separate"/>
          </w:r>
          <w:r>
            <w:rPr>
              <w:noProof/>
            </w:rPr>
            <w:t xml:space="preserve"> (Galinec &amp; Steingartner, 2017)</w:t>
          </w:r>
          <w:r>
            <w:fldChar w:fldCharType="end"/>
          </w:r>
        </w:sdtContent>
      </w:sdt>
      <w:r>
        <w:t xml:space="preserve">.  Shifting ownership to these provides does not mean transferring the responsibility of risk.  Users do not care if </w:t>
      </w:r>
      <w:proofErr w:type="spellStart"/>
      <w:r>
        <w:t>DropBox</w:t>
      </w:r>
      <w:proofErr w:type="spellEnd"/>
      <w:r>
        <w:t xml:space="preserve"> or Amazon owns the physical server—they entrusted the stewardship of their data to HTM and will blame them for negligent handling.  Modern businesses need to evolve their controls to meet the challenges of these application-specific vulnerabilities using strategies that encompasses people, processes, and products.</w:t>
      </w:r>
    </w:p>
    <w:p w14:paraId="5CCA0D11" w14:textId="7C81B8D2" w:rsidR="005737A3" w:rsidRDefault="00A358F7" w:rsidP="00A358F7">
      <w:pPr>
        <w:pStyle w:val="Heading1"/>
      </w:pPr>
      <w:r>
        <w:t>Section V</w:t>
      </w:r>
      <w:r w:rsidR="00A86D02">
        <w:t>I</w:t>
      </w:r>
      <w:r>
        <w:t xml:space="preserve">II: </w:t>
      </w:r>
      <w:r w:rsidR="005737A3">
        <w:t>Incident Response Process</w:t>
      </w:r>
    </w:p>
    <w:p w14:paraId="4542469A" w14:textId="77777777" w:rsidR="00A358F7" w:rsidRDefault="00A358F7" w:rsidP="00A358F7">
      <w:r>
        <w:t xml:space="preserve">The attack against the NCU-F application interface has enabled international actors to install multiple strains of malware onto the network.  The administrative team must devise a response </w:t>
      </w:r>
      <w:r>
        <w:lastRenderedPageBreak/>
        <w:t xml:space="preserve">plan to contain the infestation and restore business continuity.  While the number of critical issues can be overwhelming, the organization must follow a methodical approach to remediate the situation.  The remediation strategy should follow industry best practices, like the guidance from COBIT and NIST Cybersecurity Framework.  </w:t>
      </w:r>
    </w:p>
    <w:p w14:paraId="1A9B5AAA" w14:textId="77777777" w:rsidR="00A358F7" w:rsidRDefault="00A358F7" w:rsidP="00A358F7">
      <w:pPr>
        <w:pStyle w:val="Heading2"/>
      </w:pPr>
      <w:r>
        <w:t>Corporate Network</w:t>
      </w:r>
    </w:p>
    <w:p w14:paraId="54F1E1A1" w14:textId="77777777" w:rsidR="00A358F7" w:rsidRDefault="00A358F7" w:rsidP="00A358F7">
      <w:pPr>
        <w:ind w:firstLine="720"/>
      </w:pPr>
      <w:r>
        <w:t>This mitigation approach must use Identify-Plan-Do-Check feedback loops, which prioritizes assets and objectives that are the most critical first</w:t>
      </w:r>
      <w:r w:rsidRPr="00AA5218">
        <w:t xml:space="preserve"> </w:t>
      </w:r>
      <w:sdt>
        <w:sdtPr>
          <w:id w:val="1720087293"/>
          <w:citation/>
        </w:sdtPr>
        <w:sdtContent>
          <w:r>
            <w:fldChar w:fldCharType="begin"/>
          </w:r>
          <w:r>
            <w:instrText xml:space="preserve"> CITATION Rad15 \l 1033 </w:instrText>
          </w:r>
          <w:r>
            <w:fldChar w:fldCharType="separate"/>
          </w:r>
          <w:r>
            <w:rPr>
              <w:noProof/>
            </w:rPr>
            <w:t xml:space="preserve"> (Radhakrishnan, 2015)</w:t>
          </w:r>
          <w:r>
            <w:fldChar w:fldCharType="end"/>
          </w:r>
        </w:sdtContent>
      </w:sdt>
      <w:r>
        <w:t xml:space="preserve">.  Ransomware has </w:t>
      </w:r>
      <w:proofErr w:type="gramStart"/>
      <w:r>
        <w:t>corrupt</w:t>
      </w:r>
      <w:proofErr w:type="gramEnd"/>
      <w:r>
        <w:t xml:space="preserve"> the mission-critical database and payroll department.  Without access to that database, NCU-F cannot continue any operations.  Meanwhile, the accounting department can temporarily resort to more mechanical processes or offload to </w:t>
      </w:r>
      <w:proofErr w:type="gramStart"/>
      <w:r>
        <w:t>third-parties</w:t>
      </w:r>
      <w:proofErr w:type="gramEnd"/>
      <w:r>
        <w:t>.  After identifying the most critical systems, planning needs to stop the bleeding before drilling into a longer-term solution.  For example, deploying the most recent backup of the database, upgrading the software patches, and installing new malware definitions might be an acceptable first step.  However, later cleanup will need to revisit configurations and additional access controls.</w:t>
      </w:r>
    </w:p>
    <w:p w14:paraId="5E69CE54" w14:textId="77777777" w:rsidR="00A358F7" w:rsidRDefault="00A358F7" w:rsidP="00A358F7">
      <w:pPr>
        <w:pStyle w:val="Heading2"/>
      </w:pPr>
      <w:r>
        <w:t>Branch Offices</w:t>
      </w:r>
    </w:p>
    <w:p w14:paraId="1C1D5B7D" w14:textId="77777777" w:rsidR="00A358F7" w:rsidRDefault="00A358F7" w:rsidP="00A358F7">
      <w:pPr>
        <w:ind w:firstLine="720"/>
      </w:pPr>
      <w:r>
        <w:t>The network administration team will need to quarantine systems that fail to meet specific conditions.  One solution is to use System Health Validation (SHV) to confirm the compliance of an endpoint with intranet policies</w:t>
      </w:r>
      <w:sdt>
        <w:sdtPr>
          <w:id w:val="-173498497"/>
          <w:citation/>
        </w:sdtPr>
        <w:sdtContent>
          <w:r>
            <w:fldChar w:fldCharType="begin"/>
          </w:r>
          <w:r>
            <w:instrText xml:space="preserve"> CITATION Mic181 \l 1033 </w:instrText>
          </w:r>
          <w:r>
            <w:fldChar w:fldCharType="separate"/>
          </w:r>
          <w:r>
            <w:rPr>
              <w:noProof/>
            </w:rPr>
            <w:t xml:space="preserve"> (Microsoft, 2018)</w:t>
          </w:r>
          <w:r>
            <w:fldChar w:fldCharType="end"/>
          </w:r>
        </w:sdtContent>
      </w:sdt>
      <w:r>
        <w:t xml:space="preserve">.  These policies can include checks that virus signatures and system patches are recent.  A risk exists that the attack could rely on zero-day exploits that can </w:t>
      </w:r>
      <w:proofErr w:type="spellStart"/>
      <w:r>
        <w:t>reinfect</w:t>
      </w:r>
      <w:proofErr w:type="spellEnd"/>
      <w:r>
        <w:t xml:space="preserve"> the machines, though, in practice, this is less likely to occur.  Nearly 99% of all malware attacks use public vulnerabilities that are over a year old</w:t>
      </w:r>
      <w:sdt>
        <w:sdtPr>
          <w:id w:val="-669244481"/>
          <w:citation/>
        </w:sdtPr>
        <w:sdtContent>
          <w:r>
            <w:fldChar w:fldCharType="begin"/>
          </w:r>
          <w:r>
            <w:instrText xml:space="preserve"> CITATION Gal17 \l 1033 </w:instrText>
          </w:r>
          <w:r>
            <w:fldChar w:fldCharType="separate"/>
          </w:r>
          <w:r>
            <w:rPr>
              <w:noProof/>
            </w:rPr>
            <w:t xml:space="preserve"> (Galinec &amp; Steingartner, 2017)</w:t>
          </w:r>
          <w:r>
            <w:fldChar w:fldCharType="end"/>
          </w:r>
        </w:sdtContent>
      </w:sdt>
      <w:r>
        <w:t>.  This behavior is partially due to reliable zero-day vulnerabilities being worth tens of thousands of dollars on the dark web, versus public exploits are often free</w:t>
      </w:r>
      <w:sdt>
        <w:sdtPr>
          <w:id w:val="1473486939"/>
          <w:citation/>
        </w:sdtPr>
        <w:sdtContent>
          <w:r>
            <w:fldChar w:fldCharType="begin"/>
          </w:r>
          <w:r>
            <w:instrText xml:space="preserve"> CITATION Eme171 \l 1033 </w:instrText>
          </w:r>
          <w:r>
            <w:fldChar w:fldCharType="separate"/>
          </w:r>
          <w:r>
            <w:rPr>
              <w:noProof/>
            </w:rPr>
            <w:t xml:space="preserve"> </w:t>
          </w:r>
          <w:r>
            <w:rPr>
              <w:noProof/>
            </w:rPr>
            <w:lastRenderedPageBreak/>
            <w:t>(Emery, 2017)</w:t>
          </w:r>
          <w:r>
            <w:fldChar w:fldCharType="end"/>
          </w:r>
        </w:sdtContent>
      </w:sdt>
      <w:r>
        <w:t>.  However, nation-states and other well-financed actors might have economic means for using such a weapon.</w:t>
      </w:r>
    </w:p>
    <w:p w14:paraId="2D4B7E43" w14:textId="77777777" w:rsidR="00A358F7" w:rsidRDefault="00A358F7" w:rsidP="00A358F7">
      <w:pPr>
        <w:pStyle w:val="Heading2"/>
      </w:pPr>
      <w:r>
        <w:t>Cloud Technologies</w:t>
      </w:r>
    </w:p>
    <w:p w14:paraId="44379E7D" w14:textId="0F80D5F8" w:rsidR="00A358F7" w:rsidRDefault="00A358F7" w:rsidP="00A358F7">
      <w:r>
        <w:tab/>
        <w:t>NCU-F uses VPN technologies for extending the corporate network into the cloud infrastructure (see Figure 1).  Operating a hybrid cloud creates many efficiencies but can introduce single points of failure.  For example, during the malware attack, the public web application is offline due to dependencies on private datacenter systems.  Instead, replication technologies could maintain copies of those private resources within the cloud, constraining the blast radius to the intranet</w:t>
      </w:r>
      <w:r>
        <w:t>’</w:t>
      </w:r>
      <w:r>
        <w:t xml:space="preserve">s edge.  The company should also consider the inclusion of anti-malware technologies at various strategic points in the topology.  For example, incoming files for the public web application need to stage the content for static and dynamic analysis through tools like </w:t>
      </w:r>
      <w:proofErr w:type="spellStart"/>
      <w:r>
        <w:t>ClamAV</w:t>
      </w:r>
      <w:proofErr w:type="spellEnd"/>
      <w:r>
        <w:t xml:space="preserve"> and Cuckoo</w:t>
      </w:r>
      <w:sdt>
        <w:sdtPr>
          <w:id w:val="319467881"/>
          <w:citation/>
        </w:sdtPr>
        <w:sdtContent>
          <w:r>
            <w:fldChar w:fldCharType="begin"/>
          </w:r>
          <w:r>
            <w:instrText xml:space="preserve"> CITATION Kil171 \l 1033 </w:instrText>
          </w:r>
          <w:r>
            <w:fldChar w:fldCharType="separate"/>
          </w:r>
          <w:r>
            <w:rPr>
              <w:noProof/>
            </w:rPr>
            <w:t xml:space="preserve"> (Kilgallon, De La Rosa, &amp; Cavazos, 2017)</w:t>
          </w:r>
          <w:r>
            <w:fldChar w:fldCharType="end"/>
          </w:r>
        </w:sdtContent>
      </w:sdt>
      <w:r>
        <w:t>.</w:t>
      </w:r>
    </w:p>
    <w:p w14:paraId="24C80C8F" w14:textId="77777777" w:rsidR="00A358F7" w:rsidRDefault="00A358F7" w:rsidP="00A358F7">
      <w:pPr>
        <w:pStyle w:val="Heading2"/>
      </w:pPr>
      <w:r>
        <w:t>People</w:t>
      </w:r>
    </w:p>
    <w:p w14:paraId="29969A0D" w14:textId="5777F52D" w:rsidR="00A358F7" w:rsidRDefault="00A358F7" w:rsidP="00A358F7">
      <w:r>
        <w:tab/>
        <w:t>One of the byproducts of modern networks having abstract borders is that the rampant malware does not stop at devices owned exclusively by NCU-F.  Instead, it continues onto personal devices, which triggers automated backup systems and social media services to further propagating across friends and family members</w:t>
      </w:r>
      <w:sdt>
        <w:sdtPr>
          <w:id w:val="-1223977900"/>
          <w:citation/>
        </w:sdtPr>
        <w:sdtContent>
          <w:r>
            <w:fldChar w:fldCharType="begin"/>
          </w:r>
          <w:r>
            <w:instrText xml:space="preserve"> CITATION Bal171 \l 1033 </w:instrText>
          </w:r>
          <w:r>
            <w:fldChar w:fldCharType="separate"/>
          </w:r>
          <w:r>
            <w:rPr>
              <w:noProof/>
            </w:rPr>
            <w:t xml:space="preserve"> (Balupari &amp; Singh, 2017)</w:t>
          </w:r>
          <w:r>
            <w:fldChar w:fldCharType="end"/>
          </w:r>
        </w:sdtContent>
      </w:sdt>
      <w:r>
        <w:t>.  At a minimum, the organization has an ethical obligation to guide team members and provide anti</w:t>
      </w:r>
      <w:r>
        <w:t>-</w:t>
      </w:r>
      <w:r>
        <w:t>virus licenses.  Depending on the specifics, the company could also be liable for any damages to employee property.</w:t>
      </w:r>
    </w:p>
    <w:p w14:paraId="11A09EDF" w14:textId="77777777" w:rsidR="00A358F7" w:rsidRDefault="00A358F7" w:rsidP="00A358F7">
      <w:pPr>
        <w:pStyle w:val="Heading2"/>
      </w:pPr>
      <w:r>
        <w:t>Coming Back Stronger</w:t>
      </w:r>
    </w:p>
    <w:p w14:paraId="59FB82B0" w14:textId="77777777" w:rsidR="00A358F7" w:rsidRPr="00EB16FC" w:rsidRDefault="00A358F7" w:rsidP="00A358F7">
      <w:pPr>
        <w:ind w:firstLine="720"/>
      </w:pPr>
      <w:r>
        <w:t xml:space="preserve">After addressing the initial crisis, the business must come up with alerting and monitoring enhancements to become more proactive against future attacks.  One reason that this attack will </w:t>
      </w:r>
      <w:r>
        <w:lastRenderedPageBreak/>
        <w:t>be tedious to recover and very expensive is because of the extensive infestation across the entire topology.  Using endpoint protection software would give the administrators more forewarning that this issue was becoming uncontrollable.  While the business might lack the expertise to handle that scenario, it could have begun seeking external consultants and third-party experts.</w:t>
      </w:r>
    </w:p>
    <w:p w14:paraId="3971D07D" w14:textId="1F186C82" w:rsidR="005737A3" w:rsidRDefault="00A358F7" w:rsidP="00A358F7">
      <w:pPr>
        <w:pStyle w:val="Heading1"/>
      </w:pPr>
      <w:r>
        <w:t xml:space="preserve">Section VIII: </w:t>
      </w:r>
      <w:r w:rsidR="005737A3">
        <w:t>Vulnerability Assessments</w:t>
      </w:r>
    </w:p>
    <w:p w14:paraId="4746D701" w14:textId="40F4A44D" w:rsidR="00A358F7" w:rsidRDefault="00A358F7" w:rsidP="00A358F7">
      <w:pPr>
        <w:ind w:firstLine="720"/>
      </w:pPr>
      <w:r>
        <w:t xml:space="preserve">A vulnerability occurs at the intersection of (1) system </w:t>
      </w:r>
      <w:r w:rsidRPr="00626208">
        <w:t>susceptibility</w:t>
      </w:r>
      <w:r>
        <w:t>; (2) threat accessibility; and (3) threat capability</w:t>
      </w:r>
      <w:sdt>
        <w:sdtPr>
          <w:id w:val="929321081"/>
          <w:citation/>
        </w:sdtPr>
        <w:sdtContent>
          <w:r>
            <w:fldChar w:fldCharType="begin"/>
          </w:r>
          <w:r>
            <w:instrText xml:space="preserve"> CITATION Bas181 \l 1033 </w:instrText>
          </w:r>
          <w:r>
            <w:fldChar w:fldCharType="separate"/>
          </w:r>
          <w:r>
            <w:rPr>
              <w:noProof/>
            </w:rPr>
            <w:t xml:space="preserve"> (Baskerville, Rowe, &amp; Wolff, 2018)</w:t>
          </w:r>
          <w:r>
            <w:fldChar w:fldCharType="end"/>
          </w:r>
        </w:sdtContent>
      </w:sdt>
      <w:r>
        <w:t>.  Nullifying any of these predicates mitigates an attacker’s ability to compromise the confidentiality, integrity, and availability from that specific threat.  The costs to address these predicates range substantially and are highly scenario specific.  For instance, the legacy mainframe lacks support for modern network encryption and authorization protocols.  Upgrading or replacing the system are not feasible solutions, though moving the server to a private network disconnects the threat’s accessibility.  Another configuration, such as a public web application, might experience the opposite problem where patching the software defect is a more natural path forward.  Over a long enough period, all vulnerabilities are discovered and exploited</w:t>
      </w:r>
      <w:sdt>
        <w:sdtPr>
          <w:id w:val="-1196231360"/>
          <w:citation/>
        </w:sdtPr>
        <w:sdtContent>
          <w:r>
            <w:fldChar w:fldCharType="begin"/>
          </w:r>
          <w:r>
            <w:instrText xml:space="preserve"> CITATION McL18 \l 1033 </w:instrText>
          </w:r>
          <w:r>
            <w:fldChar w:fldCharType="separate"/>
          </w:r>
          <w:r>
            <w:rPr>
              <w:noProof/>
            </w:rPr>
            <w:t xml:space="preserve"> (McLane, 2018)</w:t>
          </w:r>
          <w:r>
            <w:fldChar w:fldCharType="end"/>
          </w:r>
        </w:sdtContent>
      </w:sdt>
      <w:r>
        <w:t>.  Processes need to combinations of proactive and reactive defenses to defuse these timebombs before they explode.</w:t>
      </w:r>
    </w:p>
    <w:p w14:paraId="4598BDDD" w14:textId="77777777" w:rsidR="00A358F7" w:rsidRDefault="00A358F7" w:rsidP="00A358F7">
      <w:pPr>
        <w:pStyle w:val="Heading2"/>
      </w:pPr>
      <w:r>
        <w:t>Identification</w:t>
      </w:r>
    </w:p>
    <w:p w14:paraId="044FF1F9" w14:textId="29458828" w:rsidR="00A358F7" w:rsidRDefault="00A358F7" w:rsidP="00A358F7">
      <w:r>
        <w:tab/>
        <w:t xml:space="preserve">Detection of the vulnerability might come from static (offline) or dynamic (online) analysis (see Figure 3).  Static Analysis Tools (SAT), such as SonarQube and </w:t>
      </w:r>
      <w:proofErr w:type="spellStart"/>
      <w:r>
        <w:t>Checkmarx</w:t>
      </w:r>
      <w:proofErr w:type="spellEnd"/>
      <w:r>
        <w:t xml:space="preserve">, parse the source code into graph-like structures and then run queries to find defects in the application.  While there is the potential of encountering false positives and false negatives, these lint checks are effective at catching problems in proprietary systems.  Dynamic Analysis Tools (DAT) use </w:t>
      </w:r>
      <w:r>
        <w:lastRenderedPageBreak/>
        <w:t>telemetry to monitor for security-critical events, making it ideal for black-box situations and discovering unknown unknowns.  Outside of tooling, periodic process audits and patch management solutions can surface that a problem exists.</w:t>
      </w:r>
    </w:p>
    <w:p w14:paraId="3960281C" w14:textId="77777777" w:rsidR="00A358F7" w:rsidRDefault="00A358F7" w:rsidP="00A358F7">
      <w:pPr>
        <w:pStyle w:val="Caption"/>
      </w:pPr>
      <w:r>
        <w:t>Figure 3: Identification Strategies</w:t>
      </w:r>
    </w:p>
    <w:p w14:paraId="38EF83C1" w14:textId="77777777" w:rsidR="00A358F7" w:rsidRDefault="00A358F7" w:rsidP="00A358F7">
      <w:pPr>
        <w:jc w:val="center"/>
      </w:pPr>
      <w:r>
        <w:rPr>
          <w:noProof/>
        </w:rPr>
        <w:drawing>
          <wp:inline distT="0" distB="0" distL="0" distR="0" wp14:anchorId="579E44D3" wp14:editId="6DC337F4">
            <wp:extent cx="3405409" cy="2268748"/>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68416" cy="2310725"/>
                    </a:xfrm>
                    <a:prstGeom prst="rect">
                      <a:avLst/>
                    </a:prstGeom>
                    <a:noFill/>
                    <a:ln>
                      <a:noFill/>
                    </a:ln>
                  </pic:spPr>
                </pic:pic>
              </a:graphicData>
            </a:graphic>
          </wp:inline>
        </w:drawing>
      </w:r>
    </w:p>
    <w:p w14:paraId="27C5AE44" w14:textId="77777777" w:rsidR="00A358F7" w:rsidRDefault="00A358F7" w:rsidP="00A358F7">
      <w:pPr>
        <w:pStyle w:val="Heading2"/>
      </w:pPr>
      <w:r>
        <w:t>Plan</w:t>
      </w:r>
    </w:p>
    <w:p w14:paraId="65BB2F75" w14:textId="77777777" w:rsidR="00A358F7" w:rsidRPr="00900BFD" w:rsidRDefault="00A358F7" w:rsidP="00A358F7">
      <w:r>
        <w:tab/>
        <w:t>The full impact of a vulnerability might not be immediately visible, as engineering teams often copy-paste existing code and infrastructure into multiple locations.  During the planning phase, the senior leaders need to agree on a communication strategy and proposal for introducing the new changes.  Consider a scenario where insufficient controls exist for a shared database. Arbitrarily adding defenses will break downstream processes and cause a production outage.  Like other software projects, an iterative design must occur that seeks the maximum immediate value</w:t>
      </w:r>
      <w:r w:rsidRPr="002649AF">
        <w:t xml:space="preserve"> </w:t>
      </w:r>
      <w:sdt>
        <w:sdtPr>
          <w:id w:val="-2110953603"/>
          <w:citation/>
        </w:sdtPr>
        <w:sdtContent>
          <w:r>
            <w:fldChar w:fldCharType="begin"/>
          </w:r>
          <w:r>
            <w:instrText xml:space="preserve"> CITATION Lam16 \l 1033 </w:instrText>
          </w:r>
          <w:r>
            <w:fldChar w:fldCharType="separate"/>
          </w:r>
          <w:r>
            <w:rPr>
              <w:noProof/>
            </w:rPr>
            <w:t xml:space="preserve"> (Lam, 2016)</w:t>
          </w:r>
          <w:r>
            <w:fldChar w:fldCharType="end"/>
          </w:r>
        </w:sdtContent>
      </w:sdt>
      <w:r>
        <w:t>.  Though not ideal, the security team needs to weigh the potential schedule risk that comes from doing everything upfront.  Perhaps this means only protecting against one of N situations initially and returning to the others later.</w:t>
      </w:r>
    </w:p>
    <w:p w14:paraId="591883A7" w14:textId="77777777" w:rsidR="00A358F7" w:rsidRDefault="00A358F7" w:rsidP="00A358F7">
      <w:pPr>
        <w:pStyle w:val="Heading2"/>
      </w:pPr>
      <w:r>
        <w:t>Mitigation and Verification</w:t>
      </w:r>
    </w:p>
    <w:p w14:paraId="1C7F89F1" w14:textId="77777777" w:rsidR="00A358F7" w:rsidRDefault="00A358F7" w:rsidP="00A358F7">
      <w:r>
        <w:tab/>
        <w:t xml:space="preserve">Mitigating the vulnerability could be a trivial change to a configuration file or require massive changes to the infrastructure.  These changes present multiple risks to the organization, </w:t>
      </w:r>
      <w:r>
        <w:lastRenderedPageBreak/>
        <w:t>such as degrading performance (e.g., encryption or verbose logging) or creating new failure points (e.g., surfacing broken code).  In parallel to standard regression automation, the quality assurance teams need to confirm other permutations of the exploit are unsuccessful.  For example, a cross-site scripting defect existing in the enrollment portal (see Figure 1) via the query string.  Any mitigation validation plan must also review the other page parameters.</w:t>
      </w:r>
    </w:p>
    <w:p w14:paraId="63DBA815" w14:textId="77777777" w:rsidR="00A358F7" w:rsidRDefault="00A358F7" w:rsidP="00A358F7">
      <w:pPr>
        <w:pStyle w:val="Heading2"/>
      </w:pPr>
      <w:r>
        <w:t>Respond</w:t>
      </w:r>
    </w:p>
    <w:p w14:paraId="3ADE11CB" w14:textId="42E9C764" w:rsidR="00A358F7" w:rsidRPr="001928BB" w:rsidRDefault="00A358F7" w:rsidP="00A358F7">
      <w:r>
        <w:t xml:space="preserve"> </w:t>
      </w:r>
      <w:r>
        <w:tab/>
        <w:t>Many factors influence NCU-F’s requirement to respond publicly about the vulnerability, such as legal and compliance requirements</w:t>
      </w:r>
      <w:sdt>
        <w:sdtPr>
          <w:id w:val="-1724971374"/>
          <w:citation/>
        </w:sdtPr>
        <w:sdtContent>
          <w:r>
            <w:fldChar w:fldCharType="begin"/>
          </w:r>
          <w:r>
            <w:instrText xml:space="preserve"> CITATION Fon14 \l 1033 </w:instrText>
          </w:r>
          <w:r>
            <w:fldChar w:fldCharType="separate"/>
          </w:r>
          <w:r>
            <w:rPr>
              <w:noProof/>
            </w:rPr>
            <w:t xml:space="preserve"> (Fonseca &amp; Ramaswamy, 2014)</w:t>
          </w:r>
          <w:r>
            <w:fldChar w:fldCharType="end"/>
          </w:r>
        </w:sdtContent>
      </w:sdt>
      <w:r>
        <w:t xml:space="preserve">.  Where regulatory mandates do not exist, the company must weigh the ethical obligation to customers and stakeholders that expect full transparency.  If the business attempts to cover up the mistake, only to find details leaked to the media, removes substantial trust, and might </w:t>
      </w:r>
      <w:r w:rsidRPr="00A80FCB">
        <w:t>irre</w:t>
      </w:r>
      <w:r>
        <w:t>f</w:t>
      </w:r>
      <w:r w:rsidRPr="00A80FCB">
        <w:t>utabl</w:t>
      </w:r>
      <w:r>
        <w:t>y</w:t>
      </w:r>
      <w:r w:rsidRPr="00A80FCB">
        <w:t xml:space="preserve"> </w:t>
      </w:r>
      <w:r>
        <w:t>harm its public image.  Given the numerous landmines that may exist, the security team should involve members of senior leadership and other stakeholders (e.g., general counsel or public relations).</w:t>
      </w:r>
    </w:p>
    <w:p w14:paraId="7F2E0C44" w14:textId="313FA832" w:rsidR="005737A3" w:rsidRDefault="005737A3" w:rsidP="005737A3">
      <w:pPr>
        <w:pStyle w:val="Heading1"/>
      </w:pPr>
      <w:r>
        <w:t xml:space="preserve">Section </w:t>
      </w:r>
      <w:r w:rsidR="00A358F7">
        <w:t>IX</w:t>
      </w:r>
      <w:r>
        <w:t>: Disaster Recovery</w:t>
      </w:r>
    </w:p>
    <w:p w14:paraId="77F9DE3D" w14:textId="0917F605" w:rsidR="004D7796" w:rsidRDefault="004D7796" w:rsidP="004D7796">
      <w:pPr>
        <w:ind w:firstLine="720"/>
      </w:pPr>
      <w:r>
        <w:t xml:space="preserve">The operations and security teams at </w:t>
      </w:r>
      <w:r>
        <w:t xml:space="preserve">NCU-F </w:t>
      </w:r>
      <w:r>
        <w:t xml:space="preserve">seek to reduce risk to the minimum level possible.  However, many risks are unavoidable or only partially mitigated due to resource constraints.  For instance, an ultra-secure laptop that restricts user access to a finite set of functions could still experience a hardware failure.  Lightning could strike the building, and it immediately burns to the ground.  A global pandemic could halt international supply chains and force all works to shelter-in-place.  There is virtually an unlimited number of scenarios that did not meet the bar for proactive mitigations and will require reactive compensations.  </w:t>
      </w:r>
    </w:p>
    <w:p w14:paraId="72245C67" w14:textId="7745CAEC" w:rsidR="004D7796" w:rsidRPr="004D7796" w:rsidRDefault="004D7796" w:rsidP="004D7796">
      <w:pPr>
        <w:ind w:firstLine="720"/>
      </w:pPr>
      <w:r>
        <w:t xml:space="preserve">The compensation strategy will need to follow a procedure that restores service.  If the procedure is poorly defined or not implemented, then the Mean Time to Recovery (MTTR) can </w:t>
      </w:r>
      <w:r>
        <w:lastRenderedPageBreak/>
        <w:t>be unacceptably long, creating new risks to the business.  These risks need a prioritization discussion that chooses which ones become self-protected, self-insured, transferred, or deferred</w:t>
      </w:r>
      <w:sdt>
        <w:sdtPr>
          <w:id w:val="1425541932"/>
          <w:citation/>
        </w:sdtPr>
        <w:sdtContent>
          <w:r>
            <w:fldChar w:fldCharType="begin"/>
          </w:r>
          <w:r>
            <w:instrText xml:space="preserve"> CITATION Bas181 \l 1033 </w:instrText>
          </w:r>
          <w:r>
            <w:fldChar w:fldCharType="separate"/>
          </w:r>
          <w:r>
            <w:rPr>
              <w:noProof/>
            </w:rPr>
            <w:t xml:space="preserve"> (Baskerville, Rowe, &amp; Wolff, 2018)</w:t>
          </w:r>
          <w:r>
            <w:fldChar w:fldCharType="end"/>
          </w:r>
        </w:sdtContent>
      </w:sdt>
      <w:r>
        <w:t>.  Those conversations will need to consider the likelihood and potential costs under a deferment.</w:t>
      </w:r>
    </w:p>
    <w:p w14:paraId="4C851AF0" w14:textId="5B769F9B" w:rsidR="005737A3" w:rsidRDefault="005737A3" w:rsidP="005737A3">
      <w:pPr>
        <w:pStyle w:val="Heading2"/>
      </w:pPr>
      <w:r>
        <w:t>Remote Locations</w:t>
      </w:r>
    </w:p>
    <w:p w14:paraId="70D5E7B4" w14:textId="2C9A3A5B" w:rsidR="005737A3" w:rsidRDefault="005737A3" w:rsidP="005737A3">
      <w:pPr>
        <w:pStyle w:val="Heading2"/>
      </w:pPr>
      <w:r>
        <w:t>Inventory Management</w:t>
      </w:r>
    </w:p>
    <w:p w14:paraId="33BD91BF" w14:textId="6A2A04AE" w:rsidR="005737A3" w:rsidRDefault="005737A3" w:rsidP="005737A3">
      <w:pPr>
        <w:pStyle w:val="Heading2"/>
      </w:pPr>
      <w:r>
        <w:t>Backup and Recovery</w:t>
      </w:r>
    </w:p>
    <w:p w14:paraId="690271C2" w14:textId="1DD3048F" w:rsidR="004D7796" w:rsidRPr="004D7796" w:rsidRDefault="004D7796" w:rsidP="004D7796">
      <w:pPr>
        <w:ind w:firstLine="720"/>
      </w:pPr>
      <w:r>
        <w:t>There are dozens of scenarios that result in data becoming corrupt or inaccessible, such as hardware failures, ransomware, accidental deletion, and application corruption.  Mitigating these situations requires controls that backup digital business artifacts and provide capabilities to restore that information promptly.  This control needs to extend beyond sensitive documents to handle circumstances like reimaging workstations and servers.  After creating the archives, the business needs a strategy around the encrypting and hashing to ensure confidentiality and integrity.  When this does not occur, then malicious actors could acquire secrets or tamper with historical records (e.g., repudiation) from the copy.</w:t>
      </w:r>
    </w:p>
    <w:p w14:paraId="36695A30" w14:textId="158856A3" w:rsidR="005737A3" w:rsidRDefault="005737A3" w:rsidP="005737A3">
      <w:pPr>
        <w:pStyle w:val="Heading2"/>
      </w:pPr>
      <w:r>
        <w:t>Remote Site Fail-Over</w:t>
      </w:r>
    </w:p>
    <w:p w14:paraId="2A7069A2" w14:textId="1D9317A7" w:rsidR="005737A3" w:rsidRDefault="005737A3" w:rsidP="005737A3">
      <w:pPr>
        <w:pStyle w:val="Heading1"/>
      </w:pPr>
      <w:r>
        <w:t>Section X: Plan Verification</w:t>
      </w:r>
    </w:p>
    <w:p w14:paraId="157AE2DD" w14:textId="67FC867B" w:rsidR="005737A3" w:rsidRDefault="005737A3" w:rsidP="005737A3">
      <w:pPr>
        <w:pStyle w:val="Heading2"/>
      </w:pPr>
      <w:r>
        <w:t>Implementing Drills</w:t>
      </w:r>
    </w:p>
    <w:p w14:paraId="5DBFFBC4" w14:textId="41F99963" w:rsidR="005737A3" w:rsidRDefault="005737A3" w:rsidP="005737A3">
      <w:pPr>
        <w:pStyle w:val="Heading2"/>
      </w:pPr>
      <w:r>
        <w:t>Assessing Drills</w:t>
      </w:r>
    </w:p>
    <w:p w14:paraId="1F7E52BE" w14:textId="2EFF30B8" w:rsidR="005737A3" w:rsidRDefault="005737A3" w:rsidP="005737A3">
      <w:pPr>
        <w:pStyle w:val="Heading1"/>
      </w:pPr>
      <w:r>
        <w:t>Section X</w:t>
      </w:r>
      <w:r w:rsidR="00A86D02">
        <w:t>I</w:t>
      </w:r>
      <w:r>
        <w:t>: Dissemination</w:t>
      </w:r>
    </w:p>
    <w:p w14:paraId="01062AAA" w14:textId="0F7FEBD6" w:rsidR="005737A3" w:rsidRDefault="005737A3" w:rsidP="005737A3">
      <w:pPr>
        <w:pStyle w:val="Heading2"/>
      </w:pPr>
      <w:r>
        <w:t>Plan Distribution</w:t>
      </w:r>
    </w:p>
    <w:p w14:paraId="39873C0C" w14:textId="6C51C2D4" w:rsidR="00A358F7" w:rsidRPr="00A358F7" w:rsidRDefault="00A358F7" w:rsidP="00A358F7">
      <w:pPr>
        <w:ind w:firstLine="720"/>
      </w:pPr>
      <w:r>
        <w:t>The adoption of any process requires sponsorship from executive leadership and proper communication to the troops</w:t>
      </w:r>
      <w:sdt>
        <w:sdtPr>
          <w:id w:val="674152408"/>
          <w:citation/>
        </w:sdtPr>
        <w:sdtContent>
          <w:r>
            <w:fldChar w:fldCharType="begin"/>
          </w:r>
          <w:r>
            <w:instrText xml:space="preserve"> CITATION Wes18 \l 1033 </w:instrText>
          </w:r>
          <w:r>
            <w:fldChar w:fldCharType="separate"/>
          </w:r>
          <w:r>
            <w:rPr>
              <w:noProof/>
            </w:rPr>
            <w:t xml:space="preserve"> (Weston, Conklin, &amp; Drobnis, 2018)</w:t>
          </w:r>
          <w:r>
            <w:fldChar w:fldCharType="end"/>
          </w:r>
        </w:sdtContent>
      </w:sdt>
      <w:r>
        <w:t xml:space="preserve">.  When either the top or </w:t>
      </w:r>
      <w:r>
        <w:lastRenderedPageBreak/>
        <w:t>bottom of the organization lack agreement in the solution, it will not become a priority, and team members will sidestep it.  Instead, having a cultural alignment ensures that the standard operating procedure makes safe decisions that minimize risk and privacy concerns.  For instance, NCU-F’s intrusion began with a phishing attack.  Security awareness training could reduce the likelihood of that scenario but not eliminate it</w:t>
      </w:r>
      <w:sdt>
        <w:sdtPr>
          <w:id w:val="626121237"/>
          <w:citation/>
        </w:sdtPr>
        <w:sdtContent>
          <w:r>
            <w:fldChar w:fldCharType="begin"/>
          </w:r>
          <w:r>
            <w:instrText xml:space="preserve"> CITATION Hun193 \l 1033 </w:instrText>
          </w:r>
          <w:r>
            <w:fldChar w:fldCharType="separate"/>
          </w:r>
          <w:r>
            <w:rPr>
              <w:noProof/>
            </w:rPr>
            <w:t xml:space="preserve"> (Hunt, 2019)</w:t>
          </w:r>
          <w:r>
            <w:fldChar w:fldCharType="end"/>
          </w:r>
        </w:sdtContent>
      </w:sdt>
      <w:r>
        <w:t>.  Through a similar mechanism, RSA became compromised via malicious emails, automatically triggering a zero-day exploit in Adobe Flash</w:t>
      </w:r>
      <w:sdt>
        <w:sdtPr>
          <w:id w:val="-2129457131"/>
          <w:citation/>
        </w:sdtPr>
        <w:sdtContent>
          <w:r>
            <w:fldChar w:fldCharType="begin"/>
          </w:r>
          <w:r>
            <w:instrText xml:space="preserve"> CITATION Ley11 \l 1033 </w:instrText>
          </w:r>
          <w:r>
            <w:fldChar w:fldCharType="separate"/>
          </w:r>
          <w:r>
            <w:rPr>
              <w:noProof/>
            </w:rPr>
            <w:t xml:space="preserve"> (Leyden, 2011)</w:t>
          </w:r>
          <w:r>
            <w:fldChar w:fldCharType="end"/>
          </w:r>
        </w:sdtContent>
      </w:sdt>
      <w:r>
        <w:t>.  After slipping past the firewall, many enterprise environments lack defense-in-depth controls allowing lateral movement across the network</w:t>
      </w:r>
      <w:sdt>
        <w:sdtPr>
          <w:id w:val="-950852588"/>
          <w:citation/>
        </w:sdtPr>
        <w:sdtContent>
          <w:r>
            <w:fldChar w:fldCharType="begin"/>
          </w:r>
          <w:r>
            <w:instrText xml:space="preserve"> CITATION Ste18 \l 1033 </w:instrText>
          </w:r>
          <w:r>
            <w:fldChar w:fldCharType="separate"/>
          </w:r>
          <w:r>
            <w:rPr>
              <w:noProof/>
            </w:rPr>
            <w:t xml:space="preserve"> (Stevens, 2018)</w:t>
          </w:r>
          <w:r>
            <w:fldChar w:fldCharType="end"/>
          </w:r>
        </w:sdtContent>
      </w:sdt>
      <w:r>
        <w:t>.  Removing these auxiliary threats requires a fundamental shift in approach that centers around zero-trust and an assume breach mindset.  Promoting such a shift is only possible under a shared vision of success and collective agreement that change is necessary.</w:t>
      </w:r>
    </w:p>
    <w:p w14:paraId="3FA1D70A" w14:textId="1250D860" w:rsidR="005737A3" w:rsidRDefault="005737A3" w:rsidP="005737A3">
      <w:pPr>
        <w:pStyle w:val="Heading2"/>
      </w:pPr>
      <w:r>
        <w:t>Awareness Training</w:t>
      </w:r>
    </w:p>
    <w:p w14:paraId="42898941" w14:textId="706E8714" w:rsidR="004D7796" w:rsidRPr="004D7796" w:rsidRDefault="004D7796" w:rsidP="004D7796">
      <w:pPr>
        <w:ind w:firstLine="720"/>
      </w:pPr>
      <w:r>
        <w:t>Negligence from employee actions accounts for nearly half of security incidents in enterprise environments</w:t>
      </w:r>
      <w:sdt>
        <w:sdtPr>
          <w:id w:val="-539745341"/>
          <w:citation/>
        </w:sdtPr>
        <w:sdtContent>
          <w:r>
            <w:fldChar w:fldCharType="begin"/>
          </w:r>
          <w:r>
            <w:instrText xml:space="preserve"> CITATION Pro151 \l 1033 </w:instrText>
          </w:r>
          <w:r>
            <w:fldChar w:fldCharType="separate"/>
          </w:r>
          <w:r>
            <w:rPr>
              <w:noProof/>
            </w:rPr>
            <w:t xml:space="preserve"> (Proctor &amp; Chen, 2015)</w:t>
          </w:r>
          <w:r>
            <w:fldChar w:fldCharType="end"/>
          </w:r>
        </w:sdtContent>
      </w:sdt>
      <w:r>
        <w:t>.  This group represents both people that want to do the right thing and the most significant slice of the pie.  Controls need to exist through compliance training that communicates the expectations and rationale of HTM.  For instance, flagging email as originating from an untrusted source provides little value when the employee does not understand the meaning of the flag.  Usability studies consistently find that security-critical markings on resources fall on deaf ears when the audience is non-technical</w:t>
      </w:r>
      <w:sdt>
        <w:sdtPr>
          <w:id w:val="813526052"/>
          <w:citation/>
        </w:sdtPr>
        <w:sdtContent>
          <w:r>
            <w:fldChar w:fldCharType="begin"/>
          </w:r>
          <w:r>
            <w:instrText xml:space="preserve"> CITATION Hun193 \l 1033 </w:instrText>
          </w:r>
          <w:r>
            <w:fldChar w:fldCharType="separate"/>
          </w:r>
          <w:r>
            <w:rPr>
              <w:noProof/>
            </w:rPr>
            <w:t xml:space="preserve"> (Hunt, 2019)</w:t>
          </w:r>
          <w:r>
            <w:fldChar w:fldCharType="end"/>
          </w:r>
        </w:sdtContent>
      </w:sdt>
      <w:r>
        <w:t xml:space="preserve">.  Training corporate norms can also discourage dangerous behavior, such as installing unauthorized software of company devices or using weak passwords.  However, many of these concepts are easier said than done, as users will seek the path of least resistance to accomplish </w:t>
      </w:r>
      <w:r>
        <w:lastRenderedPageBreak/>
        <w:t>their goals.  Administrators need to provide familiar integrations that become a natural part of the workflow, not an overwhelming burden on the side.</w:t>
      </w:r>
    </w:p>
    <w:p w14:paraId="7CD74293" w14:textId="46BB9301" w:rsidR="005737A3" w:rsidRPr="005737A3" w:rsidRDefault="005737A3" w:rsidP="005737A3">
      <w:pPr>
        <w:pStyle w:val="Heading2"/>
      </w:pPr>
      <w:r>
        <w:t>Formation of Emergency Committee Personnel</w:t>
      </w:r>
    </w:p>
    <w:sectPr w:rsidR="005737A3" w:rsidRPr="005737A3" w:rsidSect="00877007">
      <w:head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B50DB4" w14:textId="77777777" w:rsidR="006679A7" w:rsidRDefault="006679A7" w:rsidP="0082223F">
      <w:pPr>
        <w:spacing w:line="240" w:lineRule="auto"/>
      </w:pPr>
      <w:r>
        <w:separator/>
      </w:r>
    </w:p>
  </w:endnote>
  <w:endnote w:type="continuationSeparator" w:id="0">
    <w:p w14:paraId="4932A10A" w14:textId="77777777" w:rsidR="006679A7" w:rsidRDefault="006679A7"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672CC6" w14:textId="77777777" w:rsidR="006679A7" w:rsidRDefault="006679A7" w:rsidP="0082223F">
      <w:pPr>
        <w:spacing w:line="240" w:lineRule="auto"/>
      </w:pPr>
      <w:r>
        <w:separator/>
      </w:r>
    </w:p>
  </w:footnote>
  <w:footnote w:type="continuationSeparator" w:id="0">
    <w:p w14:paraId="6AAF9F07" w14:textId="77777777" w:rsidR="006679A7" w:rsidRDefault="006679A7"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5E7B9FF9" w:rsidR="00877007" w:rsidRDefault="00877007" w:rsidP="00877007">
    <w:pPr>
      <w:pStyle w:val="Header"/>
    </w:pPr>
    <w:r w:rsidRPr="00877007">
      <w:t>TIM-</w:t>
    </w:r>
    <w:r w:rsidR="00B13ADF">
      <w:t>7030</w:t>
    </w:r>
    <w:r w:rsidRPr="00877007">
      <w:t xml:space="preserve">: </w:t>
    </w:r>
    <w:r w:rsidR="00B13ADF">
      <w:t>Managing Risk, Security, and Privacy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C21DC4"/>
    <w:multiLevelType w:val="hybridMultilevel"/>
    <w:tmpl w:val="24902544"/>
    <w:lvl w:ilvl="0" w:tplc="F3CC99CC">
      <w:start w:val="1"/>
      <w:numFmt w:val="bullet"/>
      <w:lvlText w:val="•"/>
      <w:lvlJc w:val="left"/>
      <w:pPr>
        <w:tabs>
          <w:tab w:val="num" w:pos="720"/>
        </w:tabs>
        <w:ind w:left="720" w:hanging="360"/>
      </w:pPr>
      <w:rPr>
        <w:rFonts w:ascii="Times New Roman" w:hAnsi="Times New Roman" w:hint="default"/>
      </w:rPr>
    </w:lvl>
    <w:lvl w:ilvl="1" w:tplc="BD68F2F6">
      <w:start w:val="-1"/>
      <w:numFmt w:val="bullet"/>
      <w:lvlText w:val="•"/>
      <w:lvlJc w:val="left"/>
      <w:pPr>
        <w:tabs>
          <w:tab w:val="num" w:pos="1440"/>
        </w:tabs>
        <w:ind w:left="1440" w:hanging="360"/>
      </w:pPr>
      <w:rPr>
        <w:rFonts w:ascii="Times New Roman" w:hAnsi="Times New Roman" w:hint="default"/>
      </w:rPr>
    </w:lvl>
    <w:lvl w:ilvl="2" w:tplc="5192BC68">
      <w:start w:val="-1"/>
      <w:numFmt w:val="bullet"/>
      <w:lvlText w:val="•"/>
      <w:lvlJc w:val="left"/>
      <w:pPr>
        <w:tabs>
          <w:tab w:val="num" w:pos="2160"/>
        </w:tabs>
        <w:ind w:left="2160" w:hanging="360"/>
      </w:pPr>
      <w:rPr>
        <w:rFonts w:ascii="Times New Roman" w:hAnsi="Times New Roman" w:hint="default"/>
      </w:rPr>
    </w:lvl>
    <w:lvl w:ilvl="3" w:tplc="78605D00">
      <w:start w:val="-1"/>
      <w:numFmt w:val="bullet"/>
      <w:lvlText w:val="•"/>
      <w:lvlJc w:val="left"/>
      <w:pPr>
        <w:tabs>
          <w:tab w:val="num" w:pos="2880"/>
        </w:tabs>
        <w:ind w:left="2880" w:hanging="360"/>
      </w:pPr>
      <w:rPr>
        <w:rFonts w:ascii="Times New Roman" w:hAnsi="Times New Roman" w:hint="default"/>
      </w:rPr>
    </w:lvl>
    <w:lvl w:ilvl="4" w:tplc="5D68E230" w:tentative="1">
      <w:start w:val="1"/>
      <w:numFmt w:val="bullet"/>
      <w:lvlText w:val="•"/>
      <w:lvlJc w:val="left"/>
      <w:pPr>
        <w:tabs>
          <w:tab w:val="num" w:pos="3600"/>
        </w:tabs>
        <w:ind w:left="3600" w:hanging="360"/>
      </w:pPr>
      <w:rPr>
        <w:rFonts w:ascii="Times New Roman" w:hAnsi="Times New Roman" w:hint="default"/>
      </w:rPr>
    </w:lvl>
    <w:lvl w:ilvl="5" w:tplc="F552F69C" w:tentative="1">
      <w:start w:val="1"/>
      <w:numFmt w:val="bullet"/>
      <w:lvlText w:val="•"/>
      <w:lvlJc w:val="left"/>
      <w:pPr>
        <w:tabs>
          <w:tab w:val="num" w:pos="4320"/>
        </w:tabs>
        <w:ind w:left="4320" w:hanging="360"/>
      </w:pPr>
      <w:rPr>
        <w:rFonts w:ascii="Times New Roman" w:hAnsi="Times New Roman" w:hint="default"/>
      </w:rPr>
    </w:lvl>
    <w:lvl w:ilvl="6" w:tplc="6EAE6B4C" w:tentative="1">
      <w:start w:val="1"/>
      <w:numFmt w:val="bullet"/>
      <w:lvlText w:val="•"/>
      <w:lvlJc w:val="left"/>
      <w:pPr>
        <w:tabs>
          <w:tab w:val="num" w:pos="5040"/>
        </w:tabs>
        <w:ind w:left="5040" w:hanging="360"/>
      </w:pPr>
      <w:rPr>
        <w:rFonts w:ascii="Times New Roman" w:hAnsi="Times New Roman" w:hint="default"/>
      </w:rPr>
    </w:lvl>
    <w:lvl w:ilvl="7" w:tplc="ADDA0BE8" w:tentative="1">
      <w:start w:val="1"/>
      <w:numFmt w:val="bullet"/>
      <w:lvlText w:val="•"/>
      <w:lvlJc w:val="left"/>
      <w:pPr>
        <w:tabs>
          <w:tab w:val="num" w:pos="5760"/>
        </w:tabs>
        <w:ind w:left="5760" w:hanging="360"/>
      </w:pPr>
      <w:rPr>
        <w:rFonts w:ascii="Times New Roman" w:hAnsi="Times New Roman" w:hint="default"/>
      </w:rPr>
    </w:lvl>
    <w:lvl w:ilvl="8" w:tplc="0756BB80"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qAUAEDXRkywAAAA="/>
  </w:docVars>
  <w:rsids>
    <w:rsidRoot w:val="0082223F"/>
    <w:rsid w:val="00036708"/>
    <w:rsid w:val="00036F58"/>
    <w:rsid w:val="00183597"/>
    <w:rsid w:val="002806B7"/>
    <w:rsid w:val="003F4714"/>
    <w:rsid w:val="00401D65"/>
    <w:rsid w:val="00404259"/>
    <w:rsid w:val="004223E8"/>
    <w:rsid w:val="0046305D"/>
    <w:rsid w:val="004A784B"/>
    <w:rsid w:val="004D7796"/>
    <w:rsid w:val="005737A3"/>
    <w:rsid w:val="005B7079"/>
    <w:rsid w:val="006679A7"/>
    <w:rsid w:val="006D793E"/>
    <w:rsid w:val="0073677D"/>
    <w:rsid w:val="007369EF"/>
    <w:rsid w:val="007637BD"/>
    <w:rsid w:val="0082223F"/>
    <w:rsid w:val="00852E5B"/>
    <w:rsid w:val="00864B1A"/>
    <w:rsid w:val="00872812"/>
    <w:rsid w:val="00877007"/>
    <w:rsid w:val="0089697D"/>
    <w:rsid w:val="008B5129"/>
    <w:rsid w:val="009073E6"/>
    <w:rsid w:val="00917092"/>
    <w:rsid w:val="009A757D"/>
    <w:rsid w:val="00A12A02"/>
    <w:rsid w:val="00A1503A"/>
    <w:rsid w:val="00A237FB"/>
    <w:rsid w:val="00A358F7"/>
    <w:rsid w:val="00A51C39"/>
    <w:rsid w:val="00A8113B"/>
    <w:rsid w:val="00A86D02"/>
    <w:rsid w:val="00B13ADF"/>
    <w:rsid w:val="00B93991"/>
    <w:rsid w:val="00BF4EA2"/>
    <w:rsid w:val="00C54DC8"/>
    <w:rsid w:val="00C73692"/>
    <w:rsid w:val="00C93BB7"/>
    <w:rsid w:val="00CB25E9"/>
    <w:rsid w:val="00D75C7B"/>
    <w:rsid w:val="00D80C70"/>
    <w:rsid w:val="00D85C7B"/>
    <w:rsid w:val="00D86416"/>
    <w:rsid w:val="00DE2224"/>
    <w:rsid w:val="00E234E9"/>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ListTable4">
    <w:name w:val="List Table 4"/>
    <w:basedOn w:val="TableNormal"/>
    <w:uiPriority w:val="49"/>
    <w:rsid w:val="00A358F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40425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755203">
      <w:bodyDiv w:val="1"/>
      <w:marLeft w:val="0"/>
      <w:marRight w:val="0"/>
      <w:marTop w:val="0"/>
      <w:marBottom w:val="0"/>
      <w:divBdr>
        <w:top w:val="none" w:sz="0" w:space="0" w:color="auto"/>
        <w:left w:val="none" w:sz="0" w:space="0" w:color="auto"/>
        <w:bottom w:val="none" w:sz="0" w:space="0" w:color="auto"/>
        <w:right w:val="none" w:sz="0" w:space="0" w:color="auto"/>
      </w:divBdr>
    </w:div>
    <w:div w:id="844053816">
      <w:bodyDiv w:val="1"/>
      <w:marLeft w:val="0"/>
      <w:marRight w:val="0"/>
      <w:marTop w:val="0"/>
      <w:marBottom w:val="0"/>
      <w:divBdr>
        <w:top w:val="none" w:sz="0" w:space="0" w:color="auto"/>
        <w:left w:val="none" w:sz="0" w:space="0" w:color="auto"/>
        <w:bottom w:val="none" w:sz="0" w:space="0" w:color="auto"/>
        <w:right w:val="none" w:sz="0" w:space="0" w:color="auto"/>
      </w:divBdr>
    </w:div>
    <w:div w:id="899945109">
      <w:bodyDiv w:val="1"/>
      <w:marLeft w:val="0"/>
      <w:marRight w:val="0"/>
      <w:marTop w:val="0"/>
      <w:marBottom w:val="0"/>
      <w:divBdr>
        <w:top w:val="none" w:sz="0" w:space="0" w:color="auto"/>
        <w:left w:val="none" w:sz="0" w:space="0" w:color="auto"/>
        <w:bottom w:val="none" w:sz="0" w:space="0" w:color="auto"/>
        <w:right w:val="none" w:sz="0" w:space="0" w:color="auto"/>
      </w:divBdr>
    </w:div>
    <w:div w:id="1075853966">
      <w:bodyDiv w:val="1"/>
      <w:marLeft w:val="0"/>
      <w:marRight w:val="0"/>
      <w:marTop w:val="0"/>
      <w:marBottom w:val="0"/>
      <w:divBdr>
        <w:top w:val="none" w:sz="0" w:space="0" w:color="auto"/>
        <w:left w:val="none" w:sz="0" w:space="0" w:color="auto"/>
        <w:bottom w:val="none" w:sz="0" w:space="0" w:color="auto"/>
        <w:right w:val="none" w:sz="0" w:space="0" w:color="auto"/>
      </w:divBdr>
    </w:div>
    <w:div w:id="1170096957">
      <w:bodyDiv w:val="1"/>
      <w:marLeft w:val="0"/>
      <w:marRight w:val="0"/>
      <w:marTop w:val="0"/>
      <w:marBottom w:val="0"/>
      <w:divBdr>
        <w:top w:val="none" w:sz="0" w:space="0" w:color="auto"/>
        <w:left w:val="none" w:sz="0" w:space="0" w:color="auto"/>
        <w:bottom w:val="none" w:sz="0" w:space="0" w:color="auto"/>
        <w:right w:val="none" w:sz="0" w:space="0" w:color="auto"/>
      </w:divBdr>
      <w:divsChild>
        <w:div w:id="774399148">
          <w:marLeft w:val="547"/>
          <w:marRight w:val="0"/>
          <w:marTop w:val="0"/>
          <w:marBottom w:val="0"/>
          <w:divBdr>
            <w:top w:val="none" w:sz="0" w:space="0" w:color="auto"/>
            <w:left w:val="none" w:sz="0" w:space="0" w:color="auto"/>
            <w:bottom w:val="none" w:sz="0" w:space="0" w:color="auto"/>
            <w:right w:val="none" w:sz="0" w:space="0" w:color="auto"/>
          </w:divBdr>
        </w:div>
        <w:div w:id="1091315025">
          <w:marLeft w:val="1166"/>
          <w:marRight w:val="0"/>
          <w:marTop w:val="0"/>
          <w:marBottom w:val="0"/>
          <w:divBdr>
            <w:top w:val="none" w:sz="0" w:space="0" w:color="auto"/>
            <w:left w:val="none" w:sz="0" w:space="0" w:color="auto"/>
            <w:bottom w:val="none" w:sz="0" w:space="0" w:color="auto"/>
            <w:right w:val="none" w:sz="0" w:space="0" w:color="auto"/>
          </w:divBdr>
        </w:div>
        <w:div w:id="409743323">
          <w:marLeft w:val="1800"/>
          <w:marRight w:val="0"/>
          <w:marTop w:val="0"/>
          <w:marBottom w:val="0"/>
          <w:divBdr>
            <w:top w:val="none" w:sz="0" w:space="0" w:color="auto"/>
            <w:left w:val="none" w:sz="0" w:space="0" w:color="auto"/>
            <w:bottom w:val="none" w:sz="0" w:space="0" w:color="auto"/>
            <w:right w:val="none" w:sz="0" w:space="0" w:color="auto"/>
          </w:divBdr>
        </w:div>
        <w:div w:id="1088506418">
          <w:marLeft w:val="2520"/>
          <w:marRight w:val="0"/>
          <w:marTop w:val="0"/>
          <w:marBottom w:val="0"/>
          <w:divBdr>
            <w:top w:val="none" w:sz="0" w:space="0" w:color="auto"/>
            <w:left w:val="none" w:sz="0" w:space="0" w:color="auto"/>
            <w:bottom w:val="none" w:sz="0" w:space="0" w:color="auto"/>
            <w:right w:val="none" w:sz="0" w:space="0" w:color="auto"/>
          </w:divBdr>
        </w:div>
        <w:div w:id="1852407473">
          <w:marLeft w:val="1800"/>
          <w:marRight w:val="0"/>
          <w:marTop w:val="0"/>
          <w:marBottom w:val="0"/>
          <w:divBdr>
            <w:top w:val="none" w:sz="0" w:space="0" w:color="auto"/>
            <w:left w:val="none" w:sz="0" w:space="0" w:color="auto"/>
            <w:bottom w:val="none" w:sz="0" w:space="0" w:color="auto"/>
            <w:right w:val="none" w:sz="0" w:space="0" w:color="auto"/>
          </w:divBdr>
        </w:div>
        <w:div w:id="174733616">
          <w:marLeft w:val="2520"/>
          <w:marRight w:val="0"/>
          <w:marTop w:val="0"/>
          <w:marBottom w:val="0"/>
          <w:divBdr>
            <w:top w:val="none" w:sz="0" w:space="0" w:color="auto"/>
            <w:left w:val="none" w:sz="0" w:space="0" w:color="auto"/>
            <w:bottom w:val="none" w:sz="0" w:space="0" w:color="auto"/>
            <w:right w:val="none" w:sz="0" w:space="0" w:color="auto"/>
          </w:divBdr>
        </w:div>
        <w:div w:id="1084259797">
          <w:marLeft w:val="1166"/>
          <w:marRight w:val="0"/>
          <w:marTop w:val="0"/>
          <w:marBottom w:val="0"/>
          <w:divBdr>
            <w:top w:val="none" w:sz="0" w:space="0" w:color="auto"/>
            <w:left w:val="none" w:sz="0" w:space="0" w:color="auto"/>
            <w:bottom w:val="none" w:sz="0" w:space="0" w:color="auto"/>
            <w:right w:val="none" w:sz="0" w:space="0" w:color="auto"/>
          </w:divBdr>
        </w:div>
        <w:div w:id="1074400901">
          <w:marLeft w:val="1800"/>
          <w:marRight w:val="0"/>
          <w:marTop w:val="0"/>
          <w:marBottom w:val="0"/>
          <w:divBdr>
            <w:top w:val="none" w:sz="0" w:space="0" w:color="auto"/>
            <w:left w:val="none" w:sz="0" w:space="0" w:color="auto"/>
            <w:bottom w:val="none" w:sz="0" w:space="0" w:color="auto"/>
            <w:right w:val="none" w:sz="0" w:space="0" w:color="auto"/>
          </w:divBdr>
        </w:div>
        <w:div w:id="955720411">
          <w:marLeft w:val="2520"/>
          <w:marRight w:val="0"/>
          <w:marTop w:val="0"/>
          <w:marBottom w:val="0"/>
          <w:divBdr>
            <w:top w:val="none" w:sz="0" w:space="0" w:color="auto"/>
            <w:left w:val="none" w:sz="0" w:space="0" w:color="auto"/>
            <w:bottom w:val="none" w:sz="0" w:space="0" w:color="auto"/>
            <w:right w:val="none" w:sz="0" w:space="0" w:color="auto"/>
          </w:divBdr>
        </w:div>
        <w:div w:id="1852717040">
          <w:marLeft w:val="2520"/>
          <w:marRight w:val="0"/>
          <w:marTop w:val="0"/>
          <w:marBottom w:val="0"/>
          <w:divBdr>
            <w:top w:val="none" w:sz="0" w:space="0" w:color="auto"/>
            <w:left w:val="none" w:sz="0" w:space="0" w:color="auto"/>
            <w:bottom w:val="none" w:sz="0" w:space="0" w:color="auto"/>
            <w:right w:val="none" w:sz="0" w:space="0" w:color="auto"/>
          </w:divBdr>
        </w:div>
        <w:div w:id="2100563022">
          <w:marLeft w:val="2520"/>
          <w:marRight w:val="0"/>
          <w:marTop w:val="0"/>
          <w:marBottom w:val="0"/>
          <w:divBdr>
            <w:top w:val="none" w:sz="0" w:space="0" w:color="auto"/>
            <w:left w:val="none" w:sz="0" w:space="0" w:color="auto"/>
            <w:bottom w:val="none" w:sz="0" w:space="0" w:color="auto"/>
            <w:right w:val="none" w:sz="0" w:space="0" w:color="auto"/>
          </w:divBdr>
        </w:div>
        <w:div w:id="648099925">
          <w:marLeft w:val="2520"/>
          <w:marRight w:val="0"/>
          <w:marTop w:val="0"/>
          <w:marBottom w:val="0"/>
          <w:divBdr>
            <w:top w:val="none" w:sz="0" w:space="0" w:color="auto"/>
            <w:left w:val="none" w:sz="0" w:space="0" w:color="auto"/>
            <w:bottom w:val="none" w:sz="0" w:space="0" w:color="auto"/>
            <w:right w:val="none" w:sz="0" w:space="0" w:color="auto"/>
          </w:divBdr>
        </w:div>
        <w:div w:id="225915677">
          <w:marLeft w:val="1800"/>
          <w:marRight w:val="0"/>
          <w:marTop w:val="0"/>
          <w:marBottom w:val="0"/>
          <w:divBdr>
            <w:top w:val="none" w:sz="0" w:space="0" w:color="auto"/>
            <w:left w:val="none" w:sz="0" w:space="0" w:color="auto"/>
            <w:bottom w:val="none" w:sz="0" w:space="0" w:color="auto"/>
            <w:right w:val="none" w:sz="0" w:space="0" w:color="auto"/>
          </w:divBdr>
        </w:div>
        <w:div w:id="737442702">
          <w:marLeft w:val="2520"/>
          <w:marRight w:val="0"/>
          <w:marTop w:val="0"/>
          <w:marBottom w:val="0"/>
          <w:divBdr>
            <w:top w:val="none" w:sz="0" w:space="0" w:color="auto"/>
            <w:left w:val="none" w:sz="0" w:space="0" w:color="auto"/>
            <w:bottom w:val="none" w:sz="0" w:space="0" w:color="auto"/>
            <w:right w:val="none" w:sz="0" w:space="0" w:color="auto"/>
          </w:divBdr>
        </w:div>
        <w:div w:id="1201018244">
          <w:marLeft w:val="2520"/>
          <w:marRight w:val="0"/>
          <w:marTop w:val="0"/>
          <w:marBottom w:val="0"/>
          <w:divBdr>
            <w:top w:val="none" w:sz="0" w:space="0" w:color="auto"/>
            <w:left w:val="none" w:sz="0" w:space="0" w:color="auto"/>
            <w:bottom w:val="none" w:sz="0" w:space="0" w:color="auto"/>
            <w:right w:val="none" w:sz="0" w:space="0" w:color="auto"/>
          </w:divBdr>
        </w:div>
        <w:div w:id="814834982">
          <w:marLeft w:val="1800"/>
          <w:marRight w:val="0"/>
          <w:marTop w:val="0"/>
          <w:marBottom w:val="0"/>
          <w:divBdr>
            <w:top w:val="none" w:sz="0" w:space="0" w:color="auto"/>
            <w:left w:val="none" w:sz="0" w:space="0" w:color="auto"/>
            <w:bottom w:val="none" w:sz="0" w:space="0" w:color="auto"/>
            <w:right w:val="none" w:sz="0" w:space="0" w:color="auto"/>
          </w:divBdr>
        </w:div>
        <w:div w:id="1846431489">
          <w:marLeft w:val="2520"/>
          <w:marRight w:val="0"/>
          <w:marTop w:val="0"/>
          <w:marBottom w:val="0"/>
          <w:divBdr>
            <w:top w:val="none" w:sz="0" w:space="0" w:color="auto"/>
            <w:left w:val="none" w:sz="0" w:space="0" w:color="auto"/>
            <w:bottom w:val="none" w:sz="0" w:space="0" w:color="auto"/>
            <w:right w:val="none" w:sz="0" w:space="0" w:color="auto"/>
          </w:divBdr>
        </w:div>
        <w:div w:id="134034728">
          <w:marLeft w:val="2520"/>
          <w:marRight w:val="0"/>
          <w:marTop w:val="0"/>
          <w:marBottom w:val="0"/>
          <w:divBdr>
            <w:top w:val="none" w:sz="0" w:space="0" w:color="auto"/>
            <w:left w:val="none" w:sz="0" w:space="0" w:color="auto"/>
            <w:bottom w:val="none" w:sz="0" w:space="0" w:color="auto"/>
            <w:right w:val="none" w:sz="0" w:space="0" w:color="auto"/>
          </w:divBdr>
        </w:div>
        <w:div w:id="1641181130">
          <w:marLeft w:val="2520"/>
          <w:marRight w:val="0"/>
          <w:marTop w:val="0"/>
          <w:marBottom w:val="0"/>
          <w:divBdr>
            <w:top w:val="none" w:sz="0" w:space="0" w:color="auto"/>
            <w:left w:val="none" w:sz="0" w:space="0" w:color="auto"/>
            <w:bottom w:val="none" w:sz="0" w:space="0" w:color="auto"/>
            <w:right w:val="none" w:sz="0" w:space="0" w:color="auto"/>
          </w:divBdr>
        </w:div>
        <w:div w:id="129634218">
          <w:marLeft w:val="1166"/>
          <w:marRight w:val="0"/>
          <w:marTop w:val="0"/>
          <w:marBottom w:val="0"/>
          <w:divBdr>
            <w:top w:val="none" w:sz="0" w:space="0" w:color="auto"/>
            <w:left w:val="none" w:sz="0" w:space="0" w:color="auto"/>
            <w:bottom w:val="none" w:sz="0" w:space="0" w:color="auto"/>
            <w:right w:val="none" w:sz="0" w:space="0" w:color="auto"/>
          </w:divBdr>
        </w:div>
        <w:div w:id="38095981">
          <w:marLeft w:val="1800"/>
          <w:marRight w:val="0"/>
          <w:marTop w:val="0"/>
          <w:marBottom w:val="0"/>
          <w:divBdr>
            <w:top w:val="none" w:sz="0" w:space="0" w:color="auto"/>
            <w:left w:val="none" w:sz="0" w:space="0" w:color="auto"/>
            <w:bottom w:val="none" w:sz="0" w:space="0" w:color="auto"/>
            <w:right w:val="none" w:sz="0" w:space="0" w:color="auto"/>
          </w:divBdr>
        </w:div>
        <w:div w:id="699742912">
          <w:marLeft w:val="1800"/>
          <w:marRight w:val="0"/>
          <w:marTop w:val="0"/>
          <w:marBottom w:val="0"/>
          <w:divBdr>
            <w:top w:val="none" w:sz="0" w:space="0" w:color="auto"/>
            <w:left w:val="none" w:sz="0" w:space="0" w:color="auto"/>
            <w:bottom w:val="none" w:sz="0" w:space="0" w:color="auto"/>
            <w:right w:val="none" w:sz="0" w:space="0" w:color="auto"/>
          </w:divBdr>
        </w:div>
        <w:div w:id="2053529367">
          <w:marLeft w:val="1800"/>
          <w:marRight w:val="0"/>
          <w:marTop w:val="0"/>
          <w:marBottom w:val="0"/>
          <w:divBdr>
            <w:top w:val="none" w:sz="0" w:space="0" w:color="auto"/>
            <w:left w:val="none" w:sz="0" w:space="0" w:color="auto"/>
            <w:bottom w:val="none" w:sz="0" w:space="0" w:color="auto"/>
            <w:right w:val="none" w:sz="0" w:space="0" w:color="auto"/>
          </w:divBdr>
        </w:div>
        <w:div w:id="1272971866">
          <w:marLeft w:val="1800"/>
          <w:marRight w:val="0"/>
          <w:marTop w:val="0"/>
          <w:marBottom w:val="0"/>
          <w:divBdr>
            <w:top w:val="none" w:sz="0" w:space="0" w:color="auto"/>
            <w:left w:val="none" w:sz="0" w:space="0" w:color="auto"/>
            <w:bottom w:val="none" w:sz="0" w:space="0" w:color="auto"/>
            <w:right w:val="none" w:sz="0" w:space="0" w:color="auto"/>
          </w:divBdr>
        </w:div>
      </w:divsChild>
    </w:div>
    <w:div w:id="1617634185">
      <w:bodyDiv w:val="1"/>
      <w:marLeft w:val="0"/>
      <w:marRight w:val="0"/>
      <w:marTop w:val="0"/>
      <w:marBottom w:val="0"/>
      <w:divBdr>
        <w:top w:val="none" w:sz="0" w:space="0" w:color="auto"/>
        <w:left w:val="none" w:sz="0" w:space="0" w:color="auto"/>
        <w:bottom w:val="none" w:sz="0" w:space="0" w:color="auto"/>
        <w:right w:val="none" w:sz="0" w:space="0" w:color="auto"/>
      </w:divBdr>
    </w:div>
    <w:div w:id="1763600559">
      <w:bodyDiv w:val="1"/>
      <w:marLeft w:val="0"/>
      <w:marRight w:val="0"/>
      <w:marTop w:val="0"/>
      <w:marBottom w:val="0"/>
      <w:divBdr>
        <w:top w:val="none" w:sz="0" w:space="0" w:color="auto"/>
        <w:left w:val="none" w:sz="0" w:space="0" w:color="auto"/>
        <w:bottom w:val="none" w:sz="0" w:space="0" w:color="auto"/>
        <w:right w:val="none" w:sz="0" w:space="0" w:color="auto"/>
      </w:divBdr>
    </w:div>
    <w:div w:id="1806392217">
      <w:bodyDiv w:val="1"/>
      <w:marLeft w:val="0"/>
      <w:marRight w:val="0"/>
      <w:marTop w:val="0"/>
      <w:marBottom w:val="0"/>
      <w:divBdr>
        <w:top w:val="none" w:sz="0" w:space="0" w:color="auto"/>
        <w:left w:val="none" w:sz="0" w:space="0" w:color="auto"/>
        <w:bottom w:val="none" w:sz="0" w:space="0" w:color="auto"/>
        <w:right w:val="none" w:sz="0" w:space="0" w:color="auto"/>
      </w:divBdr>
    </w:div>
    <w:div w:id="207758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Bas181</b:Tag>
    <b:SourceType>JournalArticle</b:SourceType>
    <b:Guid>{5AD70BEB-93CD-4543-9F5F-4A2B62F72DB3}</b:Guid>
    <b:Title>Integration of information systems and cybersecurity countermeasures: an exposure to risk perspective</b:Title>
    <b:JournalName>Special Interest Group on Management Information Systems (SIGMIS) Databases</b:JournalName>
    <b:Year>2018</b:Year>
    <b:Pages>33-52</b:Pages>
    <b:Author>
      <b:Author>
        <b:NameList>
          <b:Person>
            <b:Last>Baskerville</b:Last>
            <b:First>R</b:First>
          </b:Person>
          <b:Person>
            <b:Last>Rowe</b:Last>
            <b:First>F</b:First>
          </b:Person>
          <b:Person>
            <b:Last>Wolff</b:Last>
            <b:First>F</b:First>
          </b:Person>
        </b:NameList>
      </b:Author>
    </b:Author>
    <b:Month>February</b:Month>
    <b:Publisher>Association for Computing Machinary</b:Publisher>
    <b:Volume>49</b:Volume>
    <b:Issue>1</b:Issue>
    <b:YearAccessed>2020</b:YearAccessed>
    <b:MonthAccessed>May</b:MonthAccessed>
    <b:DayAccessed>9</b:DayAccessed>
    <b:DOI>https://doi.org/10.1145/3184444.3184448</b:DOI>
    <b:RefOrder>3</b:RefOrder>
  </b:Source>
  <b:Source xmlns:b="http://schemas.openxmlformats.org/officeDocument/2006/bibliography">
    <b:Tag>Dai19</b:Tag>
    <b:SourceType>ConferenceProceedings</b:SourceType>
    <b:Guid>{C2496B47-1133-47F3-816E-EF1A96E4770A}</b:Guid>
    <b:Author>
      <b:Author>
        <b:NameList>
          <b:Person>
            <b:Last>Dai Zovi</b:Last>
            <b:First>D</b:First>
          </b:Person>
        </b:NameList>
      </b:Author>
    </b:Author>
    <b:Title>Every Security Team is a Software Team Now</b:Title>
    <b:Year>2019</b:Year>
    <b:ConferenceName>Blackhat USA</b:ConferenceName>
    <b:Publisher>Black Hat</b:Publisher>
    <b:YearAccessed>2020</b:YearAccessed>
    <b:MonthAccessed>May</b:MonthAccessed>
    <b:URL>https://www.youtube.com/watch?v=8armE3Wz0jk</b:URL>
    <b:RefOrder>38</b:RefOrder>
  </b:Source>
  <b:Source>
    <b:Tag>Gil11</b:Tag>
    <b:SourceType>JournalArticle</b:SourceType>
    <b:Guid>{519FE4A7-E833-4671-AFA0-EB957FFF517C}</b:Guid>
    <b:Title>mproving the quality of information security management systems with ISO27000</b:Title>
    <b:JournalName>TQM Journal</b:JournalName>
    <b:Year>2011</b:Year>
    <b:Pages>367-376</b:Pages>
    <b:Author>
      <b:Author>
        <b:NameList>
          <b:Person>
            <b:Last>Gillies</b:Last>
            <b:First>A</b:First>
          </b:Person>
        </b:NameList>
      </b:Author>
    </b:Author>
    <b:Volume>23</b:Volume>
    <b:Issue>4</b:Issue>
    <b:YearAccessed>2020</b:YearAccessed>
    <b:MonthAccessed>March</b:MonthAccessed>
    <b:DayAccessed>2</b:DayAccessed>
    <b:DOI>http://dx.doi.org.proxy1.ncu.edu/10.1108/17542731111139455</b:DOI>
    <b:RefOrder>10</b:RefOrder>
  </b:Source>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5</b:RefOrder>
  </b:Source>
  <b:Source>
    <b:Tag>LiZ18</b:Tag>
    <b:SourceType>JournalArticle</b:SourceType>
    <b:Guid>{3D8CB100-E797-43EB-8750-02A03D8D4152}</b:Guid>
    <b:Title>Economic solutions to improve cybersecurity of governments and smart cities via vulnerability markets</b:Title>
    <b:Pages>151-160</b:Pages>
    <b:Year>2018</b:Year>
    <b:Volume>35</b:Volume>
    <b:YearAccessed>2020</b:YearAccessed>
    <b:MonthAccessed>May</b:MonthAccessed>
    <b:DayAccessed>16</b:DayAccessed>
    <b:DOI>https://doi.org/10.1016/j.giq.2017.10.006</b:DOI>
    <b:Author>
      <b:Author>
        <b:NameList>
          <b:Person>
            <b:Last>Li</b:Last>
            <b:First>Z.,</b:First>
          </b:Person>
          <b:Person>
            <b:Last>Liao</b:Last>
            <b:First>Q.</b:First>
          </b:Person>
        </b:NameList>
      </b:Author>
    </b:Author>
    <b:JournalName>Government Information Quarterly</b:JournalName>
    <b:Month>January</b:Month>
    <b:Issue>1</b:Issue>
    <b:RefOrder>6</b:RefOrder>
  </b:Source>
  <b:Source>
    <b:Tag>Wes18</b:Tag>
    <b:SourceType>JournalArticle</b:SourceType>
    <b:Guid>{9AFBCCA8-77C2-43A1-BCDF-8C212D3ADE59}</b:Guid>
    <b:Title>Assessing and resetting culture in enterprise risk management</b:Title>
    <b:JournalName>Assurances et Gestion Des Risques,</b:JournalName>
    <b:Year>2018</b:Year>
    <b:Pages>131-166</b:Pages>
    <b:Author>
      <b:Author>
        <b:NameList>
          <b:Person>
            <b:Last>Weston</b:Last>
            <b:First>H</b:First>
          </b:Person>
          <b:Person>
            <b:Last>Conklin</b:Last>
            <b:First>T</b:First>
          </b:Person>
          <b:Person>
            <b:Last>Drobnis</b:Last>
            <b:First>K</b:First>
          </b:Person>
        </b:NameList>
      </b:Author>
    </b:Author>
    <b:Volume>85</b:Volume>
    <b:Issue>1</b:Issue>
    <b:DOI>https://doi-org.proxy1.ncu.edu/10.7202/1051319ar</b:DOI>
    <b:RefOrder>7</b:RefOrder>
  </b:Source>
  <b:Source>
    <b:Tag>Mat14</b:Tag>
    <b:SourceType>JournalArticle</b:SourceType>
    <b:Guid>{0326D5A1-00FF-4FCA-8E8A-ECB753EEB0E9}</b:Guid>
    <b:Author>
      <b:Author>
        <b:NameList>
          <b:Person>
            <b:Last>Matsubara</b:Last>
            <b:First>M</b:First>
          </b:Person>
        </b:NameList>
      </b:Author>
    </b:Author>
    <b:Title>Countering Cyber-Espionage and Sabotage</b:Title>
    <b:JournalName>RUSI Journal: Royal United Services Institute for Defence Studies</b:JournalName>
    <b:Year>2014</b:Year>
    <b:Pages>86-93</b:Pages>
    <b:Volume>159</b:Volume>
    <b:Issue>1</b:Issue>
    <b:DOI>https://doi-org.proxy1.ncu.edu/10.1080/03071847.2014.895263</b:DOI>
    <b:RefOrder>8</b:RefOrder>
  </b:Source>
  <b:Source>
    <b:Tag>Eme171</b:Tag>
    <b:SourceType>JournalArticle</b:SourceType>
    <b:Guid>{353A034B-BC14-489F-AA84-15B2F0010168}</b:Guid>
    <b:Author>
      <b:Author>
        <b:NameList>
          <b:Person>
            <b:Last>Emery</b:Last>
            <b:First>A</b:First>
          </b:Person>
        </b:NameList>
      </b:Author>
    </b:Author>
    <b:Title>Zero-day responsibility: the benefits of a safe harbor for cybersecurity research</b:Title>
    <b:JournalName>Jurimetrics: The Journal of Law, Science &amp; Technology</b:JournalName>
    <b:Year>2017</b:Year>
    <b:Pages>483-503</b:Pages>
    <b:Month>Summer</b:Month>
    <b:Volume>57</b:Volume>
    <b:Issue>4</b:Issue>
    <b:URL>https://search-ebscohost-com.proxy1.ncu.edu/login.aspx?direct=true&amp;db=a9h&amp;AN=126542986&amp;site=eds-live</b:URL>
    <b:RefOrder>28</b:RefOrder>
  </b:Source>
  <b:Source>
    <b:Tag>Bas18</b:Tag>
    <b:SourceType>JournalArticle</b:SourceType>
    <b:Guid>{0E85437D-086A-4DF0-B11E-9E16F73AC5A5}</b:Guid>
    <b:Author>
      <b:Author>
        <b:NameList>
          <b:Person>
            <b:Last>Baskerville</b:Last>
            <b:First>R</b:First>
          </b:Person>
          <b:Person>
            <b:Last>Rowe</b:Last>
            <b:First>F</b:First>
          </b:Person>
          <b:Person>
            <b:Last>Wolff</b:Last>
            <b:First>F</b:First>
          </b:Person>
        </b:NameList>
      </b:Author>
    </b:Author>
    <b:Title>Integration of information systems and cybersecurity countermeasures: an exposure to risk perspective</b:Title>
    <b:JournalName>SIGMIS Database. Volume 49</b:JournalName>
    <b:Year>2018</b:Year>
    <b:Pages>33-52</b:Pages>
    <b:YearAccessed>2020</b:YearAccessed>
    <b:MonthAccessed>May</b:MonthAccessed>
    <b:DayAccessed>3</b:DayAccessed>
    <b:DOI>https://doi.org/10.1145/3184444.3184448.</b:DOI>
    <b:RefOrder>11</b:RefOrder>
  </b:Source>
  <b:Source>
    <b:Tag>Kre19</b:Tag>
    <b:SourceType>ConferenceProceedings</b:SourceType>
    <b:Guid>{1170A91B-FD08-457C-AB6E-A387B8348B8F}</b:Guid>
    <b:Author>
      <b:Author>
        <b:NameList>
          <b:Person>
            <b:Last>Krebs</b:Last>
            <b:First>C</b:First>
          </b:Person>
        </b:NameList>
      </b:Author>
    </b:Author>
    <b:Title>Keynote by Christopher Krebs, Director, Cybersecurity and Infrastructure Security Agency</b:Title>
    <b:InternetSiteTitle>YouTube</b:InternetSiteTitle>
    <b:Year>2019</b:Year>
    <b:Month>April</b:Month>
    <b:Day>23</b:Day>
    <b:URL>https://www.youtube.com/watch?v=aVfcgNhHSDM</b:URL>
    <b:ConferenceName>International Conference on Consumer Electronics</b:ConferenceName>
    <b:City>Las Vegas, Nevada, USA</b:City>
    <b:RefOrder>12</b:RefOrder>
  </b:Source>
  <b:Source>
    <b:Tag>Kos15</b:Tag>
    <b:SourceType>JournalArticle</b:SourceType>
    <b:Guid>{AA27490A-CF5A-4AA8-8251-C305E5135E90}</b:Guid>
    <b:Title>Components and challenges of integrated cyber risk management</b:Title>
    <b:JournalName>Zeitschrift für die gesamte Versicherungswissenschaft</b:JournalName>
    <b:Year>2015</b:Year>
    <b:Pages>615-632</b:Pages>
    <b:Author>
      <b:Author>
        <b:NameList>
          <b:Person>
            <b:Last>Kosub</b:Last>
            <b:First>T</b:First>
          </b:Person>
        </b:NameList>
      </b:Author>
    </b:Author>
    <b:Volume>104</b:Volume>
    <b:Issue>5</b:Issue>
    <b:DOI>https://doi.org/10.1007/s12297-015-0316-8</b:DOI>
    <b:RefOrder>13</b:RefOrder>
  </b:Source>
  <b:Source>
    <b:Tag>Bus171</b:Tag>
    <b:SourceType>JournalArticle</b:SourceType>
    <b:Guid>{3E29D600-4EDF-4916-9886-A6E21CBAE39E}</b:Guid>
    <b:Title>Analysis of Affordance, Time, and Adaptation in the Assessment of Industrial Control System Cybersecurity Risk</b:Title>
    <b:JournalName>Risk Analysis: An International Journal</b:JournalName>
    <b:Year>2017</b:Year>
    <b:Pages>1298-1314</b:Pages>
    <b:Author>
      <b:Author>
        <b:NameList>
          <b:Person>
            <b:Last>Busby</b:Last>
            <b:First>J</b:First>
          </b:Person>
          <b:Person>
            <b:Last>Green</b:Last>
            <b:First>B</b:First>
          </b:Person>
          <b:Person>
            <b:Last>Hutchison</b:Last>
            <b:First>D</b:First>
          </b:Person>
        </b:NameList>
      </b:Author>
    </b:Author>
    <b:Volume>37</b:Volume>
    <b:Issue>7</b:Issue>
    <b:DOI>https://doi-org.proxy1.ncu.edu/10.1111/risa.12681</b:DOI>
    <b:RefOrder>14</b:RefOrder>
  </b:Source>
  <b:Source>
    <b:Tag>Gro182</b:Tag>
    <b:SourceType>JournalArticle</b:SourceType>
    <b:Guid>{B4685A41-4C6F-45A3-9710-1365B55E504E}</b:Guid>
    <b:Title>Cyber risk from a chief risk officer perspective</b:Title>
    <b:JournalName>Journal of Risk Management in Financial Institutions</b:JournalName>
    <b:Year>2018</b:Year>
    <b:Pages>125-131</b:Pages>
    <b:Author>
      <b:Author>
        <b:NameList>
          <b:Person>
            <b:Last>Grobler</b:Last>
            <b:First>J</b:First>
          </b:Person>
        </b:NameList>
      </b:Author>
    </b:Author>
    <b:Volume>11</b:Volume>
    <b:Issue>2</b:Issue>
    <b:URL>https://search-ebscohost-com.proxy1.ncu.edu/login.aspx?direct=true&amp;db=bth&amp;AN=128885445&amp;site=eds-live</b:URL>
    <b:RefOrder>39</b:RefOrder>
  </b:Source>
  <b:Source>
    <b:Tag>Hun193</b:Tag>
    <b:SourceType>ConferenceProceedings</b:SourceType>
    <b:Guid>{3ACCE519-5112-4FA1-A30C-A8AA461FDDBC}</b:Guid>
    <b:Author>
      <b:Author>
        <b:NameList>
          <b:Person>
            <b:Last>Hunt</b:Last>
            <b:First>T</b:First>
          </b:Person>
        </b:NameList>
      </b:Author>
    </b:Author>
    <b:Title>Hack to the Future</b:Title>
    <b:Year>2019</b:Year>
    <b:ConferenceName>NDC Conferences</b:ConferenceName>
    <b:City>Minnesota</b:City>
    <b:Publisher>NDC</b:Publisher>
    <b:Medium>Video</b:Medium>
    <b:YearAccessed>2020</b:YearAccessed>
    <b:MonthAccessed>May</b:MonthAccessed>
    <b:DayAccessed>9</b:DayAccessed>
    <b:URL>https://www.youtube.com/watch?v=qCOefMiakps</b:URL>
    <b:RefOrder>34</b:RefOrder>
  </b:Source>
  <b:Source>
    <b:Tag>Ley11</b:Tag>
    <b:SourceType>InternetSite</b:SourceType>
    <b:Guid>{BD8AA096-63F6-410D-BB4B-30B229CD5634}</b:Guid>
    <b:Author>
      <b:Author>
        <b:NameList>
          <b:Person>
            <b:Last>Leyden</b:Last>
            <b:First>J</b:First>
          </b:Person>
        </b:NameList>
      </b:Author>
    </b:Author>
    <b:Title>RSA explains how attackers breached its systems</b:Title>
    <b:InternetSiteTitle>The Register</b:InternetSiteTitle>
    <b:Year>2011</b:Year>
    <b:Month>April</b:Month>
    <b:Day>11</b:Day>
    <b:URL>https://www.theregister.com/2011/04/04/rsa_hack_howdunnit/</b:URL>
    <b:YearAccessed>2020</b:YearAccessed>
    <b:MonthAccessed>June</b:MonthAccessed>
    <b:DayAccessed>21</b:DayAccessed>
    <b:RefOrder>35</b:RefOrder>
  </b:Source>
  <b:Source>
    <b:Tag>Ste18</b:Tag>
    <b:SourceType>JournalArticle</b:SourceType>
    <b:Guid>{A6131964-6757-4D36-87F6-CB46B471ECE5}</b:Guid>
    <b:Title>Global cybersecurity: new directions in theory and methods</b:Title>
    <b:Pages>1-4</b:Pages>
    <b:Year>2018</b:Year>
    <b:Author>
      <b:Author>
        <b:NameList>
          <b:Person>
            <b:Last>Stevens</b:Last>
            <b:First>T</b:First>
          </b:Person>
        </b:NameList>
      </b:Author>
    </b:Author>
    <b:JournalName>Politics and Governance</b:JournalName>
    <b:DOI>https://doi.org/10.17645/pag.v6i2.1569</b:DOI>
    <b:Volume>6</b:Volume>
    <b:Issue>2</b:Issue>
    <b:RefOrder>36</b:RefOrder>
  </b:Source>
  <b:Source>
    <b:Tag>Meh15</b:Tag>
    <b:SourceType>JournalArticle</b:SourceType>
    <b:Guid>{16CAD7B2-8FFF-419C-BD80-77AB9795FCB0}</b:Guid>
    <b:Title>Surviving advanced persistent threats in a distributed environment - architecture and analysis</b:Title>
    <b:JournalName>Information Systems Frontiers</b:JournalName>
    <b:Year>2015</b:Year>
    <b:Pages>987-997</b:Pages>
    <b:Author>
      <b:Author>
        <b:NameList>
          <b:Person>
            <b:Last>Mehresh</b:Last>
            <b:First>R</b:First>
          </b:Person>
          <b:Person>
            <b:Last>Upadhyaya</b:Last>
            <b:First>S</b:First>
          </b:Person>
        </b:NameList>
      </b:Author>
    </b:Author>
    <b:Volume>17</b:Volume>
    <b:Issue>5</b:Issue>
    <b:URL>https://search-ebscohost-com.proxy1.ncu.edu/login.aspx?direct=true&amp;db=edb&amp;AN=109474409&amp;site=eds-live</b:URL>
    <b:RefOrder>19</b:RefOrder>
  </b:Source>
  <b:Source>
    <b:Tag>Wes181</b:Tag>
    <b:SourceType>InternetSite</b:SourceType>
    <b:Guid>{53C085D7-EB06-4488-8A8C-7715CB2A6EDC}</b:Guid>
    <b:Title>Security Lifecycle Review</b:Title>
    <b:Year>2018</b:Year>
    <b:Author>
      <b:Author>
        <b:Corporate>Westcon-Comstor</b:Corporate>
      </b:Author>
    </b:Author>
    <b:InternetSiteTitle>YouTube</b:InternetSiteTitle>
    <b:URL>https://youtu.be/agf1BdOHmMI</b:URL>
    <b:YearAccessed>2020</b:YearAccessed>
    <b:MonthAccessed>June</b:MonthAccessed>
    <b:DayAccessed>21</b:DayAccessed>
    <b:RefOrder>20</b:RefOrder>
  </b:Source>
  <b:Source>
    <b:Tag>Ast16</b:Tag>
    <b:SourceType>JournalArticle</b:SourceType>
    <b:Guid>{53686975-A3AA-4381-A7DD-D156CC7E60FB}</b:Guid>
    <b:Title>Trends and preventive strategies for mitigating cybersecurity breaches in organizations</b:Title>
    <b:JournalName>Issues in Information Systems</b:JournalName>
    <b:Year>2016</b:Year>
    <b:Pages>208-214</b:Pages>
    <b:Author>
      <b:Author>
        <b:NameList>
          <b:Person>
            <b:Last>Astani</b:Last>
            <b:First>M</b:First>
          </b:Person>
          <b:Person>
            <b:Last>Ready</b:Last>
            <b:First>K</b:First>
          </b:Person>
        </b:NameList>
      </b:Author>
    </b:Author>
    <b:Publisher>International Association of Computer Investigative Specialists</b:Publisher>
    <b:Volume>17</b:Volume>
    <b:Issue>2</b:Issue>
    <b:YearAccessed>2020</b:YearAccessed>
    <b:MonthAccessed>May</b:MonthAccessed>
    <b:DayAccessed>9</b:DayAccessed>
    <b:URL>https://iacis.org/iis/2016/2_iis_2016_208-214.pdf</b:URL>
    <b:RefOrder>15</b:RefOrder>
  </b:Source>
  <b:Source>
    <b:Tag>Pal20</b:Tag>
    <b:SourceType>ConferenceProceedings</b:SourceType>
    <b:Guid>{B2CE87D6-E87F-4DD2-8F7D-CE4A2ED2D699}</b:Guid>
    <b:Author>
      <b:Author>
        <b:NameList>
          <b:Person>
            <b:Last>Paller</b:Last>
            <b:First>A</b:First>
          </b:Person>
          <b:Person>
            <b:Last>Mahalik</b:Last>
            <b:First>H</b:First>
          </b:Person>
          <b:Person>
            <b:Last>Skoudis</b:Last>
            <b:First>E</b:First>
          </b:Person>
          <b:Person>
            <b:Last>Ullrich</b:Last>
            <b:First>J</b:First>
          </b:Person>
        </b:NameList>
      </b:Author>
    </b:Author>
    <b:Title>The five most dangerous new attack techniques and how to counter them</b:Title>
    <b:Year>2020</b:Year>
    <b:Publisher>RSA</b:Publisher>
    <b:YearAccessed>2020</b:YearAccessed>
    <b:MonthAccessed>May</b:MonthAccessed>
    <b:DayAccessed>9</b:DayAccessed>
    <b:URL>https://youtu.be/xz7IFVJf3Lk</b:URL>
    <b:ConferenceName>RSA Conference</b:ConferenceName>
    <b:RefOrder>24</b:RefOrder>
  </b:Source>
  <b:Source>
    <b:Tag>Rad15</b:Tag>
    <b:SourceType>JournalArticle</b:SourceType>
    <b:Guid>{905D48B3-137A-4950-9CAB-0924FB435BA2}</b:Guid>
    <b:Title>COBIT Helps Organizations Meet Performance and Compliance Requirements</b:Title>
    <b:JournalName>COBIT Focus</b:JournalName>
    <b:Year>2015</b:Year>
    <b:Pages>1-5</b:Pages>
    <b:Author>
      <b:Author>
        <b:NameList>
          <b:Person>
            <b:Last>Radhakrishnan</b:Last>
            <b:First>S</b:First>
          </b:Person>
        </b:NameList>
      </b:Author>
    </b:Author>
    <b:Volume>5</b:Volume>
    <b:URL>https://search-ebscohost-com.proxy1.ncu.edu/login.aspx?direct=true&amp;db=bth&amp;AN=102026122&amp;site=eds-live</b:URL>
    <b:RefOrder>26</b:RefOrder>
  </b:Source>
  <b:Source>
    <b:Tag>Mic181</b:Tag>
    <b:SourceType>InternetSite</b:SourceType>
    <b:Guid>{1E95574D-8617-4049-A44E-83F3338AAC91}</b:Guid>
    <b:Author>
      <b:Author>
        <b:Corporate>Microsoft</b:Corporate>
      </b:Author>
    </b:Author>
    <b:Title>Network Access Protection</b:Title>
    <b:InternetSiteTitle>Microsoft Documentation</b:InternetSiteTitle>
    <b:Year>2018</b:Year>
    <b:Month>May</b:Month>
    <b:Day>31</b:Day>
    <b:URL>https://docs.microsoft.com/en-us/windows/win32/nap/network-access-protection-start-page</b:URL>
    <b:RefOrder>27</b:RefOrder>
  </b:Source>
  <b:Source>
    <b:Tag>Gal17</b:Tag>
    <b:SourceType>ConferenceProceedings</b:SourceType>
    <b:Guid>{8DDE938B-ABD7-43A9-9136-586623202638}</b:Guid>
    <b:Author>
      <b:Author>
        <b:NameList>
          <b:Person>
            <b:Last>Galinec</b:Last>
            <b:First>D</b:First>
          </b:Person>
          <b:Person>
            <b:Last>Steingartner</b:Last>
            <b:First>W</b:First>
          </b:Person>
        </b:NameList>
      </b:Author>
    </b:Author>
    <b:Title>Combining cybersecurity and cyber defense to achieve cyber resilience</b:Title>
    <b:Year>2017</b:Year>
    <b:ConferenceName>14th International Scientific Conference on Informatics</b:ConferenceName>
    <b:City>Poprad, Slovakia</b:City>
    <b:Publisher>Institute of Electrical and Electronics Engineers</b:Publisher>
    <b:YearAccessed>2020</b:YearAccessed>
    <b:MonthAccessed>May</b:MonthAccessed>
    <b:DayAccessed>9</b:DayAccessed>
    <b:DOI>https://doi.org/10.1109/INFORMATICS.2017.8327227</b:DOI>
    <b:RefOrder>25</b:RefOrder>
  </b:Source>
  <b:Source>
    <b:Tag>Kil171</b:Tag>
    <b:SourceType>ConferenceProceedings</b:SourceType>
    <b:Guid>{2FE0E3C5-D540-46F4-B6BD-A4E7E4AB6D7B}</b:Guid>
    <b:Title>Improving the effectiveness and efficiency ofdynamic malware analysis with machine learning</b:Title>
    <b:Year>2017</b:Year>
    <b:Author>
      <b:Author>
        <b:NameList>
          <b:Person>
            <b:Last>Kilgallon</b:Last>
            <b:First>S</b:First>
          </b:Person>
          <b:Person>
            <b:Last>De La Rosa</b:Last>
            <b:First>L</b:First>
          </b:Person>
          <b:Person>
            <b:Last>Cavazos</b:Last>
            <b:First>J</b:First>
          </b:Person>
        </b:NameList>
      </b:Author>
    </b:Author>
    <b:City>Wilmington, DE, USA</b:City>
    <b:Month>September</b:Month>
    <b:Day>18-22</b:Day>
    <b:YearAccessed>2020</b:YearAccessed>
    <b:MonthAccessed>May</b:MonthAccessed>
    <b:DayAccessed>9</b:DayAccessed>
    <b:DOI>https://doi.org/10.1109/RWEEK.2017.8088644</b:DOI>
    <b:ConferenceName>Resilience Week</b:ConferenceName>
    <b:RefOrder>29</b:RefOrder>
  </b:Source>
  <b:Source>
    <b:Tag>Bal171</b:Tag>
    <b:SourceType>ArticleInAPeriodical</b:SourceType>
    <b:Guid>{9B017846-13D6-45AB-88C4-434ABAA0C5F6}</b:Guid>
    <b:Author>
      <b:Author>
        <b:NameList>
          <b:Person>
            <b:Last>Balupari</b:Last>
            <b:First>R</b:First>
          </b:Person>
          <b:Person>
            <b:Last>Singh</b:Last>
            <b:First>A</b:First>
          </b:Person>
        </b:NameList>
      </b:Author>
    </b:Author>
    <b:Title>Recon and respond to malware threats in the cloud</b:Title>
    <b:Pages>22-27</b:Pages>
    <b:Year>2017</b:Year>
    <b:PeriodicalTitle>ISSA Journal</b:PeriodicalTitle>
    <b:Month>May</b:Month>
    <b:Volume>15</b:Volume>
    <b:Issue>5</b:Issue>
    <b:URL>https://search-ebscohost-com.proxy1.ncu.edu/login.aspx?direct=true&amp;db=tsh&amp;AN=123143081&amp;site=eds-live</b:URL>
    <b:RefOrder>30</b:RefOrder>
  </b:Source>
  <b:Source>
    <b:Tag>Eri18</b:Tag>
    <b:SourceType>JournalArticle</b:SourceType>
    <b:Guid>{80330203-C679-4639-B59A-77CB8F8A0881}</b:Guid>
    <b:Author>
      <b:Author>
        <b:NameList>
          <b:Person>
            <b:Last>Erickson</b:Last>
            <b:First>A</b:First>
          </b:Person>
          <b:Person>
            <b:Last>Neilson</b:Last>
            <b:First>T</b:First>
          </b:Person>
        </b:NameList>
      </b:Author>
    </b:Author>
    <b:Title>Cybersecurity -- the no. 1 threat facing manufacturers</b:Title>
    <b:JournalName>Industrial Management</b:JournalName>
    <b:Year>2018</b:Year>
    <b:Pages>24-27</b:Pages>
    <b:Month>July/August</b:Month>
    <b:Publisher>60</b:Publisher>
    <b:Volume>4</b:Volume>
    <b:URL>https://search-ebscohost-com.proxy1.ncu.edu/login.aspx?direct=true&amp;db=a9h&amp;AN=130596152&amp;site=eds-live</b:URL>
    <b:RefOrder>1</b:RefOrder>
  </b:Source>
  <b:Source>
    <b:Tag>Dev15</b:Tag>
    <b:SourceType>JournalArticle</b:SourceType>
    <b:Guid>{9EE5729D-9853-459C-B57A-82B5B303D13E}</b:Guid>
    <b:Title>Towards a Theoretical Foundation of IT Governance - The COBIT 5 case</b:Title>
    <b:JournalName>Electronic Journal of Information Systems Evaluation</b:JournalName>
    <b:Year>2015</b:Year>
    <b:Author>
      <b:Author>
        <b:NameList>
          <b:Person>
            <b:Last>Devos</b:Last>
            <b:First>J</b:First>
          </b:Person>
          <b:Person>
            <b:Last>Van de Ginste</b:Last>
            <b:First>K</b:First>
          </b:Person>
        </b:NameList>
      </b:Author>
    </b:Author>
    <b:Volume>18</b:Volume>
    <b:Issue>2</b:Issue>
    <b:URL>https://search-ebscohost-com.proxy1.ncu.edu/login.aspx?direct=true&amp;db=edb&amp;AN=109261833&amp;site=eds-live</b:URL>
    <b:RefOrder>2</b:RefOrder>
  </b:Source>
  <b:Source>
    <b:Tag>McL18</b:Tag>
    <b:SourceType>JournalArticle</b:SourceType>
    <b:Guid>{01EA9029-C8CE-49BE-9CEB-F220B533E348}</b:Guid>
    <b:Title>Cyberattacks put every enterprise at risk</b:Title>
    <b:Year>2018</b:Year>
    <b:URL>https://search-ebscohost-com.proxy1.ncu.edu/login.aspx?direct=true&amp;db=ofs&amp;AN=130725306&amp;site=eds-live</b:URL>
    <b:Author>
      <b:Author>
        <b:NameList>
          <b:Person>
            <b:Last>McLane</b:Last>
            <b:First>P</b:First>
          </b:Person>
        </b:NameList>
      </b:Author>
    </b:Author>
    <b:JournalName>Broadcasting &amp; Cable</b:JournalName>
    <b:Pages>12-17</b:Pages>
    <b:Volume>148</b:Volume>
    <b:Issue>13</b:Issue>
    <b:RefOrder>31</b:RefOrder>
  </b:Source>
  <b:Source>
    <b:Tag>Lam16</b:Tag>
    <b:SourceType>JournalArticle</b:SourceType>
    <b:Guid>{28E21D8F-7668-45FC-9FEC-9F6E4E8A8B8D}</b:Guid>
    <b:Title>Attack-prevention and damage-control investments in cybersecurity</b:Title>
    <b:JournalName>Information Economics and Policy</b:JournalName>
    <b:Year>2016</b:Year>
    <b:Pages>42-51</b:Pages>
    <b:Author>
      <b:Author>
        <b:NameList>
          <b:Person>
            <b:Last>Lam</b:Last>
            <b:First>W</b:First>
          </b:Person>
        </b:NameList>
      </b:Author>
    </b:Author>
    <b:Volume>37</b:Volume>
    <b:YearAccessed>2020</b:YearAccessed>
    <b:MonthAccessed>May</b:MonthAccessed>
    <b:DayAccessed>9</b:DayAccessed>
    <b:DOI>https://doi.org/10.1016/j.infoecopol.2016.10.003</b:DOI>
    <b:RefOrder>32</b:RefOrder>
  </b:Source>
  <b:Source>
    <b:Tag>Fon14</b:Tag>
    <b:SourceType>JournalArticle</b:SourceType>
    <b:Guid>{292A794C-2206-4E9D-B3A7-A2392F198367}</b:Guid>
    <b:Author>
      <b:Author>
        <b:NameList>
          <b:Person>
            <b:Last>Fonseca</b:Last>
            <b:First>S</b:First>
          </b:Person>
          <b:Person>
            <b:Last>Ramaswamy</b:Last>
            <b:First>M</b:First>
          </b:Person>
        </b:NameList>
      </b:Author>
    </b:Author>
    <b:Title>Information technology architecture for optimal reporting</b:Title>
    <b:JournalName>Issues in Information Systems</b:JournalName>
    <b:Year>2014</b:Year>
    <b:Pages>224-234</b:Pages>
    <b:Volume>15</b:Volume>
    <b:Issue>1</b:Issue>
    <b:URL>https://search-ebscohost-com.proxy1.ncu.edu/login.aspx?direct=true&amp;db=edsdoj&amp;AN=edsdoj.5cbbebb4b672422b8f2eddb5c4bf038f&amp;site=eds-live</b:URL>
    <b:RefOrder>33</b:RefOrder>
  </b:Source>
  <b:Source>
    <b:Tag>Val17</b:Tag>
    <b:SourceType>JournalArticle</b:SourceType>
    <b:Guid>{12291F75-A09E-4D0A-9FB0-3F15CAC45786}</b:Guid>
    <b:Author>
      <b:Author>
        <b:NameList>
          <b:Person>
            <b:Last>Valiente</b:Last>
            <b:First>C</b:First>
          </b:Person>
        </b:NameList>
      </b:Author>
    </b:Author>
    <b:Title>Addressing Malware WITH Cybersecurity Awareness</b:Title>
    <b:JournalName>Information Systems Security Association Journal</b:JournalName>
    <b:Year>2017</b:Year>
    <b:Pages>16-22</b:Pages>
    <b:Month>October</b:Month>
    <b:Volume>15</b:Volume>
    <b:Issue>10</b:Issue>
    <b:URL>https://search-ebscohost-com.proxy1.ncu.edu/login.aspx?direct=true&amp;db=tsh&amp;AN=125478200&amp;site=eds-live</b:URL>
    <b:RefOrder>21</b:RefOrder>
  </b:Source>
  <b:Source>
    <b:Tag>Kee15</b:Tag>
    <b:SourceType>JournalArticle</b:SourceType>
    <b:Guid>{0439689B-37A8-4E1B-979B-6D2729A471DD}</b:Guid>
    <b:Title>Follow the audit trail</b:Title>
    <b:JournalName>Journal of Legal Nurse Consulting</b:JournalName>
    <b:Year>2015</b:Year>
    <b:Pages>25-28</b:Pages>
    <b:Author>
      <b:Author>
        <b:NameList>
          <b:Person>
            <b:Last>Keel</b:Last>
            <b:First>J</b:First>
          </b:Person>
        </b:NameList>
      </b:Author>
    </b:Author>
    <b:Volume>26</b:Volume>
    <b:Issue>12</b:Issue>
    <b:URL>https://search-ebscohost-com.proxy1.ncu.edu/login.aspx?direct=true&amp;db=ccm&amp;AN=109586071&amp;site=eds-live</b:URL>
    <b:RefOrder>22</b:RefOrder>
  </b:Source>
  <b:Source>
    <b:Tag>Ade15</b:Tag>
    <b:SourceType>JournalArticle</b:SourceType>
    <b:Guid>{290CA76F-94A6-43FF-9FE1-48FE1FF63B45}</b:Guid>
    <b:Title>Ideal log setting for database forensics reconstruction</b:Title>
    <b:Year>2015</b:Year>
    <b:Month>March</b:Month>
    <b:Author>
      <b:Author>
        <b:NameList>
          <b:Person>
            <b:Last>Adedayo</b:Last>
            <b:First>O</b:First>
          </b:Person>
          <b:Person>
            <b:Last>Oliver</b:Last>
            <b:First>M</b:First>
          </b:Person>
        </b:NameList>
      </b:Author>
    </b:Author>
    <b:JournalName>Digital Investigation</b:JournalName>
    <b:Pages>27-40</b:Pages>
    <b:Volume>12</b:Volume>
    <b:DOI>https://doi.org/10.1016/j.diin.2014.12.002</b:DOI>
    <b:RefOrder>23</b:RefOrder>
  </b:Source>
  <b:Source>
    <b:Tag>Riv17</b:Tag>
    <b:SourceType>JournalArticle</b:SourceType>
    <b:Guid>{C836BB89-C4AC-410B-9D0A-A32ED07396FE}</b:Guid>
    <b:Title>Towards a service architecture for master data exchange</b:Title>
    <b:JournalName>Computer Standards &amp; Interfaces</b:JournalName>
    <b:Year>2017</b:Year>
    <b:Pages>94-104</b:Pages>
    <b:Author>
      <b:Author>
        <b:NameList>
          <b:Person>
            <b:Last>Rivas</b:Last>
            <b:First>B</b:First>
          </b:Person>
          <b:Person>
            <b:Last>Caballero</b:Last>
            <b:First>M</b:First>
          </b:Person>
          <b:Person>
            <b:Last>Serrano</b:Last>
            <b:First>M</b:First>
          </b:Person>
          <b:Person>
            <b:Last>Pattini</b:Last>
            <b:First>M</b:First>
          </b:Person>
        </b:NameList>
      </b:Author>
    </b:Author>
    <b:Month>November</b:Month>
    <b:Volume>54</b:Volume>
    <b:Issue>2</b:Issue>
    <b:DOI>https://doi.org/10.1016/j.csi.2016.10.004</b:DOI>
    <b:RefOrder>16</b:RefOrder>
  </b:Source>
  <b:Source>
    <b:Tag>Tar18</b:Tag>
    <b:SourceType>JournalArticle</b:SourceType>
    <b:Guid>{572C9E1A-8BCC-4EC5-9802-8F9E52B21BF9}</b:Guid>
    <b:Title>The value of unified endpoint management</b:Title>
    <b:JournalName>Computer Weekly</b:JournalName>
    <b:Year>2018</b:Year>
    <b:Author>
      <b:Author>
        <b:NameList>
          <b:Person>
            <b:Last>Tarzey</b:Last>
            <b:First>B</b:First>
          </b:Person>
        </b:NameList>
      </b:Author>
    </b:Author>
    <b:Month>August</b:Month>
    <b:Volume>16</b:Volume>
    <b:URL>https://search-ebscohost-com.proxy1.ncu.edu/login.aspx?direct=true&amp;db=edb&amp;AN=131123396&amp;site=eds-live</b:URL>
    <b:RefOrder>17</b:RefOrder>
  </b:Source>
  <b:Source>
    <b:Tag>Lam15</b:Tag>
    <b:SourceType>JournalArticle</b:SourceType>
    <b:Guid>{E75F1908-8154-4271-9A38-CECFAE5EB247}</b:Guid>
    <b:Title>Incremental checking of Master Data Management model based on contextual graphs</b:Title>
    <b:JournalName>Enterprise Information Systems</b:JournalName>
    <b:Year>2015</b:Year>
    <b:Pages>681-708</b:Pages>
    <b:Author>
      <b:Author>
        <b:NameList>
          <b:Person>
            <b:Last>Lamolle</b:Last>
            <b:First>M</b:First>
          </b:Person>
          <b:Person>
            <b:Last>Menet</b:Last>
            <b:First>L</b:First>
          </b:Person>
          <b:Person>
            <b:Last>Le Duc</b:Last>
            <b:First>C</b:First>
          </b:Person>
        </b:NameList>
      </b:Author>
    </b:Author>
    <b:Volume>9</b:Volume>
    <b:Issue>7</b:Issue>
    <b:DOI>https://doi.org/10.1080/17517575.2013.792395</b:DOI>
    <b:RefOrder>18</b:RefOrder>
  </b:Source>
  <b:Source>
    <b:Tag>Pro151</b:Tag>
    <b:SourceType>JournalArticle</b:SourceType>
    <b:Guid>{EDCA0956-9950-4776-93A5-242433FD840D}</b:Guid>
    <b:Title>The role of human factors/ergonomics in the science of security: decision making and action selection in cyberspace</b:Title>
    <b:JournalName>Human Factors and Ergonomics Society</b:JournalName>
    <b:Year>2015</b:Year>
    <b:Pages>721-727</b:Pages>
    <b:Author>
      <b:Author>
        <b:NameList>
          <b:Person>
            <b:Last>Proctor</b:Last>
            <b:First>R</b:First>
          </b:Person>
          <b:Person>
            <b:Last>Chen</b:Last>
            <b:First>J</b:First>
          </b:Person>
        </b:NameList>
      </b:Author>
    </b:Author>
    <b:Month>August</b:Month>
    <b:Volume>57</b:Volume>
    <b:Issue>5</b:Issue>
    <b:YearAccessed>2020</b:YearAccessed>
    <b:MonthAccessed>May</b:MonthAccessed>
    <b:DayAccessed>9</b:DayAccessed>
    <b:DOI>https://doi.org/10.1177/0018720815585906</b:DOI>
    <b:RefOrder>37</b:RefOrder>
  </b:Source>
  <b:Source>
    <b:Tag>Wac18</b:Tag>
    <b:SourceType>JournalArticle</b:SourceType>
    <b:Guid>{37A81D7F-AC07-4B15-B1E2-B0D87E9988E1}</b:Guid>
    <b:Title>Normative challenges of identification in the Internet of Things: privacy, profiling, discrimination, and the GDPR</b:Title>
    <b:JournalName>Computer Law &amp; Security Review</b:JournalName>
    <b:Year>2018</b:Year>
    <b:Pages>436-449</b:Pages>
    <b:Author>
      <b:Author>
        <b:NameList>
          <b:Person>
            <b:Last>Wachter</b:Last>
            <b:First>S</b:First>
          </b:Person>
        </b:NameList>
      </b:Author>
    </b:Author>
    <b:Month>June</b:Month>
    <b:Volume>34</b:Volume>
    <b:Issue>3</b:Issue>
    <b:YearAccessed>2020</b:YearAccessed>
    <b:MonthAccessed>May</b:MonthAccessed>
    <b:DayAccessed>16</b:DayAccessed>
    <b:DOI>https://doi.org/10.1016/j.clsr.2018.02.002</b:DOI>
    <b:RefOrder>40</b:RefOrder>
  </b:Source>
  <b:Source>
    <b:Tag>Has18</b:Tag>
    <b:SourceType>InternetSite</b:SourceType>
    <b:Guid>{1FCFF32D-C546-4646-A17E-ADFC3A237675}</b:Guid>
    <b:Title>I asked Siri, Alexa and Google Assistant if they’re spying on me — here’s what they said</b:Title>
    <b:Year>2018</b:Year>
    <b:Month>May</b:Month>
    <b:Day>13</b:Day>
    <b:YearAccessed>2020</b:YearAccessed>
    <b:MonthAccessed>May</b:MonthAccessed>
    <b:DayAccessed>17</b:DayAccessed>
    <b:URL>https://www.cnbc.com/2018/05/13/are-siri-alexa-and-google-assistant-spying-on-me.html</b:URL>
    <b:Author>
      <b:Author>
        <b:NameList>
          <b:Person>
            <b:Last>Haselton</b:Last>
            <b:First>T</b:First>
          </b:Person>
        </b:NameList>
      </b:Author>
    </b:Author>
    <b:InternetSiteTitle>CNBC</b:InternetSiteTitle>
    <b:RefOrder>41</b:RefOrder>
  </b:Source>
  <b:Source>
    <b:Tag>The17</b:Tag>
    <b:SourceType>JournalArticle</b:SourceType>
    <b:Guid>{1391B8C5-F4E5-4808-A31E-58D16F860145}</b:Guid>
    <b:Title>The Role of Healthcare Technology Management in Facilitating Medical Device Cybersecurity</b:Title>
    <b:JournalName>Biomedical Instrumentation &amp; Technology Sep; Vol. 51 (s6)</b:JournalName>
    <b:Year>2017</b:Year>
    <b:Pages>19-25</b:Pages>
    <b:Author>
      <b:Author>
        <b:NameList>
          <b:Person>
            <b:Last>Busdicker</b:Last>
            <b:First>M</b:First>
          </b:Person>
          <b:Person>
            <b:Last>Upendra</b:Last>
            <b:First>P</b:First>
          </b:Person>
        </b:NameList>
      </b:Author>
    </b:Author>
    <b:RefOrder>42</b:RefOrder>
  </b:Source>
  <b:Source>
    <b:Tag>Fro181</b:Tag>
    <b:SourceType>ConferenceProceedings</b:SourceType>
    <b:Guid>{7B1B96A6-288A-451A-92E7-5A83E94AC83B}</b:Guid>
    <b:Title>Keynote Opening</b:Title>
    <b:JournalName>International Conference On Software Engineering</b:JournalName>
    <b:Year>2018</b:Year>
    <b:City>Gothenburg, Sweden</b:City>
    <b:Month>May</b:Month>
    <b:Day>27</b:Day>
    <b:Publisher>International Conference on Software Engineering (ICSE)</b:Publisher>
    <b:YearAccessed>2019</b:YearAccessed>
    <b:MonthAccessed>April</b:MonthAccessed>
    <b:DayAccessed>8</b:DayAccessed>
    <b:URL>https://www.youtube.com/watch?v=cpeMmMh7Syk</b:URL>
    <b:Author>
      <b:Author>
        <b:NameList>
          <b:Person>
            <b:Last>Frodigh</b:Last>
            <b:First>M</b:First>
          </b:Person>
        </b:NameList>
      </b:Author>
    </b:Author>
    <b:ConferenceName>40th International Conference on Software Engineering</b:ConferenceName>
    <b:InternetSiteTitle>YouTube</b:InternetSiteTitle>
    <b:RefOrder>43</b:RefOrder>
  </b:Source>
  <b:Source>
    <b:Tag>Web16</b:Tag>
    <b:SourceType>JournalArticle</b:SourceType>
    <b:Guid>{6F5F05E0-C6DD-4FF9-980F-E4BFD96F76CB}</b:Guid>
    <b:Title>Cybersecurity in the Internet of Things: Legal aspects</b:Title>
    <b:JournalName>Computer Law &amp; Security Review</b:JournalName>
    <b:Year>2016</b:Year>
    <b:Pages>715-728</b:Pages>
    <b:Author>
      <b:Author>
        <b:NameList>
          <b:Person>
            <b:Last>Weber</b:Last>
            <b:First>R.</b:First>
            <b:Middle>H.,</b:Middle>
          </b:Person>
          <b:Person>
            <b:Last>Studer</b:Last>
            <b:First>E.</b:First>
          </b:Person>
        </b:NameList>
      </b:Author>
    </b:Author>
    <b:Month>October</b:Month>
    <b:Volume>32</b:Volume>
    <b:Issue>5</b:Issue>
    <b:YearAccessed>2020</b:YearAccessed>
    <b:MonthAccessed>May</b:MonthAccessed>
    <b:DayAccessed>16</b:DayAccessed>
    <b:DOI>https://doi.org/10.1016/j.clsr.2016.07.002</b:DOI>
    <b:RefOrder>44</b:RefOrder>
  </b:Source>
  <b:Source>
    <b:Tag>Nic17</b:Tag>
    <b:SourceType>ConferenceProceedings</b:SourceType>
    <b:Guid>{CAA4E6C0-344F-46D5-AA4E-18F6C94C6198}</b:Guid>
    <b:Title>Managing Information Security Risk Using Integrated Governance Risk and Compliance</b:Title>
    <b:Year>2017</b:Year>
    <b:DOI>https://doi-org.proxy1.ncu.edu/10.1109/COMAPP.2017.8079741</b:DOI>
    <b:Author>
      <b:Author>
        <b:NameList>
          <b:Person>
            <b:Last>Nicho</b:Last>
            <b:First>M</b:First>
          </b:Person>
          <b:Person>
            <b:Last>Khan</b:Last>
            <b:First>S</b:First>
          </b:Person>
          <b:Person>
            <b:Last>Rahman</b:Last>
            <b:First>M</b:First>
          </b:Person>
        </b:NameList>
      </b:Author>
    </b:Author>
    <b:City>Doha, United Arab Emirates, United Arab Emirates</b:City>
    <b:Pages>56-66</b:Pages>
    <b:ConferenceName>International Conference on Computer and Applications</b:ConferenceName>
    <b:RefOrder>9</b:RefOrder>
  </b:Source>
  <b:Source>
    <b:Tag>Hen18</b:Tag>
    <b:SourceType>JournalArticle</b:SourceType>
    <b:Guid>{617546E6-DDAC-4718-B248-2CFADD27E9E5}</b:Guid>
    <b:Author>
      <b:Author>
        <b:NameList>
          <b:Person>
            <b:Last>Hennig</b:Last>
            <b:First>N</b:First>
          </b:Person>
        </b:NameList>
      </b:Author>
    </b:Author>
    <b:Title>Privacy and Security Online: Best Practices for Cybersecurity</b:Title>
    <b:JournalName>Library Technology Reports</b:JournalName>
    <b:Year>2018</b:Year>
    <b:Pages>1-37</b:Pages>
    <b:Volume>54</b:Volume>
    <b:Issue>3</b:Issue>
    <b:URL>https://search-ebscohost-com.proxy1.ncu.edu/login.aspx?direct=true&amp;db=ehh&amp;AN=128707555&amp;site=eds-live</b:URL>
    <b:RefOrder>45</b:RefOrder>
  </b:Source>
  <b:Source>
    <b:Tag>Bob15</b:Tag>
    <b:SourceType>ConferenceProceedings</b:SourceType>
    <b:Guid>{909B61B2-44A2-4CB9-B201-BF9A9AA0E660}</b:Guid>
    <b:Title>Governance practices and critical success factors suitable for business information security</b:Title>
    <b:Year>2015</b:Year>
    <b:Author>
      <b:Author>
        <b:NameList>
          <b:Person>
            <b:Last>Bobbert</b:Last>
            <b:First>Y</b:First>
          </b:Person>
          <b:Person>
            <b:Last>Mulder</b:Last>
            <b:First>H</b:First>
          </b:Person>
        </b:NameList>
      </b:Author>
    </b:Author>
    <b:Pages>1097-1104</b:Pages>
    <b:Publisher>Computational Intelligence and Communication Networks</b:Publisher>
    <b:DOI>https://doi.org/10.1109/CICN.2015.216</b:DOI>
    <b:ConferenceName>2015 International Conference on Computational Intelligence and Communication Networks</b:ConferenceName>
    <b:RefOrder>4</b:RefOrder>
  </b:Source>
</b:Sources>
</file>

<file path=customXml/itemProps1.xml><?xml version="1.0" encoding="utf-8"?>
<ds:datastoreItem xmlns:ds="http://schemas.openxmlformats.org/officeDocument/2006/customXml" ds:itemID="{28764A80-BE3E-4F56-B4E5-597168282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1418</TotalTime>
  <Pages>19</Pages>
  <Words>4878</Words>
  <Characters>27811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35</cp:revision>
  <dcterms:created xsi:type="dcterms:W3CDTF">2019-05-19T17:38:00Z</dcterms:created>
  <dcterms:modified xsi:type="dcterms:W3CDTF">2020-07-26T01:38:00Z</dcterms:modified>
</cp:coreProperties>
</file>