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B5DC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35DA5189" w14:textId="2762429C" w:rsidR="00D86416" w:rsidRP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0A890AE2" w:rsidR="005737A3" w:rsidRDefault="005737A3" w:rsidP="005737A3">
      <w:pPr>
        <w:pStyle w:val="Heading1"/>
      </w:pPr>
      <w:bookmarkStart w:id="0" w:name="_Hlk46607831"/>
      <w:r>
        <w:t>Section III: Business Impact Analysis</w:t>
      </w:r>
    </w:p>
    <w:p w14:paraId="3CC809B0" w14:textId="77777777" w:rsidR="008310E7"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w:t>
      </w:r>
      <w:r w:rsidR="008310E7">
        <w:lastRenderedPageBreak/>
        <w:t>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1E1B0E69" w:rsidR="000213F9" w:rsidRPr="000213F9" w:rsidRDefault="008310E7" w:rsidP="008310E7">
      <w:pPr>
        <w:ind w:firstLine="720"/>
      </w:pPr>
      <w:r>
        <w:t>Having this information provides two critical pieces of information.  First, it identifies dependencies for the response plan.  Second, it enables the business to assess if the risk is 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bookmarkEnd w:id="0"/>
    <w:p w14:paraId="5C982AD3" w14:textId="75952799" w:rsidR="005737A3" w:rsidRDefault="005737A3" w:rsidP="005737A3">
      <w:pPr>
        <w:pStyle w:val="Heading1"/>
      </w:pPr>
      <w:r>
        <w:t>Section IV: Plan of Action and Milestones</w:t>
      </w:r>
    </w:p>
    <w:p w14:paraId="761D1FF9" w14:textId="59078B59" w:rsidR="005737A3" w:rsidRDefault="005737A3" w:rsidP="005737A3">
      <w:pPr>
        <w:pStyle w:val="Heading1"/>
      </w:pPr>
      <w:r>
        <w:t>Section V: Risk Reduction for Mobile Device Management</w:t>
      </w:r>
    </w:p>
    <w:p w14:paraId="17C0517E" w14:textId="77777777"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xml:space="preserve">.  Now that employees could locally cache information on their corporate laptops and workstations, productivity increased, but ensuring data confidentiality and integrity became more complex.  </w:t>
      </w:r>
    </w:p>
    <w:p w14:paraId="124AD6FA" w14:textId="58171A73" w:rsidR="00D80C70" w:rsidRPr="00174C6D" w:rsidRDefault="00D80C70" w:rsidP="00D80C70">
      <w:pPr>
        <w:ind w:firstLine="720"/>
      </w:pPr>
      <w:r>
        <w:lastRenderedPageBreak/>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w:t>
      </w:r>
      <w:r>
        <w:lastRenderedPageBreak/>
        <w:t>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095E9E53"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w:t>
      </w:r>
      <w:r>
        <w:lastRenderedPageBreak/>
        <w:t xml:space="preserve">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43B660E3"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xml:space="preserve">.   By design, anonymous </w:t>
      </w:r>
      <w:r>
        <w:lastRenderedPageBreak/>
        <w:t>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044004E7" w:rsidR="009277F4" w:rsidRPr="00A358F7" w:rsidRDefault="009277F4" w:rsidP="00A8113B">
      <w:pPr>
        <w:ind w:firstLine="720"/>
      </w:pPr>
      <w:r>
        <w:lastRenderedPageBreak/>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need to determine the scope of impact and an appropriate level of disclosure.</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77777777" w:rsidR="00A358F7" w:rsidRDefault="00A358F7" w:rsidP="00A358F7">
      <w:r>
        <w:t xml:space="preserve">The attack against the NCU-F application interface has enabled international actors to install multiple strains of malware onto the network.  The administrative team must devise a response plan to contain the infestation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77777777"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t>Branch Offices</w:t>
      </w:r>
    </w:p>
    <w:p w14:paraId="1C1D5B7D" w14:textId="77777777" w:rsidR="00A358F7" w:rsidRDefault="00A358F7" w:rsidP="00A358F7">
      <w:pPr>
        <w:ind w:firstLine="720"/>
      </w:pPr>
      <w:r>
        <w:lastRenderedPageBreak/>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tab/>
        <w:t xml:space="preserve">One of the byproducts of modern networks having abstract borders is that the rampant malware does not stop at devices owned exclusively by NCU-F.  Instead, it continues onto </w:t>
      </w:r>
      <w:r>
        <w:lastRenderedPageBreak/>
        <w:t>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virus licenses.  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xml:space="preserve">.  Processes </w:t>
      </w:r>
      <w:r>
        <w:lastRenderedPageBreak/>
        <w:t>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 xml:space="preserve">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w:t>
      </w:r>
      <w:r>
        <w:lastRenderedPageBreak/>
        <w:t>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7F9DE3D" w14:textId="0917F605" w:rsidR="004D7796" w:rsidRDefault="004D7796" w:rsidP="004D7796">
      <w:pPr>
        <w:ind w:firstLine="720"/>
      </w:pPr>
      <w:r>
        <w:lastRenderedPageBreak/>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  </w:t>
      </w:r>
    </w:p>
    <w:p w14:paraId="72245C67" w14:textId="7745CAEC" w:rsidR="004D7796" w:rsidRPr="004D7796" w:rsidRDefault="004D7796" w:rsidP="004D7796">
      <w:pPr>
        <w:ind w:firstLine="720"/>
      </w:pPr>
      <w:r>
        <w:t>The compensation strategy will need to follow a procedure that restores service.  If the procedure is poorly defined or not implemented, then the Mean Time to Recovery (MTTR) can be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w:t>
      </w:r>
      <w:r>
        <w:lastRenderedPageBreak/>
        <w:t>integrity.  When this does not occur, then malicious actors could acquire secrets or tamper with historical records (e.g., repudiation) from the copy.</w:t>
      </w:r>
    </w:p>
    <w:p w14:paraId="36695A30" w14:textId="158856A3" w:rsidR="005737A3" w:rsidRDefault="005737A3" w:rsidP="005737A3">
      <w:pPr>
        <w:pStyle w:val="Heading2"/>
      </w:pPr>
      <w:r>
        <w:t>Remote Site Fail-Over</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lastRenderedPageBreak/>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BC9B1" w14:textId="77777777" w:rsidR="00CB5DC2" w:rsidRDefault="00CB5DC2" w:rsidP="0082223F">
      <w:pPr>
        <w:spacing w:line="240" w:lineRule="auto"/>
      </w:pPr>
      <w:r>
        <w:separator/>
      </w:r>
    </w:p>
  </w:endnote>
  <w:endnote w:type="continuationSeparator" w:id="0">
    <w:p w14:paraId="7A9D6F65" w14:textId="77777777" w:rsidR="00CB5DC2" w:rsidRDefault="00CB5DC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782F2" w14:textId="77777777" w:rsidR="00CB5DC2" w:rsidRDefault="00CB5DC2" w:rsidP="0082223F">
      <w:pPr>
        <w:spacing w:line="240" w:lineRule="auto"/>
      </w:pPr>
      <w:r>
        <w:separator/>
      </w:r>
    </w:p>
  </w:footnote>
  <w:footnote w:type="continuationSeparator" w:id="0">
    <w:p w14:paraId="5069620A" w14:textId="77777777" w:rsidR="00CB5DC2" w:rsidRDefault="00CB5DC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83597"/>
    <w:rsid w:val="002806B7"/>
    <w:rsid w:val="003A6800"/>
    <w:rsid w:val="003F4714"/>
    <w:rsid w:val="003F7ED5"/>
    <w:rsid w:val="00401D65"/>
    <w:rsid w:val="00404259"/>
    <w:rsid w:val="004223E8"/>
    <w:rsid w:val="0046305D"/>
    <w:rsid w:val="004A784B"/>
    <w:rsid w:val="004D7796"/>
    <w:rsid w:val="005737A3"/>
    <w:rsid w:val="00580A42"/>
    <w:rsid w:val="005B7079"/>
    <w:rsid w:val="006D793E"/>
    <w:rsid w:val="0073677D"/>
    <w:rsid w:val="007369EF"/>
    <w:rsid w:val="007637BD"/>
    <w:rsid w:val="0082223F"/>
    <w:rsid w:val="008310E7"/>
    <w:rsid w:val="00852E5B"/>
    <w:rsid w:val="00864B1A"/>
    <w:rsid w:val="00872812"/>
    <w:rsid w:val="00877007"/>
    <w:rsid w:val="0089697D"/>
    <w:rsid w:val="008B5129"/>
    <w:rsid w:val="008D5C2F"/>
    <w:rsid w:val="009073E6"/>
    <w:rsid w:val="00917092"/>
    <w:rsid w:val="009277F4"/>
    <w:rsid w:val="00933FFF"/>
    <w:rsid w:val="009A757D"/>
    <w:rsid w:val="009D3174"/>
    <w:rsid w:val="00A12A02"/>
    <w:rsid w:val="00A1503A"/>
    <w:rsid w:val="00A237FB"/>
    <w:rsid w:val="00A358F7"/>
    <w:rsid w:val="00A51C39"/>
    <w:rsid w:val="00A8113B"/>
    <w:rsid w:val="00A86D02"/>
    <w:rsid w:val="00AB4483"/>
    <w:rsid w:val="00B13ADF"/>
    <w:rsid w:val="00B306E3"/>
    <w:rsid w:val="00B93991"/>
    <w:rsid w:val="00BF4EA2"/>
    <w:rsid w:val="00C54DC8"/>
    <w:rsid w:val="00C73692"/>
    <w:rsid w:val="00C93BB7"/>
    <w:rsid w:val="00CB25E9"/>
    <w:rsid w:val="00CB5DC2"/>
    <w:rsid w:val="00D75C7B"/>
    <w:rsid w:val="00D80C70"/>
    <w:rsid w:val="00D85C7B"/>
    <w:rsid w:val="00D86416"/>
    <w:rsid w:val="00DA493D"/>
    <w:rsid w:val="00DE2224"/>
    <w:rsid w:val="00DF6F13"/>
    <w:rsid w:val="00E234E9"/>
    <w:rsid w:val="00E260F4"/>
    <w:rsid w:val="00E739C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38</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40</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41</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32</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33</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34</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24</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25</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27</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28</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30</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31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42</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43</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44</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45</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46</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47</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s>
</file>

<file path=customXml/itemProps1.xml><?xml version="1.0" encoding="utf-8"?>
<ds:datastoreItem xmlns:ds="http://schemas.openxmlformats.org/officeDocument/2006/customXml" ds:itemID="{C8C5D8F1-E95E-4251-B4B3-C72E450C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19</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2020-07-26T16:54:00Z</dcterms:modified>
</cp:coreProperties>
</file>