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D6E7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37F6022" w:rsidR="0082223F" w:rsidRDefault="0082223F" w:rsidP="0082223F">
      <w:pPr>
        <w:pStyle w:val="Title"/>
      </w:pPr>
      <w:r>
        <w:t xml:space="preserve">Section </w:t>
      </w:r>
      <w:r w:rsidR="00967BE7">
        <w:t>3</w:t>
      </w:r>
      <w:r>
        <w:t xml:space="preserve">: Week </w:t>
      </w:r>
      <w:r w:rsidR="00967BE7">
        <w:t>8</w:t>
      </w:r>
      <w:r>
        <w:t xml:space="preserve">: </w:t>
      </w:r>
      <w:r w:rsidR="00967BE7">
        <w:t>Additional Content and Quotes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453A590D" w:rsidR="00CB25E9" w:rsidRDefault="00B13ADF" w:rsidP="0082223F">
      <w:pPr>
        <w:jc w:val="center"/>
      </w:pPr>
      <w:r>
        <w:t>June</w:t>
      </w:r>
      <w:r w:rsidR="006D793E">
        <w:t xml:space="preserve"> </w:t>
      </w:r>
      <w:r>
        <w:t>7</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21D7589" w:rsidR="0082223F" w:rsidRDefault="00967BE7" w:rsidP="005B7079">
      <w:pPr>
        <w:pStyle w:val="Heading1"/>
      </w:pPr>
      <w:r>
        <w:lastRenderedPageBreak/>
        <w:t>Additional Content and Quotes</w:t>
      </w:r>
    </w:p>
    <w:p w14:paraId="4D742FD0" w14:textId="77777777" w:rsidR="00967BE7" w:rsidRDefault="00967BE7" w:rsidP="00967BE7">
      <w:pPr>
        <w:pStyle w:val="Heading1"/>
      </w:pPr>
      <w:r>
        <w:t>Section II: Objectives of Risk Management Plan</w:t>
      </w:r>
    </w:p>
    <w:p w14:paraId="40477C58" w14:textId="77777777" w:rsidR="00967BE7" w:rsidRDefault="00967BE7" w:rsidP="00967BE7">
      <w:pPr>
        <w:pStyle w:val="Heading2"/>
      </w:pPr>
      <w:r>
        <w:t>Risk Statement</w:t>
      </w:r>
    </w:p>
    <w:p w14:paraId="117A1177" w14:textId="77777777" w:rsidR="00967BE7" w:rsidRDefault="00967BE7" w:rsidP="00967BE7">
      <w:r>
        <w:tab/>
        <w:t>When an organization begins with technological solutions, they are likely to devise incomplete protection strategies</w:t>
      </w:r>
      <w:sdt>
        <w:sdtPr>
          <w:id w:val="-931198561"/>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NCU-F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CITATION Bas18 \l 1033 </w:instrText>
          </w:r>
          <w:r>
            <w:fldChar w:fldCharType="separate"/>
          </w:r>
          <w:r>
            <w:rPr>
              <w:noProof/>
            </w:rPr>
            <w:t xml:space="preserve"> (Baskerville, Rowe, &amp; Wolff, 2018)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12FCBF60" w14:textId="77777777" w:rsidR="00967BE7" w:rsidRDefault="00967BE7" w:rsidP="00967BE7">
      <w:pPr>
        <w:pStyle w:val="Heading2"/>
      </w:pPr>
      <w:r>
        <w:t>People</w:t>
      </w:r>
    </w:p>
    <w:p w14:paraId="054681BF" w14:textId="77777777" w:rsidR="00967BE7" w:rsidRDefault="00967BE7" w:rsidP="00967BE7">
      <w:pPr>
        <w:ind w:firstLine="720"/>
      </w:pPr>
      <w:r>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system commands.  Businesses that focus on security awareness training can reduce these statistics and create more reliable systems.  This awareness needs to touch on foreign policy expectations, like European customer data, cannot leave Europe.  However, even domestic policies differ, such as California and Delaware having stricter privacy laws than federal legislation.  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new markets.  That training can guide all levels of the organization to reach out to subject matter experts because they are aware of the inherent complexity. </w:t>
      </w:r>
    </w:p>
    <w:p w14:paraId="7CEC34E1" w14:textId="77777777" w:rsidR="00967BE7" w:rsidRDefault="00967BE7" w:rsidP="00967BE7">
      <w:pPr>
        <w:pStyle w:val="Heading2"/>
      </w:pPr>
      <w:r>
        <w:t>Privacy</w:t>
      </w:r>
    </w:p>
    <w:p w14:paraId="0CB59A4C" w14:textId="77777777" w:rsidR="00967BE7" w:rsidRPr="00D37CFD" w:rsidRDefault="00967BE7" w:rsidP="00967BE7">
      <w:pPr>
        <w:ind w:firstLine="720"/>
      </w:pPr>
      <w:r>
        <w:lastRenderedPageBreak/>
        <w:t>It can be helpful to think of customer identity as a user profile that contains collections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When our services understand the context of the user’s profile, the experience can be customized and produce more desirable experiences.  The payment for access to these inferences and decision processes comes from personal information, such as calendars, contacts, and routines</w:t>
      </w:r>
      <w:sdt>
        <w:sdtPr>
          <w:id w:val="-203086156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This trade creates privacy concerns that can be subtle and can go unnoticed for some time.  For instance, numerous platforms integrate into open identity provides like Google and Facebook as a mechanism to simplify enrollment.  However, is that the job the user intended to hire</w:t>
      </w:r>
      <w:sdt>
        <w:sdtPr>
          <w:id w:val="-902989080"/>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  Through an exchange of convenience, the 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providers (e.g., LinkedIn versus </w:t>
      </w:r>
      <w:proofErr w:type="spellStart"/>
      <w:r>
        <w:t>PornHub</w:t>
      </w:r>
      <w:proofErr w:type="spellEnd"/>
      <w:r>
        <w:t>).  Traditionally users have encountered these entanglements of context on their mobile devices, but these are not the only scenarios.  Asking personal assistants, such as Google Home, if they spy on us, results in recommendations to review the privacy policy</w:t>
      </w:r>
      <w:sdt>
        <w:sdtPr>
          <w:id w:val="-793837831"/>
          <w:citation/>
        </w:sdt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2DED0125" w14:textId="77777777" w:rsidR="00967BE7" w:rsidRDefault="00967BE7" w:rsidP="00967BE7">
      <w:pPr>
        <w:pStyle w:val="Heading2"/>
      </w:pPr>
      <w:r>
        <w:t>Processes</w:t>
      </w:r>
    </w:p>
    <w:p w14:paraId="7851B05F" w14:textId="77777777" w:rsidR="00967BE7" w:rsidRDefault="00967BE7" w:rsidP="00967BE7">
      <w:pPr>
        <w:ind w:firstLine="720"/>
      </w:pPr>
      <w:r>
        <w:t xml:space="preserve">Protecting against foreign and domestic 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Interception of those </w:t>
      </w:r>
      <w:r>
        <w:lastRenderedPageBreak/>
        <w:t xml:space="preserve">conversations by nation-states will occur—either across the wire or from an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70E814BC" w14:textId="77777777" w:rsidR="00967BE7" w:rsidRDefault="00967BE7" w:rsidP="00967BE7">
      <w:pPr>
        <w:pStyle w:val="Heading2"/>
      </w:pPr>
      <w:r>
        <w:t>Products</w:t>
      </w:r>
    </w:p>
    <w:p w14:paraId="1270639D" w14:textId="77777777" w:rsidR="00967BE7" w:rsidRPr="003C04D6" w:rsidRDefault="00967BE7" w:rsidP="00967BE7">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245232171"/>
          <w:citation/>
        </w:sdt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1794891750"/>
          <w:citation/>
        </w:sdtPr>
        <w:sdtContent>
          <w:r>
            <w:fldChar w:fldCharType="begin"/>
          </w:r>
          <w:r>
            <w:instrText xml:space="preserve"> CITATION Hun193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CAA467D" w14:textId="77777777" w:rsidR="00967BE7" w:rsidRDefault="00967BE7" w:rsidP="00967BE7">
      <w:pPr>
        <w:ind w:firstLine="720"/>
      </w:pPr>
      <w:bookmarkStart w:id="0" w:name="_Hlk45454515"/>
      <w:r>
        <w:t>There is an economic incentive for businesses to churn out new products and devices with more innovative, instead of investing in security protections for those features</w:t>
      </w:r>
      <w:sdt>
        <w:sdtPr>
          <w:id w:val="1385839729"/>
          <w:citation/>
        </w:sdtPr>
        <w:sdtContent>
          <w:r>
            <w:fldChar w:fldCharType="begin"/>
          </w:r>
          <w:r>
            <w:instrText xml:space="preserve">CITATION LiZ18 \l 1033 </w:instrText>
          </w:r>
          <w:r>
            <w:fldChar w:fldCharType="separate"/>
          </w:r>
          <w:r>
            <w:rPr>
              <w:noProof/>
            </w:rPr>
            <w:t xml:space="preserve"> (Li &amp; Liao, 2018)</w:t>
          </w:r>
          <w:r>
            <w:fldChar w:fldCharType="end"/>
          </w:r>
        </w:sdtContent>
      </w:sdt>
      <w:bookmarkEnd w:id="0"/>
      <w:r>
        <w:t xml:space="preserve">.  For many retail markets, the customer makes purchasing decisions predominantly on which product has the most features at the lowest price.  Meanwhile, devices such as 8-bit micro-controllers, lack the computing resources necessary to support authentication, authorization, </w:t>
      </w:r>
      <w:r>
        <w:lastRenderedPageBreak/>
        <w:t>auditing, and transport encryption</w:t>
      </w:r>
      <w:sdt>
        <w:sdtPr>
          <w:id w:val="1940564546"/>
          <w:citation/>
        </w:sdt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product does not work.  If the customer believes that the offering is faulty, they leave bad reviews online, contact support, and request replacements—all of which cost the business money.</w:t>
      </w:r>
    </w:p>
    <w:p w14:paraId="09CF1113" w14:textId="77777777" w:rsidR="004B41C9" w:rsidRDefault="004B41C9" w:rsidP="004B41C9">
      <w:pPr>
        <w:pStyle w:val="Heading1"/>
      </w:pPr>
      <w:r>
        <w:t>Section III: Business Impact Analysis</w:t>
      </w:r>
    </w:p>
    <w:p w14:paraId="67CEAB70" w14:textId="77777777" w:rsidR="004B41C9" w:rsidRDefault="004B41C9" w:rsidP="004B41C9">
      <w:pPr>
        <w:ind w:firstLine="720"/>
      </w:pPr>
      <w:r>
        <w:t>When choosing a risk management strategy, the organization needs to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If the impact is critical, then the business will need to either transfer that risk or avoid the scenario entirely.  For instance, foreign markets lack intellectual privacy protections, and this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In other scenarios, avoiding a hostile market or business activity is not possible, making hedging with insurance a more appropriate response.  For example, it might be prohibitively expensive to have redundant manufacturing plants, while unlikely, if the building burnt down, then the organization would go out of business.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  For most other scenarios, the business needs to rely on controls that detect and react to failures promptly</w:t>
      </w:r>
      <w:sdt>
        <w:sdtPr>
          <w:id w:val="-1189131434"/>
          <w:citation/>
        </w:sdtPr>
        <w:sdtContent>
          <w:r>
            <w:fldChar w:fldCharType="begin"/>
          </w:r>
          <w:r>
            <w:instrText xml:space="preserve"> CITATION Kos15 \l 1033 </w:instrText>
          </w:r>
          <w:r>
            <w:fldChar w:fldCharType="separate"/>
          </w:r>
          <w:r>
            <w:rPr>
              <w:noProof/>
            </w:rPr>
            <w:t xml:space="preserve"> (Kosub, 2015)</w:t>
          </w:r>
          <w:r>
            <w:fldChar w:fldCharType="end"/>
          </w:r>
        </w:sdtContent>
      </w:sdt>
      <w:r>
        <w:t>.  These might include technologies such as anti-virus and Intrusion Detection/Prevention Systems (IDS/IPS).</w:t>
      </w:r>
    </w:p>
    <w:p w14:paraId="7E93E7F6" w14:textId="77777777" w:rsidR="004B41C9" w:rsidRPr="00805894" w:rsidRDefault="004B41C9" w:rsidP="004B41C9">
      <w:r>
        <w:tab/>
        <w:t>Another strategy is to form tighter integrations between the system components as a mechanism to reduce the attack surface</w:t>
      </w:r>
      <w:sdt>
        <w:sdtPr>
          <w:id w:val="-1543128989"/>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xml:space="preserve">.  For instance, if the network topology requires a user to maintain five accounts with different password complexities, </w:t>
      </w:r>
      <w:r>
        <w:lastRenderedPageBreak/>
        <w:t>the security of those passwords will decrease to offset the lost convenience</w:t>
      </w:r>
      <w:sdt>
        <w:sdtPr>
          <w:id w:val="-754522982"/>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Instead, exposing Single Sign-On (SSO) capabilities improve the user experience and encourages more desirable credential management.  Another technical gain comes from the removal of redundant components, each with the potential to contain incorrect application code or configuration settings.  Removing redundancies also aids in more consistency through centralized policy management and enforcement.</w:t>
      </w:r>
    </w:p>
    <w:p w14:paraId="7A77FEC1" w14:textId="77777777" w:rsidR="00670AF7" w:rsidRDefault="00670AF7" w:rsidP="00670AF7">
      <w:pPr>
        <w:pStyle w:val="Heading1"/>
      </w:pPr>
      <w:r>
        <w:t>Section VIII: Incident Response Process</w:t>
      </w:r>
    </w:p>
    <w:p w14:paraId="687539E2" w14:textId="77777777" w:rsidR="00670AF7" w:rsidRDefault="00670AF7" w:rsidP="00670AF7">
      <w:pPr>
        <w:ind w:firstLine="720"/>
      </w:pPr>
      <w:r>
        <w:t xml:space="preserve">After a security incident transpires, the administrative team must devise a response plan to contain the incursion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743A7208" w14:textId="77777777" w:rsidR="00670AF7" w:rsidRDefault="00670AF7" w:rsidP="00670AF7">
      <w:pPr>
        <w:pStyle w:val="Heading2"/>
      </w:pPr>
      <w:r>
        <w:t>Corporate Network</w:t>
      </w:r>
    </w:p>
    <w:p w14:paraId="0135A26F" w14:textId="77777777" w:rsidR="00670AF7" w:rsidRDefault="00670AF7" w:rsidP="00670AF7">
      <w:pPr>
        <w:ind w:firstLine="720"/>
      </w:pPr>
      <w:bookmarkStart w:id="1" w:name="_Hlk46669289"/>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For instance, ransomware has </w:t>
      </w:r>
      <w:proofErr w:type="gramStart"/>
      <w:r>
        <w:t>corrupt</w:t>
      </w:r>
      <w:proofErr w:type="gramEnd"/>
      <w:r>
        <w:t xml:space="preserve"> the mission-critical database and payroll department.  Without access to that database, NCU-F cannot continue any operations.  Meanwhile, the accounting department can temporarily resort to more mechanical processes or offload to </w:t>
      </w:r>
      <w:proofErr w:type="gramStart"/>
      <w:r>
        <w:t>third-parties</w:t>
      </w:r>
      <w:proofErr w:type="gramEnd"/>
      <w:r>
        <w:t>.  After identifying the most critical systems, planning needs to stop the bleeding before drilling into a longer-term solution.  For example, deploying the most recent backup of the database, updating software patches, and installing new malware definitions might be an acceptable first step.  However, later cleanup will need to revisit configurations and additional access controls.</w:t>
      </w:r>
    </w:p>
    <w:bookmarkEnd w:id="1"/>
    <w:p w14:paraId="01A523D1" w14:textId="77777777" w:rsidR="00670AF7" w:rsidRDefault="00670AF7" w:rsidP="00670AF7">
      <w:pPr>
        <w:pStyle w:val="Heading2"/>
      </w:pPr>
      <w:r>
        <w:t>Branch Offices</w:t>
      </w:r>
    </w:p>
    <w:p w14:paraId="375BB1D7" w14:textId="77777777" w:rsidR="00670AF7" w:rsidRDefault="00670AF7" w:rsidP="00670AF7">
      <w:pPr>
        <w:ind w:firstLine="720"/>
      </w:pPr>
      <w:r>
        <w:lastRenderedPageBreak/>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reliable zero-day vulnerabilities being worth tens of thousands of dollars on the dark web, 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53C24AD3" w14:textId="77777777" w:rsidR="00670AF7" w:rsidRDefault="00670AF7" w:rsidP="00670AF7">
      <w:pPr>
        <w:pStyle w:val="Heading2"/>
      </w:pPr>
      <w:r>
        <w:t>Cloud Technologies</w:t>
      </w:r>
    </w:p>
    <w:p w14:paraId="5FBD5758" w14:textId="77777777" w:rsidR="00670AF7" w:rsidRDefault="00670AF7" w:rsidP="00670AF7">
      <w:r>
        <w:tab/>
        <w:t xml:space="preserve">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the intranet’s edge.  The company should also consider the inclusion of anti-malware technologies at various strategic points in the topology.  For example, incoming files for the public web application need to stage the content for static and dynamic analysis through tools like </w:t>
      </w:r>
      <w:proofErr w:type="spellStart"/>
      <w:r>
        <w:t>ClamAV</w:t>
      </w:r>
      <w:proofErr w:type="spellEnd"/>
      <w:r>
        <w:t xml:space="preserve"> and Cuckoo</w:t>
      </w:r>
      <w:sdt>
        <w:sdtPr>
          <w:id w:val="319467881"/>
          <w:citation/>
        </w:sdtPr>
        <w:sdtContent>
          <w:r>
            <w:fldChar w:fldCharType="begin"/>
          </w:r>
          <w:r>
            <w:instrText xml:space="preserve"> CITATION Kil171 \l 1033 </w:instrText>
          </w:r>
          <w:r>
            <w:fldChar w:fldCharType="separate"/>
          </w:r>
          <w:r>
            <w:rPr>
              <w:noProof/>
            </w:rPr>
            <w:t xml:space="preserve"> (Kilgallon, De La Rosa, &amp; Cavazos, 2017)</w:t>
          </w:r>
          <w:r>
            <w:fldChar w:fldCharType="end"/>
          </w:r>
        </w:sdtContent>
      </w:sdt>
      <w:r>
        <w:t>.</w:t>
      </w:r>
    </w:p>
    <w:p w14:paraId="7DCCAAE0" w14:textId="77777777" w:rsidR="00670AF7" w:rsidRDefault="00670AF7" w:rsidP="00670AF7">
      <w:pPr>
        <w:pStyle w:val="Heading2"/>
      </w:pPr>
      <w:r>
        <w:t>People</w:t>
      </w:r>
    </w:p>
    <w:p w14:paraId="2FC44066" w14:textId="77777777" w:rsidR="00670AF7" w:rsidRDefault="00670AF7" w:rsidP="00670AF7">
      <w:r>
        <w:tab/>
        <w:t xml:space="preserve">One of the byproducts of modern networks having abstract borders is that the rampant malware does not stop at devices owned exclusively by NCU-F.  Instead, it continues onto </w:t>
      </w:r>
      <w:r>
        <w:lastRenderedPageBreak/>
        <w:t>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At a minimum, the organization has an ethical obligation to guide team members and provide anti-virus licenses.  Depending on the specifics, the company could also be liable for any damages to employee property.</w:t>
      </w:r>
    </w:p>
    <w:p w14:paraId="16E7479F" w14:textId="77777777" w:rsidR="00670AF7" w:rsidRDefault="00670AF7" w:rsidP="00670AF7">
      <w:pPr>
        <w:pStyle w:val="Heading2"/>
      </w:pPr>
      <w:r>
        <w:t>Coming Back Stronger</w:t>
      </w:r>
    </w:p>
    <w:p w14:paraId="41B36BF0" w14:textId="77777777" w:rsidR="00670AF7" w:rsidRPr="00EB16FC" w:rsidRDefault="00670AF7" w:rsidP="00670AF7">
      <w:pPr>
        <w:ind w:firstLine="720"/>
      </w:pPr>
      <w:bookmarkStart w:id="2" w:name="_Hlk46669347"/>
      <w:r>
        <w:t>After addressing the initial crisis, the business must come up with alerting and monitoring enhancements to become more proactive against future attacks.  One reason that this attack will 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bookmarkEnd w:id="2"/>
    <w:p w14:paraId="2F32E7C8" w14:textId="77777777" w:rsidR="00967BE7" w:rsidRPr="00967BE7" w:rsidRDefault="00967BE7" w:rsidP="00967BE7"/>
    <w:sectPr w:rsidR="00967BE7" w:rsidRPr="00967BE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B3BB0" w14:textId="77777777" w:rsidR="008D6E7E" w:rsidRDefault="008D6E7E" w:rsidP="0082223F">
      <w:pPr>
        <w:spacing w:line="240" w:lineRule="auto"/>
      </w:pPr>
      <w:r>
        <w:separator/>
      </w:r>
    </w:p>
  </w:endnote>
  <w:endnote w:type="continuationSeparator" w:id="0">
    <w:p w14:paraId="3AE0CD13" w14:textId="77777777" w:rsidR="008D6E7E" w:rsidRDefault="008D6E7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273AB" w14:textId="77777777" w:rsidR="008D6E7E" w:rsidRDefault="008D6E7E" w:rsidP="0082223F">
      <w:pPr>
        <w:spacing w:line="240" w:lineRule="auto"/>
      </w:pPr>
      <w:r>
        <w:separator/>
      </w:r>
    </w:p>
  </w:footnote>
  <w:footnote w:type="continuationSeparator" w:id="0">
    <w:p w14:paraId="415990AA" w14:textId="77777777" w:rsidR="008D6E7E" w:rsidRDefault="008D6E7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83597"/>
    <w:rsid w:val="002806B7"/>
    <w:rsid w:val="003F4714"/>
    <w:rsid w:val="00401D65"/>
    <w:rsid w:val="004223E8"/>
    <w:rsid w:val="004A784B"/>
    <w:rsid w:val="004B41C9"/>
    <w:rsid w:val="005B7079"/>
    <w:rsid w:val="00670AF7"/>
    <w:rsid w:val="006D793E"/>
    <w:rsid w:val="0073677D"/>
    <w:rsid w:val="0082223F"/>
    <w:rsid w:val="00877007"/>
    <w:rsid w:val="008B5129"/>
    <w:rsid w:val="008D6E7E"/>
    <w:rsid w:val="00967BE7"/>
    <w:rsid w:val="009A757D"/>
    <w:rsid w:val="00B13ADF"/>
    <w:rsid w:val="00C54DC8"/>
    <w:rsid w:val="00C73692"/>
    <w:rsid w:val="00C93BB7"/>
    <w:rsid w:val="00CB25E9"/>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11</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12</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13</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14</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15</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16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18</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19</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6</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20</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13</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25</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26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23</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27</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28</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29</b:RefOrder>
  </b:Source>
</b:Sources>
</file>

<file path=customXml/itemProps1.xml><?xml version="1.0" encoding="utf-8"?>
<ds:datastoreItem xmlns:ds="http://schemas.openxmlformats.org/officeDocument/2006/customXml" ds:itemID="{0E6C516B-C582-47CF-BF73-547B566D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8</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2020-07-26T22:17:00Z</dcterms:modified>
</cp:coreProperties>
</file>