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2247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7279352E"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sidR="00320927">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sidR="00320927">
            <w:rPr>
              <w:noProof/>
            </w:rPr>
            <w:t xml:space="preserve"> (Indeed, 2020)</w:t>
          </w:r>
          <w:r>
            <w:fldChar w:fldCharType="end"/>
          </w:r>
        </w:sdtContent>
      </w:sdt>
      <w:r>
        <w:t xml:space="preserve">.  </w:t>
      </w:r>
      <w:r>
        <w:t>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On the one hand, an argument exists that defunding the police will force </w:t>
      </w:r>
      <w:r w:rsidR="004D18E0">
        <w:t xml:space="preserve">systematic </w:t>
      </w:r>
      <w:r>
        <w:t>change</w:t>
      </w:r>
      <w:sdt>
        <w:sdtPr>
          <w:id w:val="-2108963465"/>
          <w:citation/>
        </w:sdt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p>
    <w:p w14:paraId="59A6199C" w14:textId="30AC54CF" w:rsidR="00377DB9" w:rsidRDefault="00377DB9" w:rsidP="00377DB9">
      <w:pPr>
        <w:pStyle w:val="Heading2"/>
      </w:pPr>
      <w:r>
        <w:t>Rejected Alternatives</w:t>
      </w:r>
    </w:p>
    <w:p w14:paraId="5AEA9A85" w14:textId="73C49708" w:rsidR="00524A75" w:rsidRPr="00377DB9" w:rsidRDefault="00377DB9" w:rsidP="00524A75">
      <w:r>
        <w:tab/>
        <w:t>NCU-C has a reputation for tackling hard problems that are front and center to the American population.  Two other areas of consideration include the COVID-19 pandemic and 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country for another </w:t>
      </w:r>
      <w:r w:rsidR="00524A75">
        <w:lastRenderedPageBreak/>
        <w:t xml:space="preserve">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54DFCB08"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w:t>
      </w:r>
      <w:r>
        <w:t xml:space="preserve">make assertions about </w:t>
      </w:r>
      <w:r w:rsidR="004D18E0">
        <w:t>the</w:t>
      </w:r>
      <w:r>
        <w:t xml:space="preserve"> scenario.  </w:t>
      </w:r>
      <w:r>
        <w:t xml:space="preserve">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w:t>
      </w:r>
      <w:r>
        <w:t>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729EB0C9"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w:t>
      </w:r>
      <w:proofErr w:type="gramStart"/>
      <w:r w:rsidR="001004A3">
        <w:t>null-hypothesis</w:t>
      </w:r>
      <w:proofErr w:type="gramEnd"/>
      <w:r w:rsidR="001004A3">
        <w:t xml:space="preserve">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id w:val="-778874250"/>
        <w:docPartObj>
          <w:docPartGallery w:val="Bibliographies"/>
          <w:docPartUnique/>
        </w:docPartObj>
      </w:sdtPr>
      <w:sdtEndPr>
        <w:rPr>
          <w:b w:val="0"/>
        </w:r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77777777" w:rsidR="00320927" w:rsidRDefault="00320927" w:rsidP="00320927">
              <w:pPr>
                <w:pStyle w:val="Bibliography"/>
                <w:ind w:left="720" w:hanging="720"/>
                <w:rPr>
                  <w:noProof/>
                </w:rPr>
              </w:pPr>
              <w:r>
                <w:rPr>
                  <w:noProof/>
                </w:rPr>
                <w:t xml:space="preserve">Indeed. (2020, July 10). </w:t>
              </w:r>
              <w:r>
                <w:rPr>
                  <w:i/>
                  <w:iCs/>
                  <w:noProof/>
                </w:rPr>
                <w:t>SMART goals: definitions and example</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77777777"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it's not.</w:t>
              </w:r>
              <w:r>
                <w:rPr>
                  <w:noProof/>
                </w:rPr>
                <w:t xml:space="preserve"> Retrieved from Politico: https://www.politico.com/news/2020/07/16/trump-special-counsel-black-lives-matter-366177</w:t>
              </w:r>
            </w:p>
            <w:p w14:paraId="0E733C55" w14:textId="77777777" w:rsidR="00320927" w:rsidRDefault="00320927" w:rsidP="00320927">
              <w:pPr>
                <w:pStyle w:val="Bibliography"/>
                <w:ind w:left="720" w:hanging="720"/>
                <w:rPr>
                  <w:noProof/>
                </w:rPr>
              </w:pPr>
              <w:r>
                <w:rPr>
                  <w:noProof/>
                </w:rPr>
                <w:t xml:space="preserve">Pierce, A. (2019, October 25). Whose lives matter? The black lives matter movement and the contested legacy of philosphical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016FF" w14:textId="77777777" w:rsidR="00C22476" w:rsidRDefault="00C22476" w:rsidP="0082223F">
      <w:pPr>
        <w:spacing w:line="240" w:lineRule="auto"/>
      </w:pPr>
      <w:r>
        <w:separator/>
      </w:r>
    </w:p>
  </w:endnote>
  <w:endnote w:type="continuationSeparator" w:id="0">
    <w:p w14:paraId="041294A3" w14:textId="77777777" w:rsidR="00C22476" w:rsidRDefault="00C2247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8EAC" w14:textId="77777777" w:rsidR="00C22476" w:rsidRDefault="00C22476" w:rsidP="0082223F">
      <w:pPr>
        <w:spacing w:line="240" w:lineRule="auto"/>
      </w:pPr>
      <w:r>
        <w:separator/>
      </w:r>
    </w:p>
  </w:footnote>
  <w:footnote w:type="continuationSeparator" w:id="0">
    <w:p w14:paraId="5F64263B" w14:textId="77777777" w:rsidR="00C22476" w:rsidRDefault="00C2247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004A3"/>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A784B"/>
    <w:rsid w:val="004D18E0"/>
    <w:rsid w:val="00507919"/>
    <w:rsid w:val="00524A75"/>
    <w:rsid w:val="005715B2"/>
    <w:rsid w:val="005B7079"/>
    <w:rsid w:val="005B74FE"/>
    <w:rsid w:val="00642512"/>
    <w:rsid w:val="006D793E"/>
    <w:rsid w:val="0073677D"/>
    <w:rsid w:val="007C7F7A"/>
    <w:rsid w:val="0082223F"/>
    <w:rsid w:val="00877007"/>
    <w:rsid w:val="008B5129"/>
    <w:rsid w:val="009003E6"/>
    <w:rsid w:val="00974109"/>
    <w:rsid w:val="00987846"/>
    <w:rsid w:val="009A757D"/>
    <w:rsid w:val="009D6E37"/>
    <w:rsid w:val="00A72CFB"/>
    <w:rsid w:val="00AF0038"/>
    <w:rsid w:val="00B13ADF"/>
    <w:rsid w:val="00C22476"/>
    <w:rsid w:val="00C348AF"/>
    <w:rsid w:val="00C54DC8"/>
    <w:rsid w:val="00C73692"/>
    <w:rsid w:val="00C93BB7"/>
    <w:rsid w:val="00CB25E9"/>
    <w:rsid w:val="00D0165E"/>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2020-08-02T23:19:00Z</dcterms:modified>
</cp:coreProperties>
</file>