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91BB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2606DB80" w14:textId="641D117A"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 improving access to clean water, and providing medical resources to underserved nations.  After receiving a sizable donation, the institution can hire a dedicated staff and 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1A4F0D52" w:rsidR="00A72CFB" w:rsidRPr="00A72CFB" w:rsidRDefault="00A72CFB" w:rsidP="00A72CFB">
      <w:pPr>
        <w:ind w:firstLine="72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w:t>
      </w:r>
      <w:r>
        <w:t xml:space="preserve">  NCU-C addresses these concerns with acceptance criteria that new efforts must adhere too.  For instance, the effort needs to be </w:t>
      </w:r>
      <w:r>
        <w:t>(SMART) Specific, Measurable, Attainable, Relevant, and Time-based</w:t>
      </w:r>
      <w:sdt>
        <w:sdtPr>
          <w:id w:val="1265189710"/>
          <w:citation/>
        </w:sdtPr>
        <w:sdtContent>
          <w:r>
            <w:fldChar w:fldCharType="begin"/>
          </w:r>
          <w:r>
            <w:instrText xml:space="preserve"> CITATION Ind20 \l 1033 </w:instrText>
          </w:r>
          <w:r>
            <w:fldChar w:fldCharType="separate"/>
          </w:r>
          <w:r>
            <w:rPr>
              <w:noProof/>
            </w:rPr>
            <w:t xml:space="preserve"> (Indeed, 2020)</w:t>
          </w:r>
          <w:r>
            <w:fldChar w:fldCharType="end"/>
          </w:r>
        </w:sdtContent>
      </w:sdt>
      <w:r>
        <w:t xml:space="preserve">.  </w:t>
      </w:r>
      <w:r>
        <w:t xml:space="preserve">When the goals are unrealistic or prohibitively expensive, then it leads to waste.  Completing a social-economic development requires years of involvement, and this necessitates the ability to measure progress along the way.  </w:t>
      </w:r>
    </w:p>
    <w:p w14:paraId="3F258C0A" w14:textId="67FAED5F" w:rsidR="00447BE1" w:rsidRDefault="00A72CFB" w:rsidP="00A72CFB">
      <w:pPr>
        <w:pStyle w:val="Heading1"/>
      </w:pPr>
      <w:r>
        <w:t>Section I: Problem Statement</w:t>
      </w:r>
    </w:p>
    <w:p w14:paraId="20713C3E" w14:textId="658827C2" w:rsidR="00A72CFB" w:rsidRPr="00A72CFB" w:rsidRDefault="00A72CFB" w:rsidP="00A72CFB">
      <w:pPr>
        <w:pStyle w:val="Heading2"/>
      </w:pPr>
      <w:r>
        <w:t>Background</w:t>
      </w:r>
    </w:p>
    <w:p w14:paraId="6624D194" w14:textId="336A18D1" w:rsidR="009D6E37" w:rsidRDefault="00447BE1" w:rsidP="009D6E37">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  On the one </w:t>
      </w:r>
      <w:r>
        <w:lastRenderedPageBreak/>
        <w:t>hand, an argument exists that defunding the police will force change</w:t>
      </w:r>
      <w:sdt>
        <w:sdtPr>
          <w:id w:val="-2108963465"/>
          <w:citation/>
        </w:sdtPr>
        <w:sdtContent>
          <w:r>
            <w:fldChar w:fldCharType="begin"/>
          </w:r>
          <w:r>
            <w:instrText xml:space="preserve"> 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The 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Pr>
              <w:noProof/>
            </w:rPr>
            <w:t xml:space="preserve"> (Smith, 2020)</w:t>
          </w:r>
          <w:r>
            <w:fldChar w:fldCharType="end"/>
          </w:r>
        </w:sdtContent>
      </w:sdt>
      <w:r>
        <w:t xml:space="preserve">.  </w:t>
      </w:r>
      <w:r w:rsidR="00D65214">
        <w:t xml:space="preserve">Working to restore public confidence and fill this gap represents a unique opportunity for </w:t>
      </w:r>
      <w:r>
        <w:t>NCU-C</w:t>
      </w:r>
      <w:r w:rsidR="00D65214">
        <w:t>.</w:t>
      </w:r>
    </w:p>
    <w:p w14:paraId="0846CD84" w14:textId="0E945ECA" w:rsidR="00A72CFB" w:rsidRDefault="00F32073" w:rsidP="00A72CFB">
      <w:pPr>
        <w:pStyle w:val="Heading2"/>
      </w:pPr>
      <w:r>
        <w:t>Research Questions</w:t>
      </w:r>
    </w:p>
    <w:p w14:paraId="75C65AB9" w14:textId="1C5F440D"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Content>
          <w:r w:rsidR="005715B2">
            <w:fldChar w:fldCharType="begin"/>
          </w:r>
          <w:r w:rsidR="005715B2">
            <w:instrText xml:space="preserve"> CITATION Pie19 \l 1033 </w:instrText>
          </w:r>
          <w:r w:rsidR="005715B2">
            <w:fldChar w:fldCharType="separate"/>
          </w:r>
          <w:r w:rsidR="005715B2">
            <w:rPr>
              <w:noProof/>
            </w:rPr>
            <w:t xml:space="preserve"> (Pierce,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Content>
          <w:r w:rsidR="005715B2">
            <w:fldChar w:fldCharType="begin"/>
          </w:r>
          <w:r w:rsidR="005715B2">
            <w:instrText xml:space="preserve"> CITATION Kil20 \l 1033 </w:instrText>
          </w:r>
          <w:r w:rsidR="005715B2">
            <w:fldChar w:fldCharType="separate"/>
          </w:r>
          <w:r w:rsidR="005715B2">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represent a path for measurable improvements in the short term.</w:t>
      </w:r>
    </w:p>
    <w:p w14:paraId="3C44D0E4" w14:textId="0E79ED93" w:rsidR="005715B2" w:rsidRPr="00F32073" w:rsidRDefault="005715B2" w:rsidP="005715B2">
      <w:pPr>
        <w:ind w:firstLine="720"/>
      </w:pPr>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improving the mortality rates.</w:t>
      </w:r>
    </w:p>
    <w:p w14:paraId="248C2EC9" w14:textId="0386FD68" w:rsidR="00D65214" w:rsidRDefault="00A72CFB" w:rsidP="00A72CFB">
      <w:pPr>
        <w:pStyle w:val="Heading1"/>
      </w:pPr>
      <w:r>
        <w:lastRenderedPageBreak/>
        <w:t>Section II: Measurements</w:t>
      </w:r>
    </w:p>
    <w:p w14:paraId="6CB43FE4" w14:textId="6B9715E7" w:rsidR="00A72CFB" w:rsidRDefault="005B74FE" w:rsidP="00A72CFB">
      <w:pPr>
        <w:pStyle w:val="Heading2"/>
      </w:pPr>
      <w:r>
        <w:t xml:space="preserve">Statistical </w:t>
      </w:r>
      <w:r w:rsidR="0039017C">
        <w:t>Applications</w:t>
      </w:r>
    </w:p>
    <w:p w14:paraId="1E72C203" w14:textId="705EA99D" w:rsidR="005B74FE" w:rsidRDefault="0039017C" w:rsidP="005B74FE">
      <w:r>
        <w:tab/>
        <w:t>The purpose of statistical applications is to create a model that describes the interactions of a system</w:t>
      </w:r>
      <w:sdt>
        <w:sdtPr>
          <w:id w:val="-1811542694"/>
          <w:citation/>
        </w:sdtPr>
        <w:sdtContent>
          <w:r>
            <w:fldChar w:fldCharType="begin"/>
          </w:r>
          <w:r>
            <w:instrText xml:space="preserve"> CITATION Den15 \l 1033 </w:instrText>
          </w:r>
          <w:r>
            <w:fldChar w:fldCharType="separate"/>
          </w:r>
          <w:r>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Content>
          <w:r>
            <w:fldChar w:fldCharType="begin"/>
          </w:r>
          <w:r>
            <w:instrText xml:space="preserve">CITATION Den15 \p 3 \l 1033 </w:instrText>
          </w:r>
          <w:r>
            <w:fldChar w:fldCharType="separate"/>
          </w:r>
          <w:r>
            <w:rPr>
              <w:noProof/>
            </w:rPr>
            <w:t xml:space="preserve"> (Denis, 2015, p. 3)</w:t>
          </w:r>
          <w:r>
            <w:fldChar w:fldCharType="end"/>
          </w:r>
        </w:sdtContent>
      </w:sdt>
      <w:r>
        <w:t>.”  The quote infers that it can be challenging to include all aspects of the environment, and these external factors can create a delta between expectations and reality.</w:t>
      </w:r>
    </w:p>
    <w:p w14:paraId="7A9DE857" w14:textId="77777777" w:rsidR="0039017C" w:rsidRPr="0039017C" w:rsidRDefault="0039017C" w:rsidP="005B74FE">
      <w:pPr>
        <w:rPr>
          <w:vertAlign w:val="superscript"/>
        </w:rPr>
      </w:pPr>
    </w:p>
    <w:sectPr w:rsidR="0039017C" w:rsidRPr="0039017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BE416" w14:textId="77777777" w:rsidR="00A91BB4" w:rsidRDefault="00A91BB4" w:rsidP="0082223F">
      <w:pPr>
        <w:spacing w:line="240" w:lineRule="auto"/>
      </w:pPr>
      <w:r>
        <w:separator/>
      </w:r>
    </w:p>
  </w:endnote>
  <w:endnote w:type="continuationSeparator" w:id="0">
    <w:p w14:paraId="241B6900" w14:textId="77777777" w:rsidR="00A91BB4" w:rsidRDefault="00A91BB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DAE5B" w14:textId="77777777" w:rsidR="00A91BB4" w:rsidRDefault="00A91BB4" w:rsidP="0082223F">
      <w:pPr>
        <w:spacing w:line="240" w:lineRule="auto"/>
      </w:pPr>
      <w:r>
        <w:separator/>
      </w:r>
    </w:p>
  </w:footnote>
  <w:footnote w:type="continuationSeparator" w:id="0">
    <w:p w14:paraId="5C45C7FA" w14:textId="77777777" w:rsidR="00A91BB4" w:rsidRDefault="00A91BB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806B7"/>
    <w:rsid w:val="0039017C"/>
    <w:rsid w:val="003F4714"/>
    <w:rsid w:val="00401D65"/>
    <w:rsid w:val="004223E8"/>
    <w:rsid w:val="00447BE1"/>
    <w:rsid w:val="004A784B"/>
    <w:rsid w:val="00507919"/>
    <w:rsid w:val="005715B2"/>
    <w:rsid w:val="005B7079"/>
    <w:rsid w:val="005B74FE"/>
    <w:rsid w:val="006D793E"/>
    <w:rsid w:val="0073677D"/>
    <w:rsid w:val="007C7F7A"/>
    <w:rsid w:val="0082223F"/>
    <w:rsid w:val="00877007"/>
    <w:rsid w:val="008B5129"/>
    <w:rsid w:val="009003E6"/>
    <w:rsid w:val="009A757D"/>
    <w:rsid w:val="009D6E37"/>
    <w:rsid w:val="00A72CFB"/>
    <w:rsid w:val="00A91BB4"/>
    <w:rsid w:val="00AF0038"/>
    <w:rsid w:val="00B13ADF"/>
    <w:rsid w:val="00C348AF"/>
    <w:rsid w:val="00C54DC8"/>
    <w:rsid w:val="00C73692"/>
    <w:rsid w:val="00C93BB7"/>
    <w:rsid w:val="00CB25E9"/>
    <w:rsid w:val="00D0165E"/>
    <w:rsid w:val="00D65214"/>
    <w:rsid w:val="00D75C7B"/>
    <w:rsid w:val="00D85C7B"/>
    <w:rsid w:val="00DA47AB"/>
    <w:rsid w:val="00DE2224"/>
    <w:rsid w:val="00E234E9"/>
    <w:rsid w:val="00E446F1"/>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BLM20</b:Tag>
    <b:SourceType>InternetSite</b:SourceType>
    <b:Guid>{F74EA9DE-146A-4A21-A764-8530643CAFC5}</b:Guid>
    <b:Author>
      <b:Author>
        <b:Corporate>BLM</b:Corporate>
      </b:Author>
    </b:Author>
    <b:Title>#DefundThePolice</b:Title>
    <b:InternetSiteTitle>https://blacklivesmatter.com/defundthepolice/</b:InternetSiteTitle>
    <b:Year>2020</b:Year>
    <b:Month>May</b:Month>
    <b:Day>30</b:Day>
    <b:URL>https://blacklivesmatter.com/defundthepolice/</b:URL>
    <b:RefOrder>4</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5</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6</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7</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8</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9</b:RefOrder>
  </b:Source>
</b:Sources>
</file>

<file path=customXml/itemProps1.xml><?xml version="1.0" encoding="utf-8"?>
<ds:datastoreItem xmlns:ds="http://schemas.openxmlformats.org/officeDocument/2006/customXml" ds:itemID="{9F84824E-331D-4C5C-B8BF-62301346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2020-08-02T20:38:00Z</dcterms:modified>
</cp:coreProperties>
</file>