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30E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 xml:space="preserve">The first step to designing an experiment is to </w:t>
      </w:r>
      <w:proofErr w:type="gramStart"/>
      <w:r>
        <w:t>define clearly</w:t>
      </w:r>
      <w:proofErr w:type="gramEnd"/>
      <w:r>
        <w:t xml:space="preserve">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079FF1D7"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rsidR="00405CB8">
        <w:t>,</w:t>
      </w:r>
      <w:r>
        <w:t xml:space="preserve"> applies more pressure to </w:t>
      </w:r>
      <w:r>
        <w:lastRenderedPageBreak/>
        <w:t>the situation</w:t>
      </w:r>
      <w:sdt>
        <w:sdtPr>
          <w:id w:val="-1318176402"/>
          <w:citation/>
        </w:sdt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w:t>
      </w:r>
      <w:r w:rsidR="00FD6593">
        <w:t xml:space="preserve">  However, a null hypothesis could exist that concludes that there is no statistically significant difference between these variables.  That result might infer that law enforcement indiscriminately applies force to all parties.</w:t>
      </w:r>
    </w:p>
    <w:p w14:paraId="60B15E21" w14:textId="19F544EF" w:rsidR="00A365BA" w:rsidRDefault="00A365BA" w:rsidP="00377028">
      <w:pPr>
        <w:pStyle w:val="Heading1"/>
      </w:pPr>
      <w:r>
        <w:t>Section II: Methodology</w:t>
      </w:r>
    </w:p>
    <w:p w14:paraId="71624DF4" w14:textId="556AA906" w:rsidR="0038584C" w:rsidRDefault="0038584C" w:rsidP="0038584C">
      <w:r>
        <w:tab/>
        <w:t xml:space="preserve">There are multiple strategies for determining which variable has more effect on a situational outcome.  </w:t>
      </w:r>
      <w:r w:rsidR="007A0327">
        <w:t xml:space="preserve">News articles typically approach the problem by looking at the </w:t>
      </w:r>
      <w:r>
        <w:t>raw descriptive statistics, such as the ratio of victims that were experiencing a mental crisis.</w:t>
      </w:r>
      <w:r w:rsidR="007A0327">
        <w:t xml:space="preserve">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w:t>
      </w:r>
      <w:r w:rsidR="008A0AE4">
        <w:t xml:space="preserve">the inflicted </w:t>
      </w:r>
      <w:r w:rsidR="007A0327">
        <w:t xml:space="preserve">population.  </w:t>
      </w:r>
      <w:r>
        <w:t>An alternative solution could look at changes after significant interventions</w:t>
      </w:r>
      <w:sdt>
        <w:sdtPr>
          <w:id w:val="1485200347"/>
          <w:citation/>
        </w:sdtPr>
        <w:sdtContent>
          <w:r w:rsidR="007A0327">
            <w:fldChar w:fldCharType="begin"/>
          </w:r>
          <w:r w:rsidR="007A0327">
            <w:instrText xml:space="preserve"> CITATION DeC18 \l 1033 </w:instrText>
          </w:r>
          <w:r w:rsidR="007A0327">
            <w:fldChar w:fldCharType="separate"/>
          </w:r>
          <w:r w:rsidR="007A0327">
            <w:rPr>
              <w:noProof/>
            </w:rPr>
            <w:t xml:space="preserve"> (DeCarlo, 2018)</w:t>
          </w:r>
          <w:r w:rsidR="007A0327">
            <w:fldChar w:fldCharType="end"/>
          </w:r>
        </w:sdtContent>
      </w:sdt>
      <w:r>
        <w:t>.</w:t>
      </w:r>
      <w:r w:rsidR="007A0327">
        <w:t xml:space="preserve">  Starting in </w:t>
      </w:r>
      <w:r>
        <w:t xml:space="preserve">the late 1960s, health institutions </w:t>
      </w:r>
      <w:r w:rsidR="007A0327">
        <w:t xml:space="preserve">began </w:t>
      </w:r>
      <w:r>
        <w:t>releas</w:t>
      </w:r>
      <w:r w:rsidR="007A0327">
        <w:t>ing</w:t>
      </w:r>
      <w:r>
        <w:t xml:space="preserve"> </w:t>
      </w:r>
      <w:r w:rsidR="007A0327">
        <w:t xml:space="preserve">and </w:t>
      </w:r>
      <w:r>
        <w:t>turn</w:t>
      </w:r>
      <w:r w:rsidR="007A0327">
        <w:t>ing</w:t>
      </w:r>
      <w:r>
        <w:t xml:space="preserve"> away thousands of 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xml:space="preserve">.  The impact of these decisions has likely left an imprint in arrest </w:t>
      </w:r>
      <w:r w:rsidR="007A0327">
        <w:t xml:space="preserve">policies and </w:t>
      </w:r>
      <w:r>
        <w:t>statistics.</w:t>
      </w:r>
      <w:r w:rsidR="008A0AE4">
        <w:t xml:space="preserve">  If such an imprint does exist, then examining funding records on mental health and drug addiction facilities might surface a correlation.</w:t>
      </w:r>
    </w:p>
    <w:p w14:paraId="4F6E64E0" w14:textId="0F943A9C" w:rsidR="00D06C20" w:rsidRDefault="00D06C20" w:rsidP="0038584C">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lastRenderedPageBreak/>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4FA3FAF1" w14:textId="27EE9225" w:rsidR="00A365BA" w:rsidRDefault="00A365BA" w:rsidP="00377028">
      <w:pPr>
        <w:pStyle w:val="Heading1"/>
      </w:pPr>
      <w:r>
        <w:t>Section III: Threats to Validity</w:t>
      </w:r>
    </w:p>
    <w:p w14:paraId="06694BC5" w14:textId="6A747667" w:rsidR="001C53E1" w:rsidRPr="001C53E1" w:rsidRDefault="001C53E1" w:rsidP="001C53E1">
      <w:r>
        <w:tab/>
        <w:t>There are four major categories of threats to the accuracy of statistical conclusions that led to erroneous results that are not generalizable.</w:t>
      </w:r>
    </w:p>
    <w:p w14:paraId="4ED5B01B" w14:textId="76D1EC6C" w:rsidR="00A365BA" w:rsidRDefault="00A365BA" w:rsidP="00A365BA">
      <w:pPr>
        <w:pStyle w:val="Heading2"/>
      </w:pPr>
      <w:r>
        <w:t>Internal Threats</w:t>
      </w:r>
    </w:p>
    <w:p w14:paraId="0B553ADE" w14:textId="357C0D50" w:rsidR="003608CE" w:rsidRDefault="00A365BA" w:rsidP="00A365BA">
      <w:pPr>
        <w:pStyle w:val="Heading2"/>
      </w:pPr>
      <w:r>
        <w:t>External Threats</w:t>
      </w:r>
    </w:p>
    <w:p w14:paraId="53927AC1" w14:textId="3C08A1B5" w:rsidR="00A365BA" w:rsidRDefault="00A365BA" w:rsidP="00A365BA">
      <w:pPr>
        <w:pStyle w:val="Heading2"/>
      </w:pPr>
      <w:r>
        <w:t>Statistical Conclusion Threats</w:t>
      </w:r>
    </w:p>
    <w:p w14:paraId="32306DFA" w14:textId="6E0F2F01" w:rsidR="00A365BA" w:rsidRDefault="00A365BA" w:rsidP="00A365BA">
      <w:pPr>
        <w:pStyle w:val="Heading2"/>
      </w:pPr>
      <w:r>
        <w:t>Construction Threats</w:t>
      </w:r>
    </w:p>
    <w:p w14:paraId="578B1D64" w14:textId="22CF2546" w:rsidR="00A365BA" w:rsidRDefault="00A365BA" w:rsidP="00A365BA">
      <w:pPr>
        <w:pStyle w:val="Heading1"/>
      </w:pPr>
      <w:r>
        <w:t>Section IV: Data Requirements</w:t>
      </w:r>
    </w:p>
    <w:p w14:paraId="7FD5B130" w14:textId="478E833C" w:rsidR="00A365BA" w:rsidRDefault="00A365BA" w:rsidP="00A365BA">
      <w:pPr>
        <w:pStyle w:val="Heading2"/>
      </w:pPr>
      <w:r>
        <w:t>Collection Process</w:t>
      </w:r>
    </w:p>
    <w:p w14:paraId="414D7CA6" w14:textId="5580F9F2" w:rsidR="00A365BA" w:rsidRPr="00A365BA" w:rsidRDefault="00A365BA" w:rsidP="00A365BA">
      <w:pPr>
        <w:pStyle w:val="Heading2"/>
      </w:pPr>
      <w:r>
        <w:t>Data Analysis Procedures</w:t>
      </w:r>
    </w:p>
    <w:sectPr w:rsidR="00A365BA" w:rsidRPr="00A365B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1572E" w14:textId="77777777" w:rsidR="00430E07" w:rsidRDefault="00430E07" w:rsidP="0082223F">
      <w:pPr>
        <w:spacing w:line="240" w:lineRule="auto"/>
      </w:pPr>
      <w:r>
        <w:separator/>
      </w:r>
    </w:p>
  </w:endnote>
  <w:endnote w:type="continuationSeparator" w:id="0">
    <w:p w14:paraId="65F3341F" w14:textId="77777777" w:rsidR="00430E07" w:rsidRDefault="00430E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E847D" w14:textId="77777777" w:rsidR="00430E07" w:rsidRDefault="00430E07" w:rsidP="0082223F">
      <w:pPr>
        <w:spacing w:line="240" w:lineRule="auto"/>
      </w:pPr>
      <w:r>
        <w:separator/>
      </w:r>
    </w:p>
  </w:footnote>
  <w:footnote w:type="continuationSeparator" w:id="0">
    <w:p w14:paraId="317BA40A" w14:textId="77777777" w:rsidR="00430E07" w:rsidRDefault="00430E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B27C4"/>
    <w:rsid w:val="001C53E1"/>
    <w:rsid w:val="002806B7"/>
    <w:rsid w:val="002F789D"/>
    <w:rsid w:val="003608CE"/>
    <w:rsid w:val="00377028"/>
    <w:rsid w:val="0038584C"/>
    <w:rsid w:val="003F4714"/>
    <w:rsid w:val="00401D65"/>
    <w:rsid w:val="00405CB8"/>
    <w:rsid w:val="004223E8"/>
    <w:rsid w:val="00430E07"/>
    <w:rsid w:val="004A784B"/>
    <w:rsid w:val="005777EA"/>
    <w:rsid w:val="005B7079"/>
    <w:rsid w:val="006D793E"/>
    <w:rsid w:val="0073677D"/>
    <w:rsid w:val="007A0327"/>
    <w:rsid w:val="0082223F"/>
    <w:rsid w:val="00877007"/>
    <w:rsid w:val="008A0AE4"/>
    <w:rsid w:val="008B5129"/>
    <w:rsid w:val="009A757D"/>
    <w:rsid w:val="00A365BA"/>
    <w:rsid w:val="00B13ADF"/>
    <w:rsid w:val="00C54DC8"/>
    <w:rsid w:val="00C73692"/>
    <w:rsid w:val="00C93BB7"/>
    <w:rsid w:val="00CB25E9"/>
    <w:rsid w:val="00D0165E"/>
    <w:rsid w:val="00D06C20"/>
    <w:rsid w:val="00D75C7B"/>
    <w:rsid w:val="00D85C7B"/>
    <w:rsid w:val="00DE2224"/>
    <w:rsid w:val="00E234E9"/>
    <w:rsid w:val="00ED3713"/>
    <w:rsid w:val="00F4315A"/>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 w:id="961156603">
      <w:bodyDiv w:val="1"/>
      <w:marLeft w:val="0"/>
      <w:marRight w:val="0"/>
      <w:marTop w:val="0"/>
      <w:marBottom w:val="0"/>
      <w:divBdr>
        <w:top w:val="none" w:sz="0" w:space="0" w:color="auto"/>
        <w:left w:val="none" w:sz="0" w:space="0" w:color="auto"/>
        <w:bottom w:val="none" w:sz="0" w:space="0" w:color="auto"/>
        <w:right w:val="none" w:sz="0" w:space="0" w:color="auto"/>
      </w:divBdr>
    </w:div>
    <w:div w:id="1488547407">
      <w:bodyDiv w:val="1"/>
      <w:marLeft w:val="0"/>
      <w:marRight w:val="0"/>
      <w:marTop w:val="0"/>
      <w:marBottom w:val="0"/>
      <w:divBdr>
        <w:top w:val="none" w:sz="0" w:space="0" w:color="auto"/>
        <w:left w:val="none" w:sz="0" w:space="0" w:color="auto"/>
        <w:bottom w:val="none" w:sz="0" w:space="0" w:color="auto"/>
        <w:right w:val="none" w:sz="0" w:space="0" w:color="auto"/>
      </w:divBdr>
    </w:div>
    <w:div w:id="162649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8</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s>
</file>

<file path=customXml/itemProps1.xml><?xml version="1.0" encoding="utf-8"?>
<ds:datastoreItem xmlns:ds="http://schemas.openxmlformats.org/officeDocument/2006/customXml" ds:itemID="{090B56DA-B03E-43F4-90EC-9C645B7A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2020-08-16T18:39:00Z</dcterms:modified>
</cp:coreProperties>
</file>