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1250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9E1CCF1" w:rsidR="0082223F" w:rsidRDefault="0082223F" w:rsidP="0082223F">
      <w:pPr>
        <w:pStyle w:val="Title"/>
      </w:pPr>
      <w:r>
        <w:t xml:space="preserve">Section </w:t>
      </w:r>
      <w:r w:rsidR="00451C48">
        <w:t>2</w:t>
      </w:r>
      <w:r>
        <w:t xml:space="preserve">: Week </w:t>
      </w:r>
      <w:r w:rsidR="00451C48">
        <w:t>4</w:t>
      </w:r>
      <w:r>
        <w:t xml:space="preserve">: </w:t>
      </w:r>
      <w:r w:rsidR="00451C48">
        <w:t>Analyze Statistical Output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2752425F" w:rsidR="00CB25E9" w:rsidRDefault="00D0165E" w:rsidP="0082223F">
      <w:pPr>
        <w:jc w:val="center"/>
      </w:pPr>
      <w:r>
        <w:t xml:space="preserve">August </w:t>
      </w:r>
      <w:r w:rsidR="00451C48">
        <w:t>23</w:t>
      </w:r>
      <w:r w:rsidR="0072317D">
        <w:t>rd</w:t>
      </w:r>
      <w:r w:rsidR="006D793E">
        <w:t>, 2020</w:t>
      </w:r>
    </w:p>
    <w:p w14:paraId="471EEFD4" w14:textId="22F5D301" w:rsidR="0082223F" w:rsidRDefault="0082223F" w:rsidP="0082223F">
      <w:pPr>
        <w:jc w:val="center"/>
      </w:pPr>
      <w:r>
        <w:t>North</w:t>
      </w:r>
      <w:r w:rsidR="002B35B4">
        <w:t>c</w:t>
      </w:r>
      <w:r>
        <w:t>entral University</w:t>
      </w:r>
    </w:p>
    <w:p w14:paraId="08E36B90" w14:textId="77777777" w:rsidR="0082223F" w:rsidRDefault="0082223F">
      <w:pPr>
        <w:spacing w:line="259" w:lineRule="auto"/>
      </w:pPr>
      <w:r>
        <w:br w:type="page"/>
      </w:r>
    </w:p>
    <w:p w14:paraId="17A23B19" w14:textId="0A415064" w:rsidR="0082223F" w:rsidRDefault="00451C48" w:rsidP="005B7079">
      <w:pPr>
        <w:pStyle w:val="Heading1"/>
      </w:pPr>
      <w:r>
        <w:lastRenderedPageBreak/>
        <w:t>Analyze Statistical Output</w:t>
      </w:r>
    </w:p>
    <w:p w14:paraId="06B5CC8C" w14:textId="4AF76994" w:rsidR="00451C48" w:rsidRDefault="00451C48" w:rsidP="00451C48">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w:t>
      </w:r>
      <w:r w:rsidR="005347EB">
        <w:t xml:space="preserve">  It can be challenging to find complete records as federal regulators do not mandate data collection policies.  The Washington Post attempts to fill this gap with its dataset based on news events</w:t>
      </w:r>
      <w:r w:rsidR="00B22828">
        <w:t>,</w:t>
      </w:r>
      <w:r w:rsidR="005347EB">
        <w:t xml:space="preserve"> expos</w:t>
      </w:r>
      <w:r w:rsidR="00B22828">
        <w:t>ing the</w:t>
      </w:r>
      <w:r w:rsidR="005347EB">
        <w:t xml:space="preserve"> location, context, and several demographic markers for each fatality</w:t>
      </w:r>
      <w:r w:rsidR="00B22828" w:rsidRPr="00B22828">
        <w:t xml:space="preserve"> </w:t>
      </w:r>
      <w:sdt>
        <w:sdtPr>
          <w:id w:val="-1957622659"/>
          <w:citation/>
        </w:sdtPr>
        <w:sdtEndPr/>
        <w:sdtContent>
          <w:r w:rsidR="00B22828">
            <w:fldChar w:fldCharType="begin"/>
          </w:r>
          <w:r w:rsidR="00B22828">
            <w:instrText xml:space="preserve"> CITATION Was20 \l 1033 </w:instrText>
          </w:r>
          <w:r w:rsidR="00B22828">
            <w:fldChar w:fldCharType="separate"/>
          </w:r>
          <w:r w:rsidR="00B22828">
            <w:rPr>
              <w:noProof/>
            </w:rPr>
            <w:t xml:space="preserve"> (Washington Post, 2020)</w:t>
          </w:r>
          <w:r w:rsidR="00B22828">
            <w:fldChar w:fldCharType="end"/>
          </w:r>
        </w:sdtContent>
      </w:sdt>
      <w:r w:rsidR="005347EB">
        <w:t>.</w:t>
      </w:r>
      <w:r w:rsidR="008C5E44">
        <w:t xml:space="preserve">  Researchers can use these results to help determine if the solution to police violence comes from racial issues or another aspect better explains the national issues.</w:t>
      </w:r>
    </w:p>
    <w:p w14:paraId="109A3FF0" w14:textId="4C62A1ED" w:rsidR="00D35ECE" w:rsidRDefault="00D35ECE" w:rsidP="00D35ECE">
      <w:pPr>
        <w:pStyle w:val="Heading1"/>
      </w:pPr>
      <w:r>
        <w:t>Section I: Describe the Problem and Hypothesis</w:t>
      </w:r>
    </w:p>
    <w:p w14:paraId="4DEEFE27" w14:textId="170A6974" w:rsidR="003D24CA" w:rsidRDefault="00D35ECE" w:rsidP="00D35ECE">
      <w:r>
        <w:tab/>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w:t>
      </w:r>
      <w:r w:rsidR="003D24CA">
        <w:t xml:space="preserve">  This perspective often comes with the quote that “Black civilians were more than twice as likely as White civilians to be unarmed</w:t>
      </w:r>
      <w:sdt>
        <w:sdtPr>
          <w:id w:val="683631755"/>
          <w:citation/>
        </w:sdtPr>
        <w:sdtEndPr/>
        <w:sdtContent>
          <w:r w:rsidR="003D24CA">
            <w:fldChar w:fldCharType="begin"/>
          </w:r>
          <w:r w:rsidR="003D24CA">
            <w:instrText xml:space="preserve"> CITATION Nix17 \l 1033 </w:instrText>
          </w:r>
          <w:r w:rsidR="003D24CA">
            <w:fldChar w:fldCharType="separate"/>
          </w:r>
          <w:r w:rsidR="003D24CA">
            <w:rPr>
              <w:noProof/>
            </w:rPr>
            <w:t xml:space="preserve"> (Nix, Campbell, Byers, &amp; Alpert, 2017)</w:t>
          </w:r>
          <w:r w:rsidR="003D24CA">
            <w:fldChar w:fldCharType="end"/>
          </w:r>
        </w:sdtContent>
      </w:sdt>
      <w:r w:rsidR="003D24CA">
        <w:t>” during the fatality.  Nevertheless, others argue the brutality victims are experiencing a mental health crisis, and this is the actual reason</w:t>
      </w:r>
      <w:r w:rsidR="003D24CA" w:rsidRPr="00D35ECE">
        <w:t xml:space="preserve"> </w:t>
      </w:r>
      <w:sdt>
        <w:sdtPr>
          <w:id w:val="-1318176402"/>
          <w:citation/>
        </w:sdtPr>
        <w:sdtEndPr/>
        <w:sdtContent>
          <w:r w:rsidR="003D24CA">
            <w:fldChar w:fldCharType="begin"/>
          </w:r>
          <w:r w:rsidR="003D24CA">
            <w:instrText xml:space="preserve"> CITATION Lam14 \l 1033 </w:instrText>
          </w:r>
          <w:r w:rsidR="003D24CA">
            <w:fldChar w:fldCharType="separate"/>
          </w:r>
          <w:r w:rsidR="003D24CA">
            <w:rPr>
              <w:noProof/>
            </w:rPr>
            <w:t xml:space="preserve"> (Lamb, Weinberger, &amp; DeCuir, 2014)</w:t>
          </w:r>
          <w:r w:rsidR="003D24CA">
            <w:fldChar w:fldCharType="end"/>
          </w:r>
        </w:sdtContent>
      </w:sdt>
      <w:r w:rsidR="003D24CA">
        <w:t xml:space="preserve">.  While these perspectives </w:t>
      </w:r>
      <w:r w:rsidR="00B52D8F">
        <w:t>efficiently</w:t>
      </w:r>
      <w:r w:rsidR="003D24CA">
        <w:t xml:space="preserve"> drive media headlines, are they both missing the forest among the trees?  Does another factor more accurately explain the challenges that are occurring?  Instead, NCU-C hypothesizes that neither sanity nor race is the driving cause of police violence.  Alternatively, provocation might better explain the need for </w:t>
      </w:r>
      <w:r w:rsidR="00AD1773">
        <w:t>violent</w:t>
      </w:r>
      <w:r w:rsidR="003D24CA">
        <w:t xml:space="preserve"> escalations that result in death.</w:t>
      </w:r>
    </w:p>
    <w:p w14:paraId="24755E6E" w14:textId="19CAEFF1" w:rsidR="00D35ECE" w:rsidRDefault="00D35ECE" w:rsidP="00D35ECE">
      <w:pPr>
        <w:pStyle w:val="Heading1"/>
      </w:pPr>
      <w:r>
        <w:lastRenderedPageBreak/>
        <w:t>Section II: Describe the Data Set</w:t>
      </w:r>
    </w:p>
    <w:p w14:paraId="2FC6C328" w14:textId="112A6040" w:rsidR="00D66EBC" w:rsidRDefault="0089649A" w:rsidP="008B14FF">
      <w:pPr>
        <w:ind w:firstLine="720"/>
      </w:pPr>
      <w:r>
        <w:t xml:space="preserve">The Washington Post provides demographic and contextual information about victims from January of 2015 to the present day.  Each entry captures the threat level, flee status, any weapons, age, gender, race, and city.  NCU-C enhanced these 5489 records to include several nominal features, such as ‘has a projectile,’ to simplify analysis on the free form weapons column.  The inclusion of an ‘age group’ property also exists for smoothing visualization charts by partitioning into five-year windows.  Aside from these transformations, no </w:t>
      </w:r>
      <w:proofErr w:type="spellStart"/>
      <w:r w:rsidR="008B14FF">
        <w:t>alterings</w:t>
      </w:r>
      <w:proofErr w:type="spellEnd"/>
      <w:r>
        <w:t xml:space="preserve"> of the original data set </w:t>
      </w:r>
      <w:r w:rsidR="008B14FF">
        <w:t>are present</w:t>
      </w:r>
      <w:r>
        <w:t>.</w:t>
      </w:r>
    </w:p>
    <w:p w14:paraId="21BB3392" w14:textId="29C00C24" w:rsidR="008B14FF" w:rsidRDefault="002A0E47" w:rsidP="002A0E47">
      <w:pPr>
        <w:pStyle w:val="Heading2"/>
      </w:pPr>
      <w:r>
        <w:t xml:space="preserve">Exploring </w:t>
      </w:r>
      <w:r w:rsidR="00E009BF">
        <w:t xml:space="preserve">by </w:t>
      </w:r>
      <w:r>
        <w:t>Race</w:t>
      </w:r>
    </w:p>
    <w:p w14:paraId="4C551AC1" w14:textId="791B40EE" w:rsidR="00D079D9" w:rsidRDefault="00D079D9" w:rsidP="00D079D9">
      <w:r>
        <w:tab/>
        <w:t>America’s racial make-up is approximately 63% white, 15% Hispanic, 13% black, and 9% other</w:t>
      </w:r>
      <w:sdt>
        <w:sdtPr>
          <w:id w:val="1118098747"/>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If all things are equal, then looking at the raw victim statistics should convey a similar breakdown.  These initial expectations are comparable though slightly skewed in Washington Posts’ data set when grouping by </w:t>
      </w:r>
      <w:r w:rsidRPr="00D079D9">
        <w:rPr>
          <w:i/>
          <w:iCs/>
        </w:rPr>
        <w:t>race</w:t>
      </w:r>
      <w:r>
        <w:t xml:space="preserve"> (see Figure 1).  </w:t>
      </w:r>
      <w:proofErr w:type="gramStart"/>
      <w:r>
        <w:t xml:space="preserve">After adding a second level of grouping by </w:t>
      </w:r>
      <w:r w:rsidRPr="00D079D9">
        <w:rPr>
          <w:i/>
          <w:iCs/>
        </w:rPr>
        <w:t>year</w:t>
      </w:r>
      <w:r>
        <w:t>, it</w:t>
      </w:r>
      <w:proofErr w:type="gramEnd"/>
      <w:r>
        <w:t xml:space="preserve"> also raises an observation that the number of victims is relatively stable across time.  From January 2015 to December 2019, the mean death rate is 905, with a standard deviation of 35.</w:t>
      </w:r>
      <w:r w:rsidR="008D5100">
        <w:t xml:space="preserve">  While the situation is not getting any better, it is also not becoming worse.</w:t>
      </w:r>
    </w:p>
    <w:p w14:paraId="7A7B378E" w14:textId="4E4FDDB8" w:rsidR="00D079D9" w:rsidRDefault="00D079D9" w:rsidP="00D079D9">
      <w:pPr>
        <w:pStyle w:val="Caption"/>
      </w:pPr>
      <w:bookmarkStart w:id="0" w:name="_Hlk50282823"/>
      <w:r>
        <w:t>Figure 1: Victims by Race</w:t>
      </w:r>
    </w:p>
    <w:p w14:paraId="7B156C09" w14:textId="2596EA4A" w:rsidR="00D079D9" w:rsidRDefault="00D079D9" w:rsidP="00D079D9">
      <w:pPr>
        <w:jc w:val="center"/>
      </w:pPr>
      <w:r>
        <w:rPr>
          <w:noProof/>
        </w:rPr>
        <w:drawing>
          <wp:inline distT="0" distB="0" distL="0" distR="0" wp14:anchorId="60AB718E" wp14:editId="2F2CFC43">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bookmarkEnd w:id="0"/>
    <w:p w14:paraId="29A6EE3A" w14:textId="4E235978" w:rsidR="008D5100" w:rsidRDefault="008D5100" w:rsidP="008D5100">
      <w:pPr>
        <w:pStyle w:val="Heading2"/>
      </w:pPr>
      <w:r>
        <w:lastRenderedPageBreak/>
        <w:t xml:space="preserve">Exploring </w:t>
      </w:r>
      <w:r w:rsidR="00E009BF">
        <w:t>by Age</w:t>
      </w:r>
    </w:p>
    <w:p w14:paraId="0F6FE71C" w14:textId="2086AD0C" w:rsidR="00E009BF" w:rsidRDefault="00E009BF" w:rsidP="00E009BF">
      <w:r>
        <w:tab/>
      </w:r>
      <w:r w:rsidR="00853E97">
        <w:t xml:space="preserve">A normal distribution exists for the victim’s age around the mean of 37 with a standard deviation of 13 years.  After grouping by race, the data shows that minorities encounter deadly confrontations with the police roughly seven years younger.  From these initial range values, it is possible to calculate the </w:t>
      </w:r>
      <w:r w:rsidR="00853E97" w:rsidRPr="00853E97">
        <w:t>statistical effect</w:t>
      </w:r>
      <w:r w:rsidR="00853E97">
        <w:t xml:space="preserve"> of a person’s </w:t>
      </w:r>
      <w:r w:rsidR="00853E97" w:rsidRPr="00853E97">
        <w:rPr>
          <w:i/>
          <w:iCs/>
        </w:rPr>
        <w:t>race</w:t>
      </w:r>
      <w:r w:rsidR="00853E97">
        <w:rPr>
          <w:i/>
          <w:iCs/>
        </w:rPr>
        <w:t xml:space="preserve"> </w:t>
      </w:r>
      <w:r w:rsidR="00853E97">
        <w:t xml:space="preserve">and </w:t>
      </w:r>
      <w:r w:rsidR="00853E97" w:rsidRPr="00853E97">
        <w:rPr>
          <w:i/>
          <w:iCs/>
        </w:rPr>
        <w:t>age</w:t>
      </w:r>
      <w:r w:rsidR="00853E97">
        <w:rPr>
          <w:i/>
          <w:iCs/>
        </w:rPr>
        <w:t xml:space="preserve"> </w:t>
      </w:r>
      <w:r w:rsidR="00853E97">
        <w:t xml:space="preserve">relative to a similar group.  An effect size is a measurement in z-scores with values typically between </w:t>
      </w:r>
      <w:r w:rsidR="00C34DF8">
        <w:t>zero to one</w:t>
      </w:r>
      <w:r w:rsidR="00853E97">
        <w:t xml:space="preserve">.  </w:t>
      </w:r>
      <w:r w:rsidR="00C34DF8">
        <w:t>This two-level comparison conveys that a medium</w:t>
      </w:r>
      <w:r w:rsidR="005230C9">
        <w:t>-level</w:t>
      </w:r>
      <w:r w:rsidR="00C34DF8">
        <w:t xml:space="preserve"> </w:t>
      </w:r>
      <w:r w:rsidR="005230C9">
        <w:t xml:space="preserve">effect </w:t>
      </w:r>
      <w:r w:rsidR="00C34DF8">
        <w:t>exists for Whites, and a minimal difference exists between Blacks and Hispanics (see Table 1)</w:t>
      </w:r>
      <w:r w:rsidR="00853E97">
        <w:t>.</w:t>
      </w:r>
      <w:r w:rsidR="005230C9">
        <w:t xml:space="preserve">  These results roughly align with the exploration of race, which suggests that a skew exists in the data, but </w:t>
      </w:r>
      <w:proofErr w:type="spellStart"/>
      <w:r w:rsidR="005230C9">
        <w:t>its</w:t>
      </w:r>
      <w:proofErr w:type="spellEnd"/>
      <w:r w:rsidR="005230C9">
        <w:t xml:space="preserve"> not the smoking gun.</w:t>
      </w:r>
    </w:p>
    <w:p w14:paraId="474761B0" w14:textId="1ADD8523" w:rsidR="00853E97" w:rsidRDefault="00853E97" w:rsidP="00853E97">
      <w:pPr>
        <w:pStyle w:val="Caption"/>
      </w:pPr>
      <w:bookmarkStart w:id="1" w:name="_Hlk50283034"/>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853E97" w14:paraId="65285506" w14:textId="4AF9D2E1" w:rsidTr="00853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62F37BA1" w14:textId="25331349" w:rsidR="00853E97" w:rsidRDefault="00853E97" w:rsidP="00853E97">
            <w:r>
              <w:t>Race</w:t>
            </w:r>
          </w:p>
        </w:tc>
        <w:tc>
          <w:tcPr>
            <w:tcW w:w="1199" w:type="dxa"/>
          </w:tcPr>
          <w:p w14:paraId="31DAB8EA" w14:textId="0D249E6A" w:rsidR="00853E97" w:rsidRDefault="00853E97" w:rsidP="00853E97">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2EF4B24A" w14:textId="6FB3FD3C" w:rsidR="00853E97" w:rsidRDefault="00853E97" w:rsidP="00853E97">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7C688D15" w14:textId="0A2CF28D"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51F9546A" w14:textId="350BD424"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6D1BE1DE" w14:textId="1140E475" w:rsidR="00853E97" w:rsidRDefault="00853E97" w:rsidP="00853E97">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853E97" w14:paraId="1C8C7121"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F09771D" w14:textId="14EF3907" w:rsidR="00853E97" w:rsidRDefault="00853E97" w:rsidP="00853E97">
            <w:r>
              <w:rPr>
                <w:color w:val="000000"/>
              </w:rPr>
              <w:t>All</w:t>
            </w:r>
          </w:p>
        </w:tc>
        <w:tc>
          <w:tcPr>
            <w:tcW w:w="1199" w:type="dxa"/>
          </w:tcPr>
          <w:p w14:paraId="392B6B94" w14:textId="386B73BF"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51CAD0A6" w14:textId="0D4434B1"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6CB35FDF" w14:textId="0DEABD76"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3871D99C" w14:textId="5AC01940"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02B60939" w14:textId="16958D83"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853E97" w14:paraId="77AEB048"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35ED0007" w14:textId="0262853A" w:rsidR="00853E97" w:rsidRDefault="00853E97" w:rsidP="00853E97">
            <w:r>
              <w:rPr>
                <w:color w:val="000000"/>
              </w:rPr>
              <w:t>White</w:t>
            </w:r>
          </w:p>
        </w:tc>
        <w:tc>
          <w:tcPr>
            <w:tcW w:w="1199" w:type="dxa"/>
          </w:tcPr>
          <w:p w14:paraId="6026D838" w14:textId="189DC31C" w:rsidR="00853E97" w:rsidRP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4D41C7B7" w14:textId="7752D61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6F979C7B" w14:textId="35031C2F"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265B1531" w14:textId="11E2546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0F48D20B" w14:textId="32CCFC1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853E97" w14:paraId="5986A504" w14:textId="77777777" w:rsidTr="00853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986938" w14:textId="7CEFBDD1" w:rsidR="00853E97" w:rsidRDefault="00853E97" w:rsidP="00853E97">
            <w:r>
              <w:rPr>
                <w:color w:val="000000"/>
              </w:rPr>
              <w:t>Black</w:t>
            </w:r>
          </w:p>
        </w:tc>
        <w:tc>
          <w:tcPr>
            <w:tcW w:w="1199" w:type="dxa"/>
          </w:tcPr>
          <w:p w14:paraId="5809450F" w14:textId="1451F55D"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76AB47BB" w14:textId="273E9CC5"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23EBD7BB" w14:textId="2810FCF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29BFF215" w14:textId="6F7E9922" w:rsidR="00853E97" w:rsidRDefault="00853E97" w:rsidP="00853E97">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43B6DE9A" w14:textId="482474A2" w:rsidR="00853E97" w:rsidRDefault="00853E97" w:rsidP="00853E97">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853E97" w14:paraId="1FECEF71" w14:textId="77777777" w:rsidTr="00853E97">
        <w:tc>
          <w:tcPr>
            <w:cnfStyle w:val="001000000000" w:firstRow="0" w:lastRow="0" w:firstColumn="1" w:lastColumn="0" w:oddVBand="0" w:evenVBand="0" w:oddHBand="0" w:evenHBand="0" w:firstRowFirstColumn="0" w:firstRowLastColumn="0" w:lastRowFirstColumn="0" w:lastRowLastColumn="0"/>
            <w:tcW w:w="1546" w:type="dxa"/>
          </w:tcPr>
          <w:p w14:paraId="1A53637E" w14:textId="399B3D80" w:rsidR="00853E97" w:rsidRDefault="00853E97" w:rsidP="00853E97">
            <w:r>
              <w:rPr>
                <w:color w:val="000000"/>
              </w:rPr>
              <w:t>Hispanic</w:t>
            </w:r>
          </w:p>
        </w:tc>
        <w:tc>
          <w:tcPr>
            <w:tcW w:w="1199" w:type="dxa"/>
          </w:tcPr>
          <w:p w14:paraId="0C1C868F" w14:textId="13931864"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3D62CEC0" w14:textId="0D1B7359"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12A27B70" w14:textId="7124C797"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7E662970" w14:textId="2B09D6C8"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30509EE8" w14:textId="42FA51B5" w:rsidR="00853E97" w:rsidRDefault="00853E97" w:rsidP="00853E97">
            <w:pPr>
              <w:cnfStyle w:val="000000000000" w:firstRow="0" w:lastRow="0" w:firstColumn="0" w:lastColumn="0" w:oddVBand="0" w:evenVBand="0" w:oddHBand="0" w:evenHBand="0" w:firstRowFirstColumn="0" w:firstRowLastColumn="0" w:lastRowFirstColumn="0" w:lastRowLastColumn="0"/>
            </w:pPr>
            <w:r>
              <w:rPr>
                <w:color w:val="000000"/>
              </w:rPr>
              <w:t>--</w:t>
            </w:r>
          </w:p>
        </w:tc>
      </w:tr>
      <w:bookmarkEnd w:id="1"/>
    </w:tbl>
    <w:p w14:paraId="143C75D8" w14:textId="13D476E4" w:rsidR="00E009BF" w:rsidRDefault="00E009BF" w:rsidP="00E009BF"/>
    <w:p w14:paraId="58E1CDFC" w14:textId="2147B210" w:rsidR="003D130B" w:rsidRDefault="003D130B" w:rsidP="003D130B">
      <w:pPr>
        <w:pStyle w:val="Heading2"/>
      </w:pPr>
      <w:r>
        <w:t>Exploring by Sanity</w:t>
      </w:r>
    </w:p>
    <w:p w14:paraId="5686CA2E" w14:textId="0A4FA36F" w:rsidR="003D130B" w:rsidRDefault="005230C9" w:rsidP="003D130B">
      <w:r>
        <w:tab/>
        <w:t>An argument exists that the solution to police violence is defunding the police and using those resources for drug rehabilitation and civil service programs</w:t>
      </w:r>
      <w:sdt>
        <w:sdtPr>
          <w:id w:val="-670023896"/>
          <w:citation/>
        </w:sdtPr>
        <w:sdtEndPr/>
        <w:sdtContent>
          <w:r>
            <w:fldChar w:fldCharType="begin"/>
          </w:r>
          <w:r>
            <w:instrText xml:space="preserve"> CITATION BLM20 \l 1033 </w:instrText>
          </w:r>
          <w:r>
            <w:fldChar w:fldCharType="separate"/>
          </w:r>
          <w:r>
            <w:rPr>
              <w:noProof/>
            </w:rPr>
            <w:t xml:space="preserve"> (BLM, 2020)</w:t>
          </w:r>
          <w:r>
            <w:fldChar w:fldCharType="end"/>
          </w:r>
        </w:sdtContent>
      </w:sdt>
      <w:r>
        <w:t xml:space="preserve">.  </w:t>
      </w:r>
      <w:r w:rsidR="00416971">
        <w:t>Assuming those changes went into effect</w:t>
      </w:r>
      <w:r w:rsidR="000C2AB4">
        <w:t>,</w:t>
      </w:r>
      <w:r w:rsidR="00416971">
        <w:t xml:space="preserve"> would it make a difference?</w:t>
      </w:r>
      <w:r w:rsidR="000C2AB4">
        <w:t xml:space="preserve">  Washington’s data suggests that 22% of all fatalities are people experiencing a mental health crisis.  </w:t>
      </w:r>
      <w:r w:rsidR="00587429">
        <w:t xml:space="preserve">Next, comparing the effect of </w:t>
      </w:r>
      <w:r w:rsidR="00587429">
        <w:rPr>
          <w:i/>
          <w:iCs/>
        </w:rPr>
        <w:t xml:space="preserve">sanity </w:t>
      </w:r>
      <w:r w:rsidR="00587429">
        <w:t>against the age distribution concludes that a small size exists</w:t>
      </w:r>
      <w:r w:rsidR="003D28E2">
        <w:t xml:space="preserve"> (0.20)</w:t>
      </w:r>
      <w:r w:rsidR="00587429">
        <w:t>.</w:t>
      </w:r>
      <w:r w:rsidR="003D28E2">
        <w:t xml:space="preserve">  Based on these results, it does not seem that trading funding would produce the desired outcome.  There are likely other potential benefits that come from changing funding levels of police and civil services.  However, those are outside the scope of this research project.  NCU-C needs to continue its searching into other variables of the dataset before concluding on the best lobbying action.</w:t>
      </w:r>
    </w:p>
    <w:p w14:paraId="0DA2A937" w14:textId="5EB35691" w:rsidR="003D28E2" w:rsidRDefault="003D28E2" w:rsidP="003D28E2">
      <w:pPr>
        <w:pStyle w:val="Caption"/>
      </w:pPr>
      <w:bookmarkStart w:id="2" w:name="_Hlk50283495"/>
      <w:r>
        <w:lastRenderedPageBreak/>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3D28E2" w14:paraId="5F8B0D1F" w14:textId="57032511" w:rsidTr="003D28E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38D4F846" w14:textId="0290A9DD" w:rsidR="003D28E2" w:rsidRDefault="003D28E2" w:rsidP="003D130B">
            <w:r>
              <w:t>Mental Illness</w:t>
            </w:r>
          </w:p>
        </w:tc>
        <w:tc>
          <w:tcPr>
            <w:tcW w:w="1898" w:type="dxa"/>
          </w:tcPr>
          <w:p w14:paraId="5D456441" w14:textId="4CDF4548" w:rsidR="003D28E2" w:rsidRDefault="003D28E2" w:rsidP="003D130B">
            <w:pPr>
              <w:cnfStyle w:val="100000000000" w:firstRow="1" w:lastRow="0" w:firstColumn="0" w:lastColumn="0" w:oddVBand="0" w:evenVBand="0" w:oddHBand="0" w:evenHBand="0" w:firstRowFirstColumn="0" w:firstRowLastColumn="0" w:lastRowFirstColumn="0" w:lastRowLastColumn="0"/>
            </w:pPr>
            <w:r>
              <w:t>Mean</w:t>
            </w:r>
            <w:r w:rsidR="00807038">
              <w:t xml:space="preserve"> (Age)</w:t>
            </w:r>
          </w:p>
        </w:tc>
        <w:tc>
          <w:tcPr>
            <w:tcW w:w="2202" w:type="dxa"/>
          </w:tcPr>
          <w:p w14:paraId="4A23EEC0" w14:textId="23DB1546" w:rsidR="003D28E2" w:rsidRDefault="003D28E2" w:rsidP="003D130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60CD0BEC" w14:textId="5D8D37E7"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73A2416E" w14:textId="5D8D16E0" w:rsidR="003D28E2" w:rsidRDefault="003D28E2" w:rsidP="003D130B">
            <w:pPr>
              <w:cnfStyle w:val="100000000000" w:firstRow="1" w:lastRow="0" w:firstColumn="0" w:lastColumn="0" w:oddVBand="0" w:evenVBand="0" w:oddHBand="0" w:evenHBand="0" w:firstRowFirstColumn="0" w:firstRowLastColumn="0" w:lastRowFirstColumn="0" w:lastRowLastColumn="0"/>
            </w:pPr>
            <w:r>
              <w:t>Effect vs. Sane</w:t>
            </w:r>
          </w:p>
        </w:tc>
      </w:tr>
      <w:tr w:rsidR="003D28E2" w14:paraId="4FF19F47" w14:textId="76DA8E66" w:rsidTr="003D28E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74834223" w14:textId="02F11ECA" w:rsidR="003D28E2" w:rsidRDefault="003D28E2" w:rsidP="003D130B">
            <w:r>
              <w:t>Yes</w:t>
            </w:r>
          </w:p>
        </w:tc>
        <w:tc>
          <w:tcPr>
            <w:tcW w:w="1898" w:type="dxa"/>
          </w:tcPr>
          <w:p w14:paraId="6A8D3DC9" w14:textId="3DC4ABAD" w:rsidR="003D28E2" w:rsidRDefault="003D28E2" w:rsidP="003D130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478838A3" w14:textId="6D08E092" w:rsidR="003D28E2" w:rsidRDefault="003D28E2" w:rsidP="003D130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3CC651C3" w14:textId="161141BF" w:rsidR="003D28E2" w:rsidRDefault="003D28E2" w:rsidP="003D130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69C9A409" w14:textId="161CEBF0" w:rsidR="003D28E2" w:rsidRDefault="003D28E2" w:rsidP="003D130B">
            <w:pPr>
              <w:cnfStyle w:val="000000100000" w:firstRow="0" w:lastRow="0" w:firstColumn="0" w:lastColumn="0" w:oddVBand="0" w:evenVBand="0" w:oddHBand="1" w:evenHBand="0" w:firstRowFirstColumn="0" w:firstRowLastColumn="0" w:lastRowFirstColumn="0" w:lastRowLastColumn="0"/>
            </w:pPr>
            <w:r>
              <w:t>0.25</w:t>
            </w:r>
          </w:p>
        </w:tc>
      </w:tr>
      <w:tr w:rsidR="003D28E2" w14:paraId="6838513B" w14:textId="44D981C7" w:rsidTr="003D28E2">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3784D60" w14:textId="0D58AEE2" w:rsidR="003D28E2" w:rsidRDefault="003D28E2" w:rsidP="003D130B">
            <w:r>
              <w:t>No</w:t>
            </w:r>
          </w:p>
        </w:tc>
        <w:tc>
          <w:tcPr>
            <w:tcW w:w="1898" w:type="dxa"/>
          </w:tcPr>
          <w:p w14:paraId="393D028A" w14:textId="1429353F" w:rsidR="003D28E2" w:rsidRDefault="003D28E2" w:rsidP="003D130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7497377B" w14:textId="5C10273A" w:rsidR="003D28E2" w:rsidRDefault="003D28E2" w:rsidP="003D130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49EB78E1" w14:textId="3D6D1917" w:rsidR="003D28E2" w:rsidRDefault="003D28E2" w:rsidP="003D130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5775C935" w14:textId="444E61DF" w:rsidR="003D28E2" w:rsidRDefault="003D28E2" w:rsidP="003D130B">
            <w:pPr>
              <w:cnfStyle w:val="000000000000" w:firstRow="0" w:lastRow="0" w:firstColumn="0" w:lastColumn="0" w:oddVBand="0" w:evenVBand="0" w:oddHBand="0" w:evenHBand="0" w:firstRowFirstColumn="0" w:firstRowLastColumn="0" w:lastRowFirstColumn="0" w:lastRowLastColumn="0"/>
            </w:pPr>
            <w:r>
              <w:t>--</w:t>
            </w:r>
          </w:p>
        </w:tc>
      </w:tr>
      <w:bookmarkEnd w:id="2"/>
    </w:tbl>
    <w:p w14:paraId="7DFC5306" w14:textId="10B4EB56" w:rsidR="003D28E2" w:rsidRDefault="003D28E2" w:rsidP="003D130B"/>
    <w:p w14:paraId="07B50E99" w14:textId="54BAD853" w:rsidR="00647DEF" w:rsidRDefault="00807038" w:rsidP="00647DEF">
      <w:pPr>
        <w:pStyle w:val="Heading2"/>
      </w:pPr>
      <w:r>
        <w:t>Exploring by Weapon Type</w:t>
      </w:r>
    </w:p>
    <w:p w14:paraId="6B626236" w14:textId="733A71B9" w:rsidR="00E32E64" w:rsidRDefault="00807038" w:rsidP="00807038">
      <w:r>
        <w:tab/>
      </w:r>
      <w:bookmarkStart w:id="3" w:name="_Hlk50283948"/>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w:t>
      </w:r>
      <w:r w:rsidR="00E32E64">
        <w:t xml:space="preserve">  According to these categorical-aggregations, roughly 58% of victims had a firearm, plus another 18% had a sharp/blunt instrument</w:t>
      </w:r>
      <w:r w:rsidR="00041194">
        <w:t xml:space="preserve"> (see Figure 2)</w:t>
      </w:r>
      <w:r w:rsidR="00E32E64">
        <w:t>.</w:t>
      </w:r>
      <w:bookmarkEnd w:id="3"/>
    </w:p>
    <w:p w14:paraId="526DDD83" w14:textId="09C0A983" w:rsidR="00E32E64" w:rsidRDefault="00E32E64" w:rsidP="00807038">
      <w:r>
        <w:tab/>
      </w:r>
      <w:bookmarkStart w:id="4" w:name="_Hlk50283978"/>
      <w:r>
        <w:t>There are nationally fifty-three million people who have an interaction with a law enforcement officer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69C9D32B" w14:textId="2584A549" w:rsidR="00E32E64" w:rsidRDefault="00E32E64" w:rsidP="00E32E64">
      <w:pPr>
        <w:pStyle w:val="Caption"/>
      </w:pPr>
      <w:bookmarkStart w:id="5" w:name="_Hlk50283843"/>
      <w:bookmarkEnd w:id="4"/>
      <w:r>
        <w:t>Figure 2: Victim Weapon Category</w:t>
      </w:r>
    </w:p>
    <w:p w14:paraId="2E69F9BA" w14:textId="20B0769B" w:rsidR="00E32E64" w:rsidRDefault="00E32E64" w:rsidP="00E32E64">
      <w:pPr>
        <w:jc w:val="center"/>
      </w:pPr>
      <w:r>
        <w:rPr>
          <w:noProof/>
        </w:rPr>
        <w:drawing>
          <wp:inline distT="0" distB="0" distL="0" distR="0" wp14:anchorId="0AFD98D3" wp14:editId="19006978">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bookmarkEnd w:id="5"/>
    <w:p w14:paraId="2CC2E3C3" w14:textId="69AF44A6" w:rsidR="00041194" w:rsidRDefault="00041194" w:rsidP="00041194">
      <w:pPr>
        <w:pStyle w:val="Heading2"/>
      </w:pPr>
      <w:r>
        <w:lastRenderedPageBreak/>
        <w:t>Exploring Unarmed</w:t>
      </w:r>
    </w:p>
    <w:p w14:paraId="03E99470" w14:textId="0A89CB27" w:rsidR="00041194" w:rsidRDefault="00041194" w:rsidP="00041194">
      <w:r>
        <w:tab/>
        <w:t xml:space="preserve">One </w:t>
      </w:r>
      <w:proofErr w:type="gramStart"/>
      <w:r>
        <w:t>particular subset</w:t>
      </w:r>
      <w:proofErr w:type="gramEnd"/>
      <w:r>
        <w:t xml:space="preserve"> that gains much attention is unarmed citizens that die during police encounters.  According to the dataset since 2015, this represents 349 of the 5489 (6.36%) of fatal incidents.</w:t>
      </w:r>
      <w:r w:rsidR="002E7CB9">
        <w:t xml:space="preserve">  These victims are nearly universally 33 years old, with a standard deviation of 11, regardless of race (see Table 3).  An alternative statistic directly compares the counts of entries marked as unarmed and finds that there is no substantial difference within the data.  While Nix’s frequently cited paper is accurate in stating that “unarmed Blacks die at nearly twice the rate of Whites,” the differences are within the margin of error (see Table 4).  Further expanding the definition of unarmed to include non-weapons, such as staplers and pens, makes the low-risk situations approximately equal regardless of race. </w:t>
      </w:r>
    </w:p>
    <w:p w14:paraId="6E9EE70E" w14:textId="7BCC236A" w:rsidR="002E7CB9" w:rsidRDefault="002E7CB9" w:rsidP="002E7CB9">
      <w:pPr>
        <w:pStyle w:val="Caption"/>
      </w:pPr>
      <w:r>
        <w:t>Table 3: Effect of Race, Age, and Unarmed Status</w:t>
      </w:r>
    </w:p>
    <w:tbl>
      <w:tblPr>
        <w:tblStyle w:val="GridTable4"/>
        <w:tblW w:w="0" w:type="auto"/>
        <w:tblLook w:val="04A0" w:firstRow="1" w:lastRow="0" w:firstColumn="1" w:lastColumn="0" w:noHBand="0" w:noVBand="1"/>
      </w:tblPr>
      <w:tblGrid>
        <w:gridCol w:w="1870"/>
        <w:gridCol w:w="1870"/>
        <w:gridCol w:w="1870"/>
        <w:gridCol w:w="1870"/>
        <w:gridCol w:w="1870"/>
      </w:tblGrid>
      <w:tr w:rsidR="002E7CB9" w14:paraId="4E15F461" w14:textId="77777777" w:rsidTr="002E7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4837311" w14:textId="77777777" w:rsidR="002E7CB9" w:rsidRPr="002E7CB9" w:rsidRDefault="002E7CB9" w:rsidP="002E7CB9">
            <w:pPr>
              <w:rPr>
                <w:color w:val="auto"/>
              </w:rPr>
            </w:pPr>
          </w:p>
        </w:tc>
        <w:tc>
          <w:tcPr>
            <w:tcW w:w="1870" w:type="dxa"/>
          </w:tcPr>
          <w:p w14:paraId="71E241FE" w14:textId="272E8EB5"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Mean</w:t>
            </w:r>
          </w:p>
        </w:tc>
        <w:tc>
          <w:tcPr>
            <w:tcW w:w="1870" w:type="dxa"/>
          </w:tcPr>
          <w:p w14:paraId="100A9FFE" w14:textId="40258747"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STD</w:t>
            </w:r>
          </w:p>
        </w:tc>
        <w:tc>
          <w:tcPr>
            <w:tcW w:w="1870" w:type="dxa"/>
          </w:tcPr>
          <w:p w14:paraId="02A88A5A" w14:textId="7AC37A3E"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Count</w:t>
            </w:r>
          </w:p>
        </w:tc>
        <w:tc>
          <w:tcPr>
            <w:tcW w:w="1870" w:type="dxa"/>
          </w:tcPr>
          <w:p w14:paraId="16D03F38" w14:textId="7D1FF8D1" w:rsidR="002E7CB9" w:rsidRPr="002E7CB9" w:rsidRDefault="002E7CB9" w:rsidP="002E7CB9">
            <w:pPr>
              <w:cnfStyle w:val="100000000000" w:firstRow="1" w:lastRow="0" w:firstColumn="0" w:lastColumn="0" w:oddVBand="0" w:evenVBand="0" w:oddHBand="0" w:evenHBand="0" w:firstRowFirstColumn="0" w:firstRowLastColumn="0" w:lastRowFirstColumn="0" w:lastRowLastColumn="0"/>
              <w:rPr>
                <w:color w:val="auto"/>
              </w:rPr>
            </w:pPr>
            <w:r w:rsidRPr="002E7CB9">
              <w:rPr>
                <w:color w:val="auto"/>
              </w:rPr>
              <w:t>Effect versus White</w:t>
            </w:r>
          </w:p>
        </w:tc>
      </w:tr>
      <w:tr w:rsidR="002E7CB9" w14:paraId="4886D5BF"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4CFE16" w14:textId="7B490335" w:rsidR="002E7CB9" w:rsidRPr="002E7CB9" w:rsidRDefault="002E7CB9" w:rsidP="002E7CB9">
            <w:r w:rsidRPr="002E7CB9">
              <w:rPr>
                <w:color w:val="000000"/>
              </w:rPr>
              <w:t>All</w:t>
            </w:r>
          </w:p>
        </w:tc>
        <w:tc>
          <w:tcPr>
            <w:tcW w:w="1870" w:type="dxa"/>
          </w:tcPr>
          <w:p w14:paraId="13BC6B76" w14:textId="3B0D0F93"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32.37</w:t>
            </w:r>
          </w:p>
        </w:tc>
        <w:tc>
          <w:tcPr>
            <w:tcW w:w="1870" w:type="dxa"/>
          </w:tcPr>
          <w:p w14:paraId="3E733CB3" w14:textId="7F1B5609"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11.04</w:t>
            </w:r>
          </w:p>
        </w:tc>
        <w:tc>
          <w:tcPr>
            <w:tcW w:w="1870" w:type="dxa"/>
          </w:tcPr>
          <w:p w14:paraId="65EC66A8" w14:textId="56C09D17"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349</w:t>
            </w:r>
          </w:p>
        </w:tc>
        <w:tc>
          <w:tcPr>
            <w:tcW w:w="1870" w:type="dxa"/>
          </w:tcPr>
          <w:p w14:paraId="392B2DBF" w14:textId="36576515"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-0.03</w:t>
            </w:r>
          </w:p>
        </w:tc>
      </w:tr>
      <w:tr w:rsidR="002E7CB9" w14:paraId="54BDF72B"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7C2E6A9" w14:textId="51CD956B" w:rsidR="002E7CB9" w:rsidRPr="002E7CB9" w:rsidRDefault="002E7CB9" w:rsidP="002E7CB9">
            <w:r w:rsidRPr="002E7CB9">
              <w:rPr>
                <w:color w:val="000000"/>
              </w:rPr>
              <w:t>White</w:t>
            </w:r>
          </w:p>
        </w:tc>
        <w:tc>
          <w:tcPr>
            <w:tcW w:w="1870" w:type="dxa"/>
          </w:tcPr>
          <w:p w14:paraId="0B17DF47" w14:textId="56EA0BF3"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33.18</w:t>
            </w:r>
          </w:p>
        </w:tc>
        <w:tc>
          <w:tcPr>
            <w:tcW w:w="1870" w:type="dxa"/>
          </w:tcPr>
          <w:p w14:paraId="2DDD6044" w14:textId="6BD9609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11.34</w:t>
            </w:r>
          </w:p>
        </w:tc>
        <w:tc>
          <w:tcPr>
            <w:tcW w:w="1870" w:type="dxa"/>
          </w:tcPr>
          <w:p w14:paraId="20C2D065" w14:textId="0D5A54C0"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146</w:t>
            </w:r>
          </w:p>
        </w:tc>
        <w:tc>
          <w:tcPr>
            <w:tcW w:w="1870" w:type="dxa"/>
          </w:tcPr>
          <w:p w14:paraId="6CC1754D" w14:textId="77777777"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p>
        </w:tc>
      </w:tr>
      <w:tr w:rsidR="002E7CB9" w14:paraId="27334667" w14:textId="77777777" w:rsidTr="002E7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C0118D" w14:textId="5D71F488" w:rsidR="002E7CB9" w:rsidRPr="002E7CB9" w:rsidRDefault="002E7CB9" w:rsidP="002E7CB9">
            <w:r w:rsidRPr="002E7CB9">
              <w:rPr>
                <w:color w:val="000000"/>
              </w:rPr>
              <w:t>Black</w:t>
            </w:r>
          </w:p>
        </w:tc>
        <w:tc>
          <w:tcPr>
            <w:tcW w:w="1870" w:type="dxa"/>
          </w:tcPr>
          <w:p w14:paraId="616E1B66" w14:textId="77BEFABE"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32.17</w:t>
            </w:r>
          </w:p>
        </w:tc>
        <w:tc>
          <w:tcPr>
            <w:tcW w:w="1870" w:type="dxa"/>
          </w:tcPr>
          <w:p w14:paraId="581DF557" w14:textId="74A63618"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10.92</w:t>
            </w:r>
          </w:p>
        </w:tc>
        <w:tc>
          <w:tcPr>
            <w:tcW w:w="1870" w:type="dxa"/>
          </w:tcPr>
          <w:p w14:paraId="1059E9EB" w14:textId="2776264A"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121</w:t>
            </w:r>
          </w:p>
        </w:tc>
        <w:tc>
          <w:tcPr>
            <w:tcW w:w="1870" w:type="dxa"/>
          </w:tcPr>
          <w:p w14:paraId="646F91A5" w14:textId="7AA7AA30" w:rsidR="002E7CB9" w:rsidRPr="002E7CB9" w:rsidRDefault="002E7CB9" w:rsidP="002E7CB9">
            <w:pPr>
              <w:cnfStyle w:val="000000100000" w:firstRow="0" w:lastRow="0" w:firstColumn="0" w:lastColumn="0" w:oddVBand="0" w:evenVBand="0" w:oddHBand="1" w:evenHBand="0" w:firstRowFirstColumn="0" w:firstRowLastColumn="0" w:lastRowFirstColumn="0" w:lastRowLastColumn="0"/>
            </w:pPr>
            <w:r w:rsidRPr="002E7CB9">
              <w:rPr>
                <w:color w:val="000000"/>
              </w:rPr>
              <w:t>-0.02</w:t>
            </w:r>
          </w:p>
        </w:tc>
      </w:tr>
      <w:tr w:rsidR="002E7CB9" w14:paraId="29B99167" w14:textId="77777777" w:rsidTr="002E7CB9">
        <w:tc>
          <w:tcPr>
            <w:cnfStyle w:val="001000000000" w:firstRow="0" w:lastRow="0" w:firstColumn="1" w:lastColumn="0" w:oddVBand="0" w:evenVBand="0" w:oddHBand="0" w:evenHBand="0" w:firstRowFirstColumn="0" w:firstRowLastColumn="0" w:lastRowFirstColumn="0" w:lastRowLastColumn="0"/>
            <w:tcW w:w="1870" w:type="dxa"/>
          </w:tcPr>
          <w:p w14:paraId="7520A0A0" w14:textId="0D38F451" w:rsidR="002E7CB9" w:rsidRPr="002E7CB9" w:rsidRDefault="002E7CB9" w:rsidP="002E7CB9">
            <w:r w:rsidRPr="002E7CB9">
              <w:rPr>
                <w:color w:val="000000"/>
              </w:rPr>
              <w:t>Hispanic</w:t>
            </w:r>
          </w:p>
        </w:tc>
        <w:tc>
          <w:tcPr>
            <w:tcW w:w="1870" w:type="dxa"/>
          </w:tcPr>
          <w:p w14:paraId="7FBF17B4" w14:textId="5D018B16"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31.10</w:t>
            </w:r>
          </w:p>
        </w:tc>
        <w:tc>
          <w:tcPr>
            <w:tcW w:w="1870" w:type="dxa"/>
          </w:tcPr>
          <w:p w14:paraId="60FD3EB6" w14:textId="1F41A5A8"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11.11</w:t>
            </w:r>
          </w:p>
        </w:tc>
        <w:tc>
          <w:tcPr>
            <w:tcW w:w="1870" w:type="dxa"/>
          </w:tcPr>
          <w:p w14:paraId="6E5BC2BA" w14:textId="347CEFA1"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63</w:t>
            </w:r>
          </w:p>
        </w:tc>
        <w:tc>
          <w:tcPr>
            <w:tcW w:w="1870" w:type="dxa"/>
          </w:tcPr>
          <w:p w14:paraId="514A4804" w14:textId="3801C5E9" w:rsidR="002E7CB9" w:rsidRPr="002E7CB9" w:rsidRDefault="002E7CB9" w:rsidP="002E7CB9">
            <w:pPr>
              <w:cnfStyle w:val="000000000000" w:firstRow="0" w:lastRow="0" w:firstColumn="0" w:lastColumn="0" w:oddVBand="0" w:evenVBand="0" w:oddHBand="0" w:evenHBand="0" w:firstRowFirstColumn="0" w:firstRowLastColumn="0" w:lastRowFirstColumn="0" w:lastRowLastColumn="0"/>
            </w:pPr>
            <w:r w:rsidRPr="002E7CB9">
              <w:rPr>
                <w:color w:val="000000"/>
              </w:rPr>
              <w:t>0.10</w:t>
            </w:r>
          </w:p>
        </w:tc>
      </w:tr>
    </w:tbl>
    <w:p w14:paraId="412E17B5" w14:textId="0C7DA9AB" w:rsidR="002E7CB9" w:rsidRDefault="002E7CB9" w:rsidP="00041194"/>
    <w:p w14:paraId="5AA53E50" w14:textId="53A4AEC6" w:rsidR="002E7CB9" w:rsidRDefault="002E7CB9" w:rsidP="002E7CB9">
      <w:pPr>
        <w:pStyle w:val="Caption"/>
      </w:pPr>
      <w:r>
        <w:t>Table 4: Unarmed or Low-Risk Status by Race</w:t>
      </w:r>
    </w:p>
    <w:tbl>
      <w:tblPr>
        <w:tblStyle w:val="GridTable4"/>
        <w:tblW w:w="9402" w:type="dxa"/>
        <w:tblLook w:val="04A0" w:firstRow="1" w:lastRow="0" w:firstColumn="1" w:lastColumn="0" w:noHBand="0" w:noVBand="1"/>
      </w:tblPr>
      <w:tblGrid>
        <w:gridCol w:w="1481"/>
        <w:gridCol w:w="2342"/>
        <w:gridCol w:w="1865"/>
        <w:gridCol w:w="1858"/>
        <w:gridCol w:w="1856"/>
      </w:tblGrid>
      <w:tr w:rsidR="002E7CB9" w14:paraId="1CFA3759" w14:textId="77777777" w:rsidTr="002E7CB9">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481" w:type="dxa"/>
          </w:tcPr>
          <w:p w14:paraId="0440F6D8" w14:textId="0B719CDE" w:rsidR="002E7CB9" w:rsidRDefault="002E7CB9" w:rsidP="002E7CB9">
            <w:r>
              <w:t>Race</w:t>
            </w:r>
          </w:p>
        </w:tc>
        <w:tc>
          <w:tcPr>
            <w:tcW w:w="2342" w:type="dxa"/>
          </w:tcPr>
          <w:p w14:paraId="4B4A7AF5" w14:textId="516F9419"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Rate</w:t>
            </w:r>
          </w:p>
        </w:tc>
        <w:tc>
          <w:tcPr>
            <w:tcW w:w="1865" w:type="dxa"/>
          </w:tcPr>
          <w:p w14:paraId="035BF594" w14:textId="40916610" w:rsidR="002E7CB9" w:rsidRDefault="002E7CB9" w:rsidP="002E7CB9">
            <w:pPr>
              <w:cnfStyle w:val="100000000000" w:firstRow="1" w:lastRow="0" w:firstColumn="0" w:lastColumn="0" w:oddVBand="0" w:evenVBand="0" w:oddHBand="0" w:evenHBand="0" w:firstRowFirstColumn="0" w:firstRowLastColumn="0" w:lastRowFirstColumn="0" w:lastRowLastColumn="0"/>
            </w:pPr>
            <w:r>
              <w:t>Unarmed</w:t>
            </w:r>
            <w:r w:rsidR="006456BE">
              <w:t xml:space="preserve"> </w:t>
            </w:r>
            <w:r w:rsidR="006456BE">
              <w:br/>
              <w:t>Total</w:t>
            </w:r>
          </w:p>
        </w:tc>
        <w:tc>
          <w:tcPr>
            <w:tcW w:w="1858" w:type="dxa"/>
          </w:tcPr>
          <w:p w14:paraId="775E8921" w14:textId="2A2D8EAD"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Rate</w:t>
            </w:r>
          </w:p>
        </w:tc>
        <w:tc>
          <w:tcPr>
            <w:tcW w:w="1856" w:type="dxa"/>
          </w:tcPr>
          <w:p w14:paraId="00BFBC97" w14:textId="6B3FEC30" w:rsidR="002E7CB9" w:rsidRDefault="002E7CB9" w:rsidP="002E7CB9">
            <w:pPr>
              <w:cnfStyle w:val="100000000000" w:firstRow="1" w:lastRow="0" w:firstColumn="0" w:lastColumn="0" w:oddVBand="0" w:evenVBand="0" w:oddHBand="0" w:evenHBand="0" w:firstRowFirstColumn="0" w:firstRowLastColumn="0" w:lastRowFirstColumn="0" w:lastRowLastColumn="0"/>
            </w:pPr>
            <w:r>
              <w:t xml:space="preserve">Low-Risk </w:t>
            </w:r>
            <w:r w:rsidR="006456BE">
              <w:t>Situation Total</w:t>
            </w:r>
          </w:p>
        </w:tc>
      </w:tr>
      <w:tr w:rsidR="002E7CB9" w14:paraId="78EC1F15"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462A1B83" w14:textId="00E4FFEE" w:rsidR="002E7CB9" w:rsidRDefault="002E7CB9" w:rsidP="002E7CB9">
            <w:r>
              <w:t>Black</w:t>
            </w:r>
          </w:p>
        </w:tc>
        <w:tc>
          <w:tcPr>
            <w:tcW w:w="2342" w:type="dxa"/>
          </w:tcPr>
          <w:p w14:paraId="586E43AF" w14:textId="6C3AF7B8" w:rsidR="002E7CB9" w:rsidRDefault="002E7CB9" w:rsidP="002E7CB9">
            <w:pPr>
              <w:cnfStyle w:val="000000100000" w:firstRow="0" w:lastRow="0" w:firstColumn="0" w:lastColumn="0" w:oddVBand="0" w:evenVBand="0" w:oddHBand="1" w:evenHBand="0" w:firstRowFirstColumn="0" w:firstRowLastColumn="0" w:lastRowFirstColumn="0" w:lastRowLastColumn="0"/>
            </w:pPr>
            <w:r>
              <w:t>9.50%</w:t>
            </w:r>
          </w:p>
        </w:tc>
        <w:tc>
          <w:tcPr>
            <w:tcW w:w="1865" w:type="dxa"/>
          </w:tcPr>
          <w:p w14:paraId="19277B46" w14:textId="2D3E38C5" w:rsidR="002E7CB9" w:rsidRDefault="002E7CB9" w:rsidP="002E7CB9">
            <w:pPr>
              <w:cnfStyle w:val="000000100000" w:firstRow="0" w:lastRow="0" w:firstColumn="0" w:lastColumn="0" w:oddVBand="0" w:evenVBand="0" w:oddHBand="1" w:evenHBand="0" w:firstRowFirstColumn="0" w:firstRowLastColumn="0" w:lastRowFirstColumn="0" w:lastRowLastColumn="0"/>
            </w:pPr>
            <w:r>
              <w:t>124</w:t>
            </w:r>
          </w:p>
        </w:tc>
        <w:tc>
          <w:tcPr>
            <w:tcW w:w="1858" w:type="dxa"/>
          </w:tcPr>
          <w:p w14:paraId="12506D81" w14:textId="7DF2C34C" w:rsidR="002E7CB9" w:rsidRDefault="002E7CB9" w:rsidP="002E7CB9">
            <w:pPr>
              <w:cnfStyle w:val="000000100000" w:firstRow="0" w:lastRow="0" w:firstColumn="0" w:lastColumn="0" w:oddVBand="0" w:evenVBand="0" w:oddHBand="1" w:evenHBand="0" w:firstRowFirstColumn="0" w:firstRowLastColumn="0" w:lastRowFirstColumn="0" w:lastRowLastColumn="0"/>
            </w:pPr>
            <w:r>
              <w:t>12.95%</w:t>
            </w:r>
          </w:p>
        </w:tc>
        <w:tc>
          <w:tcPr>
            <w:tcW w:w="1856" w:type="dxa"/>
          </w:tcPr>
          <w:p w14:paraId="32859D4B" w14:textId="653B454D" w:rsidR="002E7CB9" w:rsidRDefault="002E7CB9" w:rsidP="002E7CB9">
            <w:pPr>
              <w:cnfStyle w:val="000000100000" w:firstRow="0" w:lastRow="0" w:firstColumn="0" w:lastColumn="0" w:oddVBand="0" w:evenVBand="0" w:oddHBand="1" w:evenHBand="0" w:firstRowFirstColumn="0" w:firstRowLastColumn="0" w:lastRowFirstColumn="0" w:lastRowLastColumn="0"/>
            </w:pPr>
            <w:r>
              <w:t>169</w:t>
            </w:r>
          </w:p>
        </w:tc>
      </w:tr>
      <w:tr w:rsidR="002E7CB9" w14:paraId="1B94C6A6" w14:textId="77777777" w:rsidTr="002E7CB9">
        <w:trPr>
          <w:trHeight w:val="227"/>
        </w:trPr>
        <w:tc>
          <w:tcPr>
            <w:cnfStyle w:val="001000000000" w:firstRow="0" w:lastRow="0" w:firstColumn="1" w:lastColumn="0" w:oddVBand="0" w:evenVBand="0" w:oddHBand="0" w:evenHBand="0" w:firstRowFirstColumn="0" w:firstRowLastColumn="0" w:lastRowFirstColumn="0" w:lastRowLastColumn="0"/>
            <w:tcW w:w="1481" w:type="dxa"/>
          </w:tcPr>
          <w:p w14:paraId="15716F5A" w14:textId="4B7612C0" w:rsidR="002E7CB9" w:rsidRDefault="002E7CB9" w:rsidP="002E7CB9">
            <w:r>
              <w:t>Whites</w:t>
            </w:r>
          </w:p>
        </w:tc>
        <w:tc>
          <w:tcPr>
            <w:tcW w:w="2342" w:type="dxa"/>
          </w:tcPr>
          <w:p w14:paraId="3BC999F3" w14:textId="0BBA27F2" w:rsidR="002E7CB9" w:rsidRDefault="002E7CB9" w:rsidP="002E7CB9">
            <w:pPr>
              <w:cnfStyle w:val="000000000000" w:firstRow="0" w:lastRow="0" w:firstColumn="0" w:lastColumn="0" w:oddVBand="0" w:evenVBand="0" w:oddHBand="0" w:evenHBand="0" w:firstRowFirstColumn="0" w:firstRowLastColumn="0" w:lastRowFirstColumn="0" w:lastRowLastColumn="0"/>
            </w:pPr>
            <w:r>
              <w:t>5.83%</w:t>
            </w:r>
          </w:p>
        </w:tc>
        <w:tc>
          <w:tcPr>
            <w:tcW w:w="1865" w:type="dxa"/>
          </w:tcPr>
          <w:p w14:paraId="4023D957" w14:textId="7F9B1A5E" w:rsidR="002E7CB9" w:rsidRDefault="002E7CB9" w:rsidP="002E7CB9">
            <w:pPr>
              <w:cnfStyle w:val="000000000000" w:firstRow="0" w:lastRow="0" w:firstColumn="0" w:lastColumn="0" w:oddVBand="0" w:evenVBand="0" w:oddHBand="0" w:evenHBand="0" w:firstRowFirstColumn="0" w:firstRowLastColumn="0" w:lastRowFirstColumn="0" w:lastRowLastColumn="0"/>
            </w:pPr>
            <w:r>
              <w:t>146</w:t>
            </w:r>
          </w:p>
        </w:tc>
        <w:tc>
          <w:tcPr>
            <w:tcW w:w="1858" w:type="dxa"/>
          </w:tcPr>
          <w:p w14:paraId="077A691B" w14:textId="14341F2B" w:rsidR="002E7CB9" w:rsidRDefault="002E7CB9" w:rsidP="002E7CB9">
            <w:pPr>
              <w:cnfStyle w:val="000000000000" w:firstRow="0" w:lastRow="0" w:firstColumn="0" w:lastColumn="0" w:oddVBand="0" w:evenVBand="0" w:oddHBand="0" w:evenHBand="0" w:firstRowFirstColumn="0" w:firstRowLastColumn="0" w:lastRowFirstColumn="0" w:lastRowLastColumn="0"/>
            </w:pPr>
            <w:r>
              <w:t>10.11%</w:t>
            </w:r>
          </w:p>
        </w:tc>
        <w:tc>
          <w:tcPr>
            <w:tcW w:w="1856" w:type="dxa"/>
          </w:tcPr>
          <w:p w14:paraId="7E1ED9CA" w14:textId="2E9C61CE" w:rsidR="002E7CB9" w:rsidRDefault="002E7CB9" w:rsidP="002E7CB9">
            <w:pPr>
              <w:cnfStyle w:val="000000000000" w:firstRow="0" w:lastRow="0" w:firstColumn="0" w:lastColumn="0" w:oddVBand="0" w:evenVBand="0" w:oddHBand="0" w:evenHBand="0" w:firstRowFirstColumn="0" w:firstRowLastColumn="0" w:lastRowFirstColumn="0" w:lastRowLastColumn="0"/>
            </w:pPr>
            <w:r>
              <w:t>253</w:t>
            </w:r>
          </w:p>
        </w:tc>
      </w:tr>
      <w:tr w:rsidR="002E7CB9" w14:paraId="596DFFE1" w14:textId="77777777" w:rsidTr="002E7CB9">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481" w:type="dxa"/>
          </w:tcPr>
          <w:p w14:paraId="35959C62" w14:textId="6008FEAF" w:rsidR="002E7CB9" w:rsidRDefault="002E7CB9" w:rsidP="002E7CB9">
            <w:r>
              <w:t>Hispanics</w:t>
            </w:r>
          </w:p>
        </w:tc>
        <w:tc>
          <w:tcPr>
            <w:tcW w:w="2342" w:type="dxa"/>
          </w:tcPr>
          <w:p w14:paraId="479D24EB" w14:textId="541F7B0E" w:rsidR="002E7CB9" w:rsidRDefault="002E7CB9" w:rsidP="002E7CB9">
            <w:pPr>
              <w:cnfStyle w:val="000000100000" w:firstRow="0" w:lastRow="0" w:firstColumn="0" w:lastColumn="0" w:oddVBand="0" w:evenVBand="0" w:oddHBand="1" w:evenHBand="0" w:firstRowFirstColumn="0" w:firstRowLastColumn="0" w:lastRowFirstColumn="0" w:lastRowLastColumn="0"/>
            </w:pPr>
            <w:r>
              <w:t>6.92%</w:t>
            </w:r>
          </w:p>
        </w:tc>
        <w:tc>
          <w:tcPr>
            <w:tcW w:w="1865" w:type="dxa"/>
          </w:tcPr>
          <w:p w14:paraId="729E2E46" w14:textId="56C0AF1C" w:rsidR="002E7CB9" w:rsidRDefault="002E7CB9" w:rsidP="002E7CB9">
            <w:pPr>
              <w:cnfStyle w:val="000000100000" w:firstRow="0" w:lastRow="0" w:firstColumn="0" w:lastColumn="0" w:oddVBand="0" w:evenVBand="0" w:oddHBand="1" w:evenHBand="0" w:firstRowFirstColumn="0" w:firstRowLastColumn="0" w:lastRowFirstColumn="0" w:lastRowLastColumn="0"/>
            </w:pPr>
            <w:r>
              <w:t>63</w:t>
            </w:r>
          </w:p>
        </w:tc>
        <w:tc>
          <w:tcPr>
            <w:tcW w:w="1858" w:type="dxa"/>
          </w:tcPr>
          <w:p w14:paraId="060AAF1F" w14:textId="6BDB75B6" w:rsidR="002E7CB9" w:rsidRDefault="002E7CB9" w:rsidP="002E7CB9">
            <w:pPr>
              <w:cnfStyle w:val="000000100000" w:firstRow="0" w:lastRow="0" w:firstColumn="0" w:lastColumn="0" w:oddVBand="0" w:evenVBand="0" w:oddHBand="1" w:evenHBand="0" w:firstRowFirstColumn="0" w:firstRowLastColumn="0" w:lastRowFirstColumn="0" w:lastRowLastColumn="0"/>
            </w:pPr>
            <w:r>
              <w:t>11.32%</w:t>
            </w:r>
          </w:p>
        </w:tc>
        <w:tc>
          <w:tcPr>
            <w:tcW w:w="1856" w:type="dxa"/>
          </w:tcPr>
          <w:p w14:paraId="62ECEE0F" w14:textId="5D3FB0EA" w:rsidR="002E7CB9" w:rsidRDefault="002E7CB9" w:rsidP="002E7CB9">
            <w:pPr>
              <w:cnfStyle w:val="000000100000" w:firstRow="0" w:lastRow="0" w:firstColumn="0" w:lastColumn="0" w:oddVBand="0" w:evenVBand="0" w:oddHBand="1" w:evenHBand="0" w:firstRowFirstColumn="0" w:firstRowLastColumn="0" w:lastRowFirstColumn="0" w:lastRowLastColumn="0"/>
            </w:pPr>
            <w:r>
              <w:t>103</w:t>
            </w:r>
          </w:p>
        </w:tc>
      </w:tr>
    </w:tbl>
    <w:p w14:paraId="029695EA" w14:textId="77777777" w:rsidR="002E7CB9" w:rsidRPr="002E7CB9" w:rsidRDefault="002E7CB9" w:rsidP="002E7CB9"/>
    <w:p w14:paraId="737D9770" w14:textId="6F8D4EF4" w:rsidR="00D35ECE" w:rsidRDefault="00D35ECE" w:rsidP="00D35ECE">
      <w:pPr>
        <w:pStyle w:val="Heading1"/>
      </w:pPr>
      <w:r>
        <w:t xml:space="preserve">Section III: Limitations </w:t>
      </w:r>
    </w:p>
    <w:p w14:paraId="67305E3B" w14:textId="52E48866" w:rsidR="006456BE" w:rsidRDefault="006456BE" w:rsidP="006456BE">
      <w:r>
        <w:tab/>
        <w:t xml:space="preserve">Despite the best efforts and intentions, there are risks to the completeness and validity of these results.  For instance, all results derive from the Washington Post police shooting data and do not include other sources.  This design decision can cause missing or incorrect observations to </w:t>
      </w:r>
      <w:r>
        <w:lastRenderedPageBreak/>
        <w:t xml:space="preserve">feed into the analysis process.  It is also possible for others to dispute specific categorization decisions while grouping the free-form text of the ‘armed’ column.  A third </w:t>
      </w:r>
      <w:r w:rsidR="00943302">
        <w:t>central</w:t>
      </w:r>
      <w:r>
        <w:t xml:space="preserve"> area of potential risk comes from the project’s rapid timeline.  These quality threats could manifest as duplicate counts or erroneous filters.  There is also minimal consideration of outcomes statistical significance, due to a heightened focus on descriptive analysis during this phase.</w:t>
      </w:r>
    </w:p>
    <w:p w14:paraId="5A90A854" w14:textId="189D03B4" w:rsidR="008C0EAE" w:rsidRDefault="008C0EAE" w:rsidP="008C2FAB">
      <w:pPr>
        <w:pStyle w:val="Heading1"/>
      </w:pPr>
      <w:r>
        <w:t>Observations</w:t>
      </w:r>
      <w:r w:rsidR="008C2FAB">
        <w:t xml:space="preserve"> and Conclusions</w:t>
      </w:r>
    </w:p>
    <w:p w14:paraId="65677776" w14:textId="77777777" w:rsidR="008C0EAE" w:rsidRDefault="008C0EAE" w:rsidP="008C0EAE">
      <w:pPr>
        <w:ind w:firstLine="720"/>
      </w:pPr>
      <w:r>
        <w:t>Assuming all things equal, the number of deaths per race should be roughly equal to the racial distribution in America.  Based on that ratio, there should be more White deaths and fewer Blacks.  Despite a data skew existing, it is not significant enough to conclude that police are arbitrarily killing one group.  That is not to suggest that friction does not exist between civil rights and law enforcement, only that racism is not the root cause of police brutalities.  Another frequent position states that mental health is too blame for these untimely demises.  However, a more in-depth investigation into the deaths of victims experiencing a mental health crisis versus other sane fatalities concludes a minimal effect size.  While there are many valid reasons for communities to invest additional resources into mental health services, police brutality is not among them.</w:t>
      </w:r>
    </w:p>
    <w:p w14:paraId="2EFE09B5" w14:textId="5AA3C164" w:rsidR="00D35ECE" w:rsidRDefault="008C0EAE" w:rsidP="008C0EAE">
      <w:pPr>
        <w:ind w:firstLine="720"/>
      </w:pPr>
      <w:r>
        <w:t>Police brutality is an onion, and it stinks.  Ideally, no one should ever die, but that does not mean the officers are committing some light form of genocide.  Nor can one entirely blame any mental illnesses in these situations.  Peeling the next layer places the focus on weapons at the scene of the crime.  According to simple aggregation counts, nearly 72% of all victims possessed a gun or knife during their altercation.  There needs to be additional research into this cluster as it presents the highest safety risk and greatest reward.  Of the remaining people either unarmed or defending themselves with low-risk weapons (6-12%), these also warrant further thought.</w:t>
      </w:r>
    </w:p>
    <w:sdt>
      <w:sdtPr>
        <w:rPr>
          <w:b w:val="0"/>
        </w:rPr>
        <w:id w:val="1298111457"/>
        <w:docPartObj>
          <w:docPartGallery w:val="Bibliographies"/>
          <w:docPartUnique/>
        </w:docPartObj>
      </w:sdtPr>
      <w:sdtEndPr/>
      <w:sdtContent>
        <w:p w14:paraId="54BE5CB3" w14:textId="46E051D5" w:rsidR="008C2FAB" w:rsidRPr="008C2FAB" w:rsidRDefault="008C2FAB">
          <w:pPr>
            <w:pStyle w:val="Heading1"/>
            <w:rPr>
              <w:b w:val="0"/>
              <w:bCs/>
            </w:rPr>
          </w:pPr>
          <w:r w:rsidRPr="008C2FAB">
            <w:rPr>
              <w:b w:val="0"/>
              <w:bCs/>
            </w:rPr>
            <w:t>References</w:t>
          </w:r>
        </w:p>
        <w:sdt>
          <w:sdtPr>
            <w:id w:val="-573587230"/>
            <w:bibliography/>
          </w:sdtPr>
          <w:sdtEndPr/>
          <w:sdtContent>
            <w:p w14:paraId="56FB5548" w14:textId="77777777" w:rsidR="008C2FAB" w:rsidRDefault="008C2FAB" w:rsidP="008C2FAB">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030387FF" w14:textId="360A99E2" w:rsidR="008C2FAB" w:rsidRDefault="008C2FAB" w:rsidP="008C2FAB">
              <w:pPr>
                <w:pStyle w:val="Bibliography"/>
                <w:ind w:left="720" w:hanging="720"/>
                <w:rPr>
                  <w:noProof/>
                </w:rPr>
              </w:pPr>
              <w:r>
                <w:rPr>
                  <w:noProof/>
                </w:rPr>
                <w:t xml:space="preserve">BLM. (2020, May 30th). </w:t>
              </w:r>
              <w:r>
                <w:rPr>
                  <w:i/>
                  <w:iCs/>
                  <w:noProof/>
                </w:rPr>
                <w:t>#DefundThePolice</w:t>
              </w:r>
              <w:r>
                <w:rPr>
                  <w:noProof/>
                </w:rPr>
                <w:t>. Retrieved from Blac Lives Matter: https://blacklivesmatter.com/defundthepolice/</w:t>
              </w:r>
            </w:p>
            <w:p w14:paraId="3984F723" w14:textId="77777777" w:rsidR="008C2FAB" w:rsidRDefault="008C2FAB" w:rsidP="008C2FAB">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3D09C7B8" w14:textId="4FBE3842" w:rsidR="008C2FAB" w:rsidRDefault="008C2FAB" w:rsidP="008C2FAB">
              <w:pPr>
                <w:pStyle w:val="Bibliography"/>
                <w:ind w:left="720" w:hanging="720"/>
                <w:rPr>
                  <w:noProof/>
                </w:rPr>
              </w:pPr>
              <w:r>
                <w:rPr>
                  <w:noProof/>
                </w:rPr>
                <w:t xml:space="preserve">Crary, D., &amp; Morrison, A. (2020, June 11th). </w:t>
              </w:r>
              <w:r>
                <w:rPr>
                  <w:i/>
                  <w:iCs/>
                  <w:noProof/>
                </w:rPr>
                <w:t>Black Lives Matter goes mainstream after Floyd's death</w:t>
              </w:r>
              <w:r>
                <w:rPr>
                  <w:noProof/>
                </w:rPr>
                <w:t>. Retrieved from AP News: https://apnews.com/347ceac3ea08978358c8c05a0d9ec37c</w:t>
              </w:r>
            </w:p>
            <w:p w14:paraId="3B3FABB2" w14:textId="4F812EEA" w:rsidR="008C2FAB" w:rsidRDefault="008C2FAB" w:rsidP="008C2FAB">
              <w:pPr>
                <w:pStyle w:val="Bibliography"/>
                <w:ind w:left="720" w:hanging="720"/>
                <w:rPr>
                  <w:noProof/>
                </w:rPr>
              </w:pPr>
              <w:r>
                <w:rPr>
                  <w:noProof/>
                </w:rPr>
                <w:t xml:space="preserve">KBP. (2020, August 11th). </w:t>
              </w:r>
              <w:r>
                <w:rPr>
                  <w:i/>
                  <w:iCs/>
                  <w:noProof/>
                </w:rPr>
                <w:t>Police shootings database</w:t>
              </w:r>
              <w:r>
                <w:rPr>
                  <w:noProof/>
                </w:rPr>
                <w:t>. Retrieved from Killed By Police: https://killedbypolice.net/</w:t>
              </w:r>
            </w:p>
            <w:p w14:paraId="14AA9AF1" w14:textId="77777777" w:rsidR="008C2FAB" w:rsidRDefault="008C2FAB" w:rsidP="008C2FAB">
              <w:pPr>
                <w:pStyle w:val="Bibliography"/>
                <w:ind w:left="720" w:hanging="720"/>
                <w:rPr>
                  <w:noProof/>
                </w:rPr>
              </w:pPr>
              <w:r>
                <w:rPr>
                  <w:noProof/>
                </w:rPr>
                <w:t xml:space="preserve">Lamb, H., Weinberger, L., &amp; DeCuir, W. (2014). The police and mental health. </w:t>
              </w:r>
              <w:r>
                <w:rPr>
                  <w:i/>
                  <w:iCs/>
                  <w:noProof/>
                </w:rPr>
                <w:t>Psychiatric Services, 53</w:t>
              </w:r>
              <w:r>
                <w:rPr>
                  <w:noProof/>
                </w:rPr>
                <w:t>(10), 1266-1271. doi:https://doi.org/10.1176/appi.ps.53.10.1266</w:t>
              </w:r>
            </w:p>
            <w:p w14:paraId="7006C9C4" w14:textId="66C23126" w:rsidR="008C2FAB" w:rsidRDefault="008C2FAB" w:rsidP="008C2FAB">
              <w:pPr>
                <w:pStyle w:val="Bibliography"/>
                <w:ind w:left="720" w:hanging="720"/>
                <w:rPr>
                  <w:noProof/>
                </w:rPr>
              </w:pPr>
              <w:r>
                <w:rPr>
                  <w:noProof/>
                </w:rPr>
                <w:t xml:space="preserve">McCaskill, N. (2020, July 16th).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4F776993" w14:textId="395D8C58" w:rsidR="008C2FAB" w:rsidRDefault="008C2FAB" w:rsidP="008C2FAB">
              <w:pPr>
                <w:pStyle w:val="Bibliography"/>
                <w:ind w:left="720" w:hanging="720"/>
                <w:rPr>
                  <w:noProof/>
                </w:rPr>
              </w:pPr>
              <w:r>
                <w:rPr>
                  <w:noProof/>
                </w:rPr>
                <w:t xml:space="preserve">Nix, J., Campbell, B., Byers, E., &amp; Alpert, G. (2017, February 8th). A bird's eye view of civilians killed by police in 2015. </w:t>
              </w:r>
              <w:r>
                <w:rPr>
                  <w:i/>
                  <w:iCs/>
                  <w:noProof/>
                </w:rPr>
                <w:t>Criminology and public policy, 16</w:t>
              </w:r>
              <w:r>
                <w:rPr>
                  <w:noProof/>
                </w:rPr>
                <w:t>(1), 309-340. doi:https://doi-org.proxy1.ncu.edu/10.1111/1745-9133.12269</w:t>
              </w:r>
            </w:p>
            <w:p w14:paraId="331A1288" w14:textId="54DDE49C" w:rsidR="008C2FAB" w:rsidRDefault="008C2FAB" w:rsidP="008C2FAB">
              <w:pPr>
                <w:pStyle w:val="Bibliography"/>
                <w:ind w:left="720" w:hanging="720"/>
                <w:rPr>
                  <w:noProof/>
                </w:rPr>
              </w:pPr>
              <w:r>
                <w:rPr>
                  <w:noProof/>
                </w:rPr>
                <w:lastRenderedPageBreak/>
                <w:t xml:space="preserve">Washington Post. (2020, August 1st). </w:t>
              </w:r>
              <w:r>
                <w:rPr>
                  <w:i/>
                  <w:iCs/>
                  <w:noProof/>
                </w:rPr>
                <w:t>Data police shootings</w:t>
              </w:r>
              <w:r>
                <w:rPr>
                  <w:noProof/>
                </w:rPr>
                <w:t>. Retrieved from GitHub: https://github.com/washingtonpost/data-police-shootings/commit/2ea87a4ed725b164be1489878e20827fb5944d1b</w:t>
              </w:r>
            </w:p>
            <w:p w14:paraId="25F711FA" w14:textId="548D2C10" w:rsidR="008C2FAB" w:rsidRDefault="008C2FAB" w:rsidP="008C2FAB">
              <w:r>
                <w:rPr>
                  <w:b/>
                  <w:bCs/>
                  <w:noProof/>
                </w:rPr>
                <w:fldChar w:fldCharType="end"/>
              </w:r>
            </w:p>
          </w:sdtContent>
        </w:sdt>
      </w:sdtContent>
    </w:sdt>
    <w:p w14:paraId="573F1196" w14:textId="77777777" w:rsidR="008C2FAB" w:rsidRPr="00D35ECE" w:rsidRDefault="008C2FAB" w:rsidP="008C2FAB"/>
    <w:sectPr w:rsidR="008C2FAB" w:rsidRPr="00D35ECE" w:rsidSect="008770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6B2A5" w14:textId="77777777" w:rsidR="00612505" w:rsidRDefault="00612505" w:rsidP="0082223F">
      <w:pPr>
        <w:spacing w:line="240" w:lineRule="auto"/>
      </w:pPr>
      <w:r>
        <w:separator/>
      </w:r>
    </w:p>
  </w:endnote>
  <w:endnote w:type="continuationSeparator" w:id="0">
    <w:p w14:paraId="0A422E79" w14:textId="77777777" w:rsidR="00612505" w:rsidRDefault="0061250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78DFC" w14:textId="77777777" w:rsidR="005366D9" w:rsidRDefault="005366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33E88" w14:textId="77777777" w:rsidR="005366D9" w:rsidRDefault="00536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ED2D9" w14:textId="77777777" w:rsidR="005366D9" w:rsidRDefault="00536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8BED9" w14:textId="77777777" w:rsidR="00612505" w:rsidRDefault="00612505" w:rsidP="0082223F">
      <w:pPr>
        <w:spacing w:line="240" w:lineRule="auto"/>
      </w:pPr>
      <w:r>
        <w:separator/>
      </w:r>
    </w:p>
  </w:footnote>
  <w:footnote w:type="continuationSeparator" w:id="0">
    <w:p w14:paraId="4B629955" w14:textId="77777777" w:rsidR="00612505" w:rsidRDefault="0061250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57650" w14:textId="77777777" w:rsidR="005366D9" w:rsidRDefault="00536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73901522"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Statistics for Techn</w:t>
    </w:r>
    <w:r w:rsidR="005366D9">
      <w:t>o</w:t>
    </w:r>
    <w:r w:rsidR="00D0165E">
      <w:t>logy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B370A" w14:textId="77777777" w:rsidR="005366D9" w:rsidRDefault="005366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1194"/>
    <w:rsid w:val="000C2AB4"/>
    <w:rsid w:val="00183597"/>
    <w:rsid w:val="001B27C4"/>
    <w:rsid w:val="0020056C"/>
    <w:rsid w:val="00247419"/>
    <w:rsid w:val="002806B7"/>
    <w:rsid w:val="002A0E47"/>
    <w:rsid w:val="002B35B4"/>
    <w:rsid w:val="002D6831"/>
    <w:rsid w:val="002E7CB9"/>
    <w:rsid w:val="003D130B"/>
    <w:rsid w:val="003D24CA"/>
    <w:rsid w:val="003D28E2"/>
    <w:rsid w:val="003D7001"/>
    <w:rsid w:val="003F4714"/>
    <w:rsid w:val="00401D65"/>
    <w:rsid w:val="00416971"/>
    <w:rsid w:val="004223E8"/>
    <w:rsid w:val="00451C48"/>
    <w:rsid w:val="004A784B"/>
    <w:rsid w:val="005230C9"/>
    <w:rsid w:val="005347EB"/>
    <w:rsid w:val="005366D9"/>
    <w:rsid w:val="00582AC7"/>
    <w:rsid w:val="00587429"/>
    <w:rsid w:val="005B7079"/>
    <w:rsid w:val="00612505"/>
    <w:rsid w:val="006456BE"/>
    <w:rsid w:val="00647DEF"/>
    <w:rsid w:val="006D793E"/>
    <w:rsid w:val="0072317D"/>
    <w:rsid w:val="0073677D"/>
    <w:rsid w:val="00807038"/>
    <w:rsid w:val="0082223F"/>
    <w:rsid w:val="00853E97"/>
    <w:rsid w:val="00877007"/>
    <w:rsid w:val="0089649A"/>
    <w:rsid w:val="008B14FF"/>
    <w:rsid w:val="008B5129"/>
    <w:rsid w:val="008C0EAE"/>
    <w:rsid w:val="008C2FAB"/>
    <w:rsid w:val="008C5E44"/>
    <w:rsid w:val="008D5100"/>
    <w:rsid w:val="009377A6"/>
    <w:rsid w:val="00943302"/>
    <w:rsid w:val="009A757D"/>
    <w:rsid w:val="00AD1773"/>
    <w:rsid w:val="00B13ADF"/>
    <w:rsid w:val="00B22828"/>
    <w:rsid w:val="00B52D8F"/>
    <w:rsid w:val="00C34DF8"/>
    <w:rsid w:val="00C54DC8"/>
    <w:rsid w:val="00C73692"/>
    <w:rsid w:val="00C93BB7"/>
    <w:rsid w:val="00CB25E9"/>
    <w:rsid w:val="00D0165E"/>
    <w:rsid w:val="00D079D9"/>
    <w:rsid w:val="00D35ECE"/>
    <w:rsid w:val="00D66EBC"/>
    <w:rsid w:val="00D75C7B"/>
    <w:rsid w:val="00D85C7B"/>
    <w:rsid w:val="00DE2224"/>
    <w:rsid w:val="00E009BF"/>
    <w:rsid w:val="00E234E9"/>
    <w:rsid w:val="00E32E64"/>
    <w:rsid w:val="00EA5E47"/>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D66E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53E9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D28E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8C2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4878">
      <w:bodyDiv w:val="1"/>
      <w:marLeft w:val="0"/>
      <w:marRight w:val="0"/>
      <w:marTop w:val="0"/>
      <w:marBottom w:val="0"/>
      <w:divBdr>
        <w:top w:val="none" w:sz="0" w:space="0" w:color="auto"/>
        <w:left w:val="none" w:sz="0" w:space="0" w:color="auto"/>
        <w:bottom w:val="none" w:sz="0" w:space="0" w:color="auto"/>
        <w:right w:val="none" w:sz="0" w:space="0" w:color="auto"/>
      </w:divBdr>
    </w:div>
    <w:div w:id="309941383">
      <w:bodyDiv w:val="1"/>
      <w:marLeft w:val="0"/>
      <w:marRight w:val="0"/>
      <w:marTop w:val="0"/>
      <w:marBottom w:val="0"/>
      <w:divBdr>
        <w:top w:val="none" w:sz="0" w:space="0" w:color="auto"/>
        <w:left w:val="none" w:sz="0" w:space="0" w:color="auto"/>
        <w:bottom w:val="none" w:sz="0" w:space="0" w:color="auto"/>
        <w:right w:val="none" w:sz="0" w:space="0" w:color="auto"/>
      </w:divBdr>
    </w:div>
    <w:div w:id="768352530">
      <w:bodyDiv w:val="1"/>
      <w:marLeft w:val="0"/>
      <w:marRight w:val="0"/>
      <w:marTop w:val="0"/>
      <w:marBottom w:val="0"/>
      <w:divBdr>
        <w:top w:val="none" w:sz="0" w:space="0" w:color="auto"/>
        <w:left w:val="none" w:sz="0" w:space="0" w:color="auto"/>
        <w:bottom w:val="none" w:sz="0" w:space="0" w:color="auto"/>
        <w:right w:val="none" w:sz="0" w:space="0" w:color="auto"/>
      </w:divBdr>
    </w:div>
    <w:div w:id="862322941">
      <w:bodyDiv w:val="1"/>
      <w:marLeft w:val="0"/>
      <w:marRight w:val="0"/>
      <w:marTop w:val="0"/>
      <w:marBottom w:val="0"/>
      <w:divBdr>
        <w:top w:val="none" w:sz="0" w:space="0" w:color="auto"/>
        <w:left w:val="none" w:sz="0" w:space="0" w:color="auto"/>
        <w:bottom w:val="none" w:sz="0" w:space="0" w:color="auto"/>
        <w:right w:val="none" w:sz="0" w:space="0" w:color="auto"/>
      </w:divBdr>
    </w:div>
    <w:div w:id="1052074485">
      <w:bodyDiv w:val="1"/>
      <w:marLeft w:val="0"/>
      <w:marRight w:val="0"/>
      <w:marTop w:val="0"/>
      <w:marBottom w:val="0"/>
      <w:divBdr>
        <w:top w:val="none" w:sz="0" w:space="0" w:color="auto"/>
        <w:left w:val="none" w:sz="0" w:space="0" w:color="auto"/>
        <w:bottom w:val="none" w:sz="0" w:space="0" w:color="auto"/>
        <w:right w:val="none" w:sz="0" w:space="0" w:color="auto"/>
      </w:divBdr>
    </w:div>
    <w:div w:id="1077359075">
      <w:bodyDiv w:val="1"/>
      <w:marLeft w:val="0"/>
      <w:marRight w:val="0"/>
      <w:marTop w:val="0"/>
      <w:marBottom w:val="0"/>
      <w:divBdr>
        <w:top w:val="none" w:sz="0" w:space="0" w:color="auto"/>
        <w:left w:val="none" w:sz="0" w:space="0" w:color="auto"/>
        <w:bottom w:val="none" w:sz="0" w:space="0" w:color="auto"/>
        <w:right w:val="none" w:sz="0" w:space="0" w:color="auto"/>
      </w:divBdr>
    </w:div>
    <w:div w:id="1212885370">
      <w:bodyDiv w:val="1"/>
      <w:marLeft w:val="0"/>
      <w:marRight w:val="0"/>
      <w:marTop w:val="0"/>
      <w:marBottom w:val="0"/>
      <w:divBdr>
        <w:top w:val="none" w:sz="0" w:space="0" w:color="auto"/>
        <w:left w:val="none" w:sz="0" w:space="0" w:color="auto"/>
        <w:bottom w:val="none" w:sz="0" w:space="0" w:color="auto"/>
        <w:right w:val="none" w:sz="0" w:space="0" w:color="auto"/>
      </w:divBdr>
    </w:div>
    <w:div w:id="1351838248">
      <w:bodyDiv w:val="1"/>
      <w:marLeft w:val="0"/>
      <w:marRight w:val="0"/>
      <w:marTop w:val="0"/>
      <w:marBottom w:val="0"/>
      <w:divBdr>
        <w:top w:val="none" w:sz="0" w:space="0" w:color="auto"/>
        <w:left w:val="none" w:sz="0" w:space="0" w:color="auto"/>
        <w:bottom w:val="none" w:sz="0" w:space="0" w:color="auto"/>
        <w:right w:val="none" w:sz="0" w:space="0" w:color="auto"/>
      </w:divBdr>
    </w:div>
    <w:div w:id="1917397543">
      <w:bodyDiv w:val="1"/>
      <w:marLeft w:val="0"/>
      <w:marRight w:val="0"/>
      <w:marTop w:val="0"/>
      <w:marBottom w:val="0"/>
      <w:divBdr>
        <w:top w:val="none" w:sz="0" w:space="0" w:color="auto"/>
        <w:left w:val="none" w:sz="0" w:space="0" w:color="auto"/>
        <w:bottom w:val="none" w:sz="0" w:space="0" w:color="auto"/>
        <w:right w:val="none" w:sz="0" w:space="0" w:color="auto"/>
      </w:divBdr>
    </w:div>
    <w:div w:id="20456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3</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6</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4</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9</b:RefOrder>
  </b:Source>
</b:Sources>
</file>

<file path=customXml/itemProps1.xml><?xml version="1.0" encoding="utf-8"?>
<ds:datastoreItem xmlns:ds="http://schemas.openxmlformats.org/officeDocument/2006/customXml" ds:itemID="{2C50BAC7-527C-4466-9350-00496152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9</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53</cp:revision>
  <dcterms:created xsi:type="dcterms:W3CDTF">2019-05-19T17:38:00Z</dcterms:created>
  <dcterms:modified xsi:type="dcterms:W3CDTF">2020-09-06T21:45:00Z</dcterms:modified>
</cp:coreProperties>
</file>