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15B2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D12064A"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r w:rsidR="005B3E96">
        <w:t>undermine</w:t>
      </w:r>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End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End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both of these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68A2F33" w14:textId="77777777" w:rsidR="0027561D" w:rsidRDefault="0027561D" w:rsidP="0027561D">
      <w:pPr>
        <w:pStyle w:val="Caption"/>
      </w:pPr>
      <w:r>
        <w:t>Figure 3: Black Victims by State</w:t>
      </w:r>
    </w:p>
    <w:p w14:paraId="6EA8A336" w14:textId="2EAADC8E" w:rsidR="0027561D" w:rsidRDefault="0027561D" w:rsidP="0027561D">
      <w:pPr>
        <w:jc w:val="center"/>
        <w:rPr>
          <w:noProof/>
        </w:rPr>
      </w:pPr>
      <w:r>
        <w:rPr>
          <w:noProof/>
        </w:rPr>
        <w:drawing>
          <wp:inline distT="0" distB="0" distL="0" distR="0" wp14:anchorId="053BCBC5" wp14:editId="62050A06">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765E70A0" wp14:editId="2013B246">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3219727" w14:textId="4071A214"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w:t>
      </w:r>
      <w:r w:rsidR="0027561D">
        <w:t xml:space="preserve">  </w:t>
      </w:r>
      <w:r w:rsidR="00BF19A0">
        <w:t xml:space="preserve">These pivots suggest that the </w:t>
      </w:r>
      <w:r w:rsidR="00B9571F">
        <w:t>deaths</w:t>
      </w:r>
      <w:r w:rsidR="00BF19A0">
        <w:t xml:space="preserve"> </w:t>
      </w:r>
      <w:r w:rsidR="00B9571F">
        <w:t>are</w:t>
      </w:r>
      <w:r w:rsidR="00BF19A0">
        <w:t xml:space="preserve"> not racially motivated, </w:t>
      </w:r>
      <w:r w:rsidR="0027561D">
        <w:t>and instead, a function of the locale-specific population make-up.  If that was not the case, then more pronounced outliers should exist with substantially higher victim rates relative to the group’s population.</w:t>
      </w:r>
      <w:r w:rsidR="0093453C">
        <w:t xml:space="preserve">  This outcome also hints that some other motivator outside of </w:t>
      </w:r>
      <w:r w:rsidR="00FF219A">
        <w:t xml:space="preserve">the </w:t>
      </w:r>
      <w:r w:rsidR="0093453C" w:rsidRPr="00FF219A">
        <w:rPr>
          <w:i/>
          <w:iCs/>
        </w:rPr>
        <w:t>race</w:t>
      </w:r>
      <w:r w:rsidR="0093453C">
        <w:t xml:space="preserve"> is likely to exist.</w:t>
      </w:r>
    </w:p>
    <w:p w14:paraId="6263B068" w14:textId="32DE8101" w:rsidR="00FF219A" w:rsidRDefault="00FF219A" w:rsidP="00FF219A">
      <w:pPr>
        <w:pStyle w:val="Heading2"/>
      </w:pPr>
      <w:r>
        <w:t>Potential Motivators</w:t>
      </w:r>
    </w:p>
    <w:p w14:paraId="1D07C5E7" w14:textId="05C41562" w:rsidR="00FF219A" w:rsidRDefault="00FF219A" w:rsidP="00FF219A">
      <w:r>
        <w:tab/>
        <w:t>There are fifty-three million people who have an interaction with the police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rsidR="00B63943">
        <w:t>Annually, 167 (+/- 6) officers and 66 (+/- 16) unarmed civilians die during these altercations</w:t>
      </w:r>
      <w:sdt>
        <w:sdtPr>
          <w:id w:val="459935875"/>
          <w:citation/>
        </w:sdtPr>
        <w:sdtEndPr/>
        <w:sdtContent>
          <w:r w:rsidR="00B63943">
            <w:fldChar w:fldCharType="begin"/>
          </w:r>
          <w:r w:rsidR="00B63943">
            <w:instrText xml:space="preserve"> CITATION NLE19 \l 1033 </w:instrText>
          </w:r>
          <w:r w:rsidR="00B63943">
            <w:fldChar w:fldCharType="separate"/>
          </w:r>
          <w:r w:rsidR="00B63943">
            <w:rPr>
              <w:noProof/>
            </w:rPr>
            <w:t xml:space="preserve"> (NLEOMF, 2019)</w:t>
          </w:r>
          <w:r w:rsidR="00B63943">
            <w:fldChar w:fldCharType="end"/>
          </w:r>
        </w:sdtContent>
      </w:sdt>
      <w:r w:rsidR="00B63943">
        <w:t xml:space="preserve">.  These </w:t>
      </w:r>
      <w:r>
        <w:t xml:space="preserve">situations </w:t>
      </w:r>
      <w:r w:rsidR="00B63943">
        <w:t xml:space="preserve">have to introduce </w:t>
      </w:r>
      <w:r>
        <w:t xml:space="preserve">a wide range of emotions and hostility, which </w:t>
      </w:r>
      <w:r w:rsidR="00B63943">
        <w:t>creates challenges while</w:t>
      </w:r>
      <w:r>
        <w:t xml:space="preserve"> balancing the safety of officers and civilians.</w:t>
      </w:r>
      <w:r w:rsidR="00B63943">
        <w:t xml:space="preserve">  NCU-C should invest additional resources into exploring solutions to reduce this friction.  For instance, of the incidents that result in death, 76% (3853 of 4937) involve the suspect having a weapon </w:t>
      </w:r>
      <w:r w:rsidR="00B63943">
        <w:lastRenderedPageBreak/>
        <w:t>(see Figure 4).  Training and procedures could exist to address these scenarios in a manner that improves the probability of a peaceful resolution.  While it does not address all of the concerns, this is a significant source of police brutality.</w:t>
      </w:r>
      <w:r w:rsidR="00336044">
        <w:t xml:space="preserve">  Specifically, the unarmed and unspecified groups need further consideration to reduce the loss of life for these subgroups.  However, it might be impossible to eliminate due to this group representing 0.00002% (119 of 53 million) interactions</w:t>
      </w:r>
      <w:r w:rsidR="001626F5">
        <w:t xml:space="preserve"> per year</w:t>
      </w:r>
      <w:r w:rsidR="00336044">
        <w:t>.</w:t>
      </w:r>
    </w:p>
    <w:p w14:paraId="088E55D5" w14:textId="480A50D5" w:rsidR="00B63943" w:rsidRDefault="00B63943" w:rsidP="00B63943">
      <w:pPr>
        <w:pStyle w:val="Caption"/>
      </w:pPr>
      <w:r>
        <w:t>Figure 4: Suspect Armed Category</w:t>
      </w:r>
      <w:r w:rsidR="00336044">
        <w:t xml:space="preserve"> 2015-2019 Total</w:t>
      </w:r>
    </w:p>
    <w:p w14:paraId="6C0142B8" w14:textId="258F0F4E" w:rsidR="00FF219A" w:rsidRDefault="00B63943" w:rsidP="00B63943">
      <w:pPr>
        <w:jc w:val="center"/>
      </w:pPr>
      <w:r>
        <w:rPr>
          <w:noProof/>
        </w:rPr>
        <w:drawing>
          <wp:inline distT="0" distB="0" distL="0" distR="0" wp14:anchorId="5973011B" wp14:editId="5EDB634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C4AEB1D" w14:textId="43AA41D2" w:rsidR="001F67BA" w:rsidRDefault="001F67BA" w:rsidP="001F67BA">
      <w:pPr>
        <w:pStyle w:val="Heading1"/>
      </w:pPr>
      <w:r>
        <w:t>Research Limitations and Challenges</w:t>
      </w:r>
    </w:p>
    <w:p w14:paraId="75ABF232" w14:textId="44D006D4" w:rsidR="009D2096" w:rsidRDefault="00AF6006" w:rsidP="009D2096">
      <w:r>
        <w:tab/>
        <w:t>The four major threats to research projects are internal, external, statistical conclusion, and construct validity</w:t>
      </w:r>
      <w:sdt>
        <w:sdtPr>
          <w:id w:val="2071925324"/>
          <w:citation/>
        </w:sdtPr>
        <w:sdtEnd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7BA2C728" w14:textId="422E9A32" w:rsidR="00666C3A" w:rsidRDefault="00666C3A" w:rsidP="00666C3A">
      <w:pPr>
        <w:pStyle w:val="Heading2"/>
      </w:pPr>
      <w:r>
        <w:t>Internal Threats</w:t>
      </w:r>
    </w:p>
    <w:p w14:paraId="10DE4762" w14:textId="15370904" w:rsidR="00666C3A" w:rsidRDefault="00666C3A" w:rsidP="00666C3A">
      <w:r>
        <w:tab/>
      </w:r>
      <w:r w:rsidR="00C20EEA">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EndPr/>
        <w:sdtContent>
          <w:r w:rsidR="00C20EEA">
            <w:fldChar w:fldCharType="begin"/>
          </w:r>
          <w:r w:rsidR="00C20EEA">
            <w:instrText xml:space="preserve"> CITATION Nix17 \l 1033 </w:instrText>
          </w:r>
          <w:r w:rsidR="00C20EEA">
            <w:fldChar w:fldCharType="separate"/>
          </w:r>
          <w:r w:rsidR="00C20EEA">
            <w:rPr>
              <w:noProof/>
            </w:rPr>
            <w:t xml:space="preserve"> (Nix, Campbell, Byers, &amp; Alpert, 2017)</w:t>
          </w:r>
          <w:r w:rsidR="00C20EEA">
            <w:fldChar w:fldCharType="end"/>
          </w:r>
        </w:sdtContent>
      </w:sdt>
      <w:r w:rsidR="00C20EEA">
        <w:t xml:space="preserve">.  Minor forms of selection bias might </w:t>
      </w:r>
      <w:r w:rsidR="00C20EEA">
        <w:lastRenderedPageBreak/>
        <w:t xml:space="preserve">also exist due to the filtration rules of the data set.  </w:t>
      </w:r>
      <w:r w:rsidR="008357EB">
        <w:t>Expressly</w:t>
      </w:r>
      <w:r w:rsidR="00C20EEA">
        <w:t xml:space="preserve">, </w:t>
      </w:r>
      <w:r w:rsidR="008357EB">
        <w:t xml:space="preserve">the analysis only includes </w:t>
      </w:r>
      <w:r w:rsidR="00C20EEA">
        <w:t xml:space="preserve">records that provide </w:t>
      </w:r>
      <w:r w:rsidR="008357EB">
        <w:t xml:space="preserve">the </w:t>
      </w:r>
      <w:r w:rsidR="00C20EEA">
        <w:t xml:space="preserve">racial demographic </w:t>
      </w:r>
      <w:r w:rsidR="008357EB">
        <w:t>and location of properties</w:t>
      </w:r>
      <w:r w:rsidR="00C20EEA">
        <w:t>.</w:t>
      </w:r>
    </w:p>
    <w:p w14:paraId="5A2D5CE9" w14:textId="65E8569A" w:rsidR="00C20EEA" w:rsidRDefault="00C20EEA" w:rsidP="00C20EEA">
      <w:pPr>
        <w:pStyle w:val="Heading2"/>
      </w:pPr>
      <w:r>
        <w:t>External Threats</w:t>
      </w:r>
    </w:p>
    <w:p w14:paraId="1D4F41D1" w14:textId="0590B2AE" w:rsidR="00C20EEA" w:rsidRDefault="00C20EEA" w:rsidP="00C20EEA">
      <w:r>
        <w:tab/>
      </w:r>
      <w:r w:rsidR="00045D0E">
        <w:t xml:space="preserve">An external threat comes from a variable that is outside of the researcher’s control.  </w:t>
      </w:r>
      <w:r>
        <w:t>The government does not require law enforcement agencies to report incidents that result in police brutality.</w:t>
      </w:r>
      <w:r w:rsidR="00B4018A">
        <w:t xml:space="preserve">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w:t>
      </w:r>
      <w:r w:rsidR="007E2589">
        <w:t xml:space="preserve"> (e.g., wrong </w:t>
      </w:r>
      <w:r w:rsidR="007E2589" w:rsidRPr="005559FD">
        <w:rPr>
          <w:i/>
          <w:iCs/>
        </w:rPr>
        <w:t>race</w:t>
      </w:r>
      <w:r w:rsidR="007E2589">
        <w:t>)</w:t>
      </w:r>
      <w:r w:rsidR="00B4018A">
        <w:t>.</w:t>
      </w:r>
      <w:r w:rsidR="0081256F">
        <w:t xml:space="preserve">  Another class of risks comes from the data set being immature and starting in 2015.  Ideally, having more longitudinal data </w:t>
      </w:r>
      <w:r w:rsidR="006D00EA">
        <w:t>to understand trends or alternative sources for cross-validation would improve the validity of results</w:t>
      </w:r>
      <w:r w:rsidR="0081256F">
        <w:t>.</w:t>
      </w:r>
    </w:p>
    <w:p w14:paraId="35819015" w14:textId="38BC456D" w:rsidR="00045D0E" w:rsidRDefault="00045D0E" w:rsidP="00045D0E">
      <w:pPr>
        <w:pStyle w:val="Heading2"/>
      </w:pPr>
      <w:r>
        <w:t>Statistical Conclusion</w:t>
      </w:r>
    </w:p>
    <w:p w14:paraId="4F0D5F04" w14:textId="77777777" w:rsidR="00E5789C" w:rsidRDefault="00E5789C" w:rsidP="00E5789C">
      <w:pPr>
        <w:pStyle w:val="Caption"/>
      </w:pPr>
      <w:r>
        <w:t>Figure 5: Victims by Race</w:t>
      </w:r>
    </w:p>
    <w:p w14:paraId="29C03DBE" w14:textId="69FDD671" w:rsidR="00E5789C" w:rsidRPr="00E5789C" w:rsidRDefault="006C49B8" w:rsidP="00E5789C">
      <w:pPr>
        <w:jc w:val="center"/>
      </w:pPr>
      <w:r>
        <w:rPr>
          <w:noProof/>
        </w:rPr>
        <w:drawing>
          <wp:inline distT="0" distB="0" distL="0" distR="0" wp14:anchorId="4A189474" wp14:editId="0CDFFEC2">
            <wp:extent cx="3840929" cy="2105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495" cy="2196312"/>
                    </a:xfrm>
                    <a:prstGeom prst="rect">
                      <a:avLst/>
                    </a:prstGeom>
                  </pic:spPr>
                </pic:pic>
              </a:graphicData>
            </a:graphic>
          </wp:inline>
        </w:drawing>
      </w:r>
    </w:p>
    <w:p w14:paraId="2A8FF711" w14:textId="14B5B062" w:rsidR="00045D0E" w:rsidRDefault="00045D0E" w:rsidP="00045D0E">
      <w:r>
        <w:tab/>
        <w:t>Invalid statistical conclusions arise from not having sufficient samples or encountering too many uncontrolled parameters.</w:t>
      </w:r>
      <w:r w:rsidR="00AA2269">
        <w:t xml:space="preserve">  The filtered data set only contains 4937 records, which does not provide sufficient evidence for some pivots (see Figure 5).  For example, assessing Asian and </w:t>
      </w:r>
      <w:r w:rsidR="00AA2269">
        <w:lastRenderedPageBreak/>
        <w:t>Native American victims independently likely result in overfitting.   Due to time constraints, the evaluation of only a subset of features took place, and this could have missed an important or confounding variable (e.g., age group).</w:t>
      </w:r>
    </w:p>
    <w:p w14:paraId="06429EE3" w14:textId="40E170DA" w:rsidR="005559FD" w:rsidRDefault="00E5789C" w:rsidP="005559FD">
      <w:pPr>
        <w:pStyle w:val="Heading2"/>
      </w:pPr>
      <w:r>
        <w:t>Construct Validity</w:t>
      </w:r>
    </w:p>
    <w:p w14:paraId="23B33868" w14:textId="0AF2D594" w:rsidR="00E5789C" w:rsidRPr="00E5789C" w:rsidRDefault="00E5789C" w:rsidP="00E5789C">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w:t>
      </w:r>
      <w:r w:rsidR="006D00EA">
        <w:t>other</w:t>
      </w:r>
      <w:r>
        <w:t xml:space="preserve"> pivots and asks other questions of the information.</w:t>
      </w:r>
    </w:p>
    <w:p w14:paraId="5CFDD8D1" w14:textId="5086994F" w:rsidR="00BF19A0" w:rsidRDefault="00BF19A0" w:rsidP="00BF19A0">
      <w:pPr>
        <w:rPr>
          <w:noProof/>
        </w:rPr>
      </w:pPr>
    </w:p>
    <w:p w14:paraId="56B4440A" w14:textId="5CA31364" w:rsidR="00E36088" w:rsidRDefault="00E36088">
      <w:pPr>
        <w:rPr>
          <w:noProof/>
        </w:rPr>
      </w:pPr>
      <w:r>
        <w:rPr>
          <w:noProof/>
        </w:rPr>
        <w:br w:type="page"/>
      </w:r>
    </w:p>
    <w:sdt>
      <w:sdtPr>
        <w:rPr>
          <w:b w:val="0"/>
        </w:rPr>
        <w:id w:val="-948159257"/>
        <w:docPartObj>
          <w:docPartGallery w:val="Bibliographies"/>
          <w:docPartUnique/>
        </w:docPartObj>
      </w:sdtPr>
      <w:sdtEndPr/>
      <w:sdtContent>
        <w:p w14:paraId="435EFD3E" w14:textId="40E9C886" w:rsidR="00E36088" w:rsidRPr="007B0814" w:rsidRDefault="00E36088">
          <w:pPr>
            <w:pStyle w:val="Heading1"/>
            <w:rPr>
              <w:b w:val="0"/>
              <w:bCs/>
            </w:rPr>
          </w:pPr>
          <w:r w:rsidRPr="007B0814">
            <w:rPr>
              <w:b w:val="0"/>
              <w:bCs/>
            </w:rPr>
            <w:t>References</w:t>
          </w:r>
        </w:p>
        <w:sdt>
          <w:sdtPr>
            <w:id w:val="-573587230"/>
            <w:bibliography/>
          </w:sdtPr>
          <w:sdtEndPr/>
          <w:sdtContent>
            <w:p w14:paraId="52766666" w14:textId="77777777" w:rsidR="00E36088" w:rsidRDefault="00E36088" w:rsidP="00E36088">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3432C8D" w14:textId="77777777" w:rsidR="00E36088" w:rsidRDefault="00E36088" w:rsidP="00E36088">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310DA5D" w14:textId="77777777" w:rsidR="00E36088" w:rsidRDefault="00E36088" w:rsidP="00E36088">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8960405" w14:textId="77777777" w:rsidR="00E36088" w:rsidRDefault="00E36088" w:rsidP="00E3608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E24EC50" w14:textId="77777777" w:rsidR="00E36088" w:rsidRDefault="00E36088" w:rsidP="00E3608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798A9140" w14:textId="54C06AD0" w:rsidR="00E36088" w:rsidRDefault="00E36088" w:rsidP="00E36088">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53F33C6F" w14:textId="77777777" w:rsidR="00E36088" w:rsidRDefault="00E36088" w:rsidP="00E36088">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356255A7" w14:textId="24E511EF" w:rsidR="00E36088" w:rsidRDefault="00E36088" w:rsidP="00E36088">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87CADA7" w14:textId="77777777" w:rsidR="00E36088" w:rsidRDefault="00E36088" w:rsidP="00E36088">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021EAC2D" w14:textId="77777777" w:rsidR="00E36088" w:rsidRDefault="00E36088" w:rsidP="00E36088">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E260772" w14:textId="14CABE0D" w:rsidR="00E36088" w:rsidRDefault="00E36088" w:rsidP="00E36088">
              <w:r>
                <w:rPr>
                  <w:b/>
                  <w:bCs/>
                  <w:noProof/>
                </w:rPr>
                <w:fldChar w:fldCharType="end"/>
              </w:r>
            </w:p>
          </w:sdtContent>
        </w:sdt>
      </w:sdtContent>
    </w:sdt>
    <w:p w14:paraId="772BC269" w14:textId="77777777" w:rsidR="00E36088" w:rsidRDefault="00E36088" w:rsidP="00BF19A0">
      <w:pPr>
        <w:rPr>
          <w:noProof/>
        </w:rPr>
      </w:pPr>
    </w:p>
    <w:sectPr w:rsidR="00E36088"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C228" w14:textId="77777777" w:rsidR="00715B2A" w:rsidRDefault="00715B2A" w:rsidP="0082223F">
      <w:pPr>
        <w:spacing w:line="240" w:lineRule="auto"/>
      </w:pPr>
      <w:r>
        <w:separator/>
      </w:r>
    </w:p>
  </w:endnote>
  <w:endnote w:type="continuationSeparator" w:id="0">
    <w:p w14:paraId="0EE59AEB" w14:textId="77777777" w:rsidR="00715B2A" w:rsidRDefault="00715B2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4ED1B" w14:textId="77777777" w:rsidR="00715B2A" w:rsidRDefault="00715B2A" w:rsidP="0082223F">
      <w:pPr>
        <w:spacing w:line="240" w:lineRule="auto"/>
      </w:pPr>
      <w:r>
        <w:separator/>
      </w:r>
    </w:p>
  </w:footnote>
  <w:footnote w:type="continuationSeparator" w:id="0">
    <w:p w14:paraId="0315E10D" w14:textId="77777777" w:rsidR="00715B2A" w:rsidRDefault="00715B2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44EAD12C"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r w:rsidR="005B3E96">
      <w:t>Technology</w:t>
    </w:r>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D0E"/>
    <w:rsid w:val="00074114"/>
    <w:rsid w:val="00124D1B"/>
    <w:rsid w:val="001626F5"/>
    <w:rsid w:val="00183597"/>
    <w:rsid w:val="001B27C4"/>
    <w:rsid w:val="001F67BA"/>
    <w:rsid w:val="0021468E"/>
    <w:rsid w:val="0027561D"/>
    <w:rsid w:val="002806B7"/>
    <w:rsid w:val="002F26CD"/>
    <w:rsid w:val="002F2958"/>
    <w:rsid w:val="003279C6"/>
    <w:rsid w:val="00336044"/>
    <w:rsid w:val="003B028C"/>
    <w:rsid w:val="003F4714"/>
    <w:rsid w:val="00401D65"/>
    <w:rsid w:val="004223E8"/>
    <w:rsid w:val="00424108"/>
    <w:rsid w:val="004A784B"/>
    <w:rsid w:val="004B3CC3"/>
    <w:rsid w:val="004F1049"/>
    <w:rsid w:val="005350A8"/>
    <w:rsid w:val="005559FD"/>
    <w:rsid w:val="005B3E96"/>
    <w:rsid w:val="005B7079"/>
    <w:rsid w:val="005D5D51"/>
    <w:rsid w:val="006462CB"/>
    <w:rsid w:val="00666C3A"/>
    <w:rsid w:val="006C49B8"/>
    <w:rsid w:val="006D00EA"/>
    <w:rsid w:val="006D793E"/>
    <w:rsid w:val="00715B2A"/>
    <w:rsid w:val="0073677D"/>
    <w:rsid w:val="00794A6F"/>
    <w:rsid w:val="007B0814"/>
    <w:rsid w:val="007C7EE9"/>
    <w:rsid w:val="007E2589"/>
    <w:rsid w:val="007F54AB"/>
    <w:rsid w:val="0081256F"/>
    <w:rsid w:val="0082223F"/>
    <w:rsid w:val="008357EB"/>
    <w:rsid w:val="00877007"/>
    <w:rsid w:val="008B5129"/>
    <w:rsid w:val="00932FFA"/>
    <w:rsid w:val="0093453C"/>
    <w:rsid w:val="00967BBA"/>
    <w:rsid w:val="009742D8"/>
    <w:rsid w:val="009A757D"/>
    <w:rsid w:val="009D2096"/>
    <w:rsid w:val="00AA2269"/>
    <w:rsid w:val="00AF6006"/>
    <w:rsid w:val="00B13ADF"/>
    <w:rsid w:val="00B30D3D"/>
    <w:rsid w:val="00B4018A"/>
    <w:rsid w:val="00B63943"/>
    <w:rsid w:val="00B83595"/>
    <w:rsid w:val="00B9571F"/>
    <w:rsid w:val="00BF19A0"/>
    <w:rsid w:val="00C20EEA"/>
    <w:rsid w:val="00C54DC8"/>
    <w:rsid w:val="00C73692"/>
    <w:rsid w:val="00C93BB7"/>
    <w:rsid w:val="00CB25E9"/>
    <w:rsid w:val="00D0165E"/>
    <w:rsid w:val="00D75C7B"/>
    <w:rsid w:val="00D85C7B"/>
    <w:rsid w:val="00DE2224"/>
    <w:rsid w:val="00E234E9"/>
    <w:rsid w:val="00E36088"/>
    <w:rsid w:val="00E5789C"/>
    <w:rsid w:val="00E912AB"/>
    <w:rsid w:val="00ED3713"/>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E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027">
      <w:bodyDiv w:val="1"/>
      <w:marLeft w:val="0"/>
      <w:marRight w:val="0"/>
      <w:marTop w:val="0"/>
      <w:marBottom w:val="0"/>
      <w:divBdr>
        <w:top w:val="none" w:sz="0" w:space="0" w:color="auto"/>
        <w:left w:val="none" w:sz="0" w:space="0" w:color="auto"/>
        <w:bottom w:val="none" w:sz="0" w:space="0" w:color="auto"/>
        <w:right w:val="none" w:sz="0" w:space="0" w:color="auto"/>
      </w:divBdr>
    </w:div>
    <w:div w:id="286741130">
      <w:bodyDiv w:val="1"/>
      <w:marLeft w:val="0"/>
      <w:marRight w:val="0"/>
      <w:marTop w:val="0"/>
      <w:marBottom w:val="0"/>
      <w:divBdr>
        <w:top w:val="none" w:sz="0" w:space="0" w:color="auto"/>
        <w:left w:val="none" w:sz="0" w:space="0" w:color="auto"/>
        <w:bottom w:val="none" w:sz="0" w:space="0" w:color="auto"/>
        <w:right w:val="none" w:sz="0" w:space="0" w:color="auto"/>
      </w:divBdr>
    </w:div>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 w:id="2076313011">
      <w:bodyDiv w:val="1"/>
      <w:marLeft w:val="0"/>
      <w:marRight w:val="0"/>
      <w:marTop w:val="0"/>
      <w:marBottom w:val="0"/>
      <w:divBdr>
        <w:top w:val="none" w:sz="0" w:space="0" w:color="auto"/>
        <w:left w:val="none" w:sz="0" w:space="0" w:color="auto"/>
        <w:bottom w:val="none" w:sz="0" w:space="0" w:color="auto"/>
        <w:right w:val="none" w:sz="0" w:space="0" w:color="auto"/>
      </w:divBdr>
    </w:div>
    <w:div w:id="21027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9EE1BCCB-7DBF-40DD-8979-1B4A6D6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2020-09-06T18:44:00Z</dcterms:modified>
</cp:coreProperties>
</file>