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7274AD"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1B24206" w:rsidR="0082223F" w:rsidRDefault="0082223F" w:rsidP="0082223F">
      <w:pPr>
        <w:pStyle w:val="Title"/>
      </w:pPr>
      <w:r>
        <w:t xml:space="preserve">Section </w:t>
      </w:r>
      <w:r w:rsidR="00AB2E10">
        <w:t>2</w:t>
      </w:r>
      <w:r>
        <w:t xml:space="preserve">: Week </w:t>
      </w:r>
      <w:r w:rsidR="00AB2E10">
        <w:t>6</w:t>
      </w:r>
      <w:r>
        <w:t xml:space="preserve">: </w:t>
      </w:r>
      <w:r w:rsidR="006D793E">
        <w:t xml:space="preserve">Evaluate </w:t>
      </w:r>
      <w:r w:rsidR="00AB2E10">
        <w:t>the Process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11556AA4" w:rsidR="00CB25E9" w:rsidRDefault="00AB2E10" w:rsidP="0082223F">
      <w:pPr>
        <w:jc w:val="center"/>
      </w:pPr>
      <w:r>
        <w:t>September</w:t>
      </w:r>
      <w:r w:rsidR="00D0165E">
        <w:t xml:space="preserve"> </w:t>
      </w:r>
      <w:r>
        <w:t>6</w:t>
      </w:r>
      <w:r w:rsidRPr="00AB2E10">
        <w:rPr>
          <w:vertAlign w:val="superscript"/>
        </w:rPr>
        <w:t>th</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267CDEA3" w:rsidR="0082223F" w:rsidRDefault="00ED3713" w:rsidP="005B7079">
      <w:pPr>
        <w:pStyle w:val="Heading1"/>
      </w:pPr>
      <w:r>
        <w:lastRenderedPageBreak/>
        <w:t xml:space="preserve">Evaluate </w:t>
      </w:r>
      <w:r w:rsidR="00AB2E10">
        <w:t>the Process</w:t>
      </w:r>
    </w:p>
    <w:p w14:paraId="1F75DBE6" w14:textId="1C643C3F" w:rsidR="00AB2E10" w:rsidRDefault="00A72083" w:rsidP="00AB2E10">
      <w:r>
        <w:tab/>
      </w:r>
      <w:r w:rsidR="00FF0CF8">
        <w:t xml:space="preserve">Now that NCU-Cares (NCU-C) has completed its data inference, the final step is to evaluate the process retrospectively.  There are often limitations to research </w:t>
      </w:r>
      <w:r w:rsidR="00AA7B5B">
        <w:t xml:space="preserve">projects, </w:t>
      </w:r>
      <w:r w:rsidR="00FF0CF8">
        <w:t>and this results in needing to adapt either the scope or approach of the statistical application.</w:t>
      </w:r>
      <w:r w:rsidR="00AA7B5B">
        <w:t xml:space="preserve">  From retrospectively </w:t>
      </w:r>
      <w:r w:rsidR="00F05656">
        <w:t>assessing</w:t>
      </w:r>
      <w:r w:rsidR="00AA7B5B">
        <w:t xml:space="preserve"> these situations, the business can identify deficiencies and </w:t>
      </w:r>
      <w:r w:rsidR="00F05656">
        <w:t xml:space="preserve">critical </w:t>
      </w:r>
      <w:r w:rsidR="00AA7B5B">
        <w:t xml:space="preserve">learning </w:t>
      </w:r>
      <w:r w:rsidR="00F05656">
        <w:t>to improve future efforts</w:t>
      </w:r>
      <w:r w:rsidR="00AA7B5B">
        <w:t>.</w:t>
      </w:r>
      <w:r w:rsidR="0085016C">
        <w:t xml:space="preserve">  Finally, a plan for gaining stakeholder buy-in must exist, so that the recommendations transcend into business priorities</w:t>
      </w:r>
      <w:r w:rsidR="00553F3B">
        <w:t xml:space="preserve"> and actions</w:t>
      </w:r>
      <w:r w:rsidR="0085016C">
        <w:t>.</w:t>
      </w:r>
    </w:p>
    <w:p w14:paraId="4C680079" w14:textId="63675F62" w:rsidR="00021B2F" w:rsidRDefault="00021B2F" w:rsidP="00021B2F">
      <w:pPr>
        <w:pStyle w:val="Heading1"/>
      </w:pPr>
      <w:r>
        <w:t>Review the Business Case</w:t>
      </w:r>
    </w:p>
    <w:p w14:paraId="0FC31F8D" w14:textId="00B3D38B" w:rsidR="00C553B7" w:rsidRPr="00C553B7" w:rsidRDefault="00C553B7" w:rsidP="00C553B7">
      <w:pPr>
        <w:pStyle w:val="Heading2"/>
      </w:pPr>
      <w:r>
        <w:t>Primary Objective</w:t>
      </w:r>
    </w:p>
    <w:p w14:paraId="267690D7" w14:textId="51508477" w:rsidR="00287C08" w:rsidRDefault="00170D0B" w:rsidP="009F7F3D">
      <w:pPr>
        <w:ind w:firstLine="720"/>
      </w:pPr>
      <w:r>
        <w:t xml:space="preserve">NCU-CARES (NCU-C) is a politically neutral nonprofit organization that seeks to make the world a better place by lobbying for policy changes to social-economic challenges.  The group begins each project by understanding the landscape of an issue through the lens of </w:t>
      </w:r>
      <w:proofErr w:type="spellStart"/>
      <w:r>
        <w:t>statical</w:t>
      </w:r>
      <w:proofErr w:type="spellEnd"/>
      <w:r>
        <w:t xml:space="preserve"> models.  These models feed into every aspect of the decision process to maximize the impact while also minimizing resource expenses.  NCU-C’s portfolio contains several </w:t>
      </w:r>
      <w:proofErr w:type="gramStart"/>
      <w:r>
        <w:t>high profile</w:t>
      </w:r>
      <w:proofErr w:type="gramEnd"/>
      <w:r>
        <w:t xml:space="preserve"> efforts such as reducing climate change, improving access to clean water, and providing medical resources to underserved nations.</w:t>
      </w:r>
      <w:r w:rsidR="00287C08">
        <w:t xml:space="preserve">  </w:t>
      </w:r>
      <w:r>
        <w:t>After recently receiving a sizable donation, the institution can hire a dedicated staff to pursue one more initiative.  Rarely does such an event occur, and NCU-C does not want to waste this opportunity.</w:t>
      </w:r>
      <w:r w:rsidR="00F6428C">
        <w:t xml:space="preserve">  Three areas of </w:t>
      </w:r>
      <w:proofErr w:type="gramStart"/>
      <w:r w:rsidR="00F6428C">
        <w:t>particular interest</w:t>
      </w:r>
      <w:proofErr w:type="gramEnd"/>
      <w:r w:rsidR="00F6428C">
        <w:t xml:space="preserve"> include </w:t>
      </w:r>
      <w:r w:rsidR="00B41AA2">
        <w:t>COVD-19,</w:t>
      </w:r>
      <w:r w:rsidR="00F6428C">
        <w:t xml:space="preserve"> </w:t>
      </w:r>
      <w:r w:rsidR="00B41AA2">
        <w:t xml:space="preserve">the </w:t>
      </w:r>
      <w:r w:rsidR="00F6428C">
        <w:t>presidential election, and the police violence debate.</w:t>
      </w:r>
    </w:p>
    <w:p w14:paraId="18F69B2B" w14:textId="44C7390A" w:rsidR="00C553B7" w:rsidRDefault="00C553B7" w:rsidP="00C553B7">
      <w:pPr>
        <w:pStyle w:val="Heading2"/>
      </w:pPr>
      <w:r>
        <w:t>Decision Rationale</w:t>
      </w:r>
    </w:p>
    <w:p w14:paraId="2B7F5B7A" w14:textId="6642B58F" w:rsidR="00C553B7" w:rsidRPr="00170D0B" w:rsidRDefault="00B41AA2" w:rsidP="00C553B7">
      <w:pPr>
        <w:ind w:firstLine="720"/>
      </w:pPr>
      <w:r>
        <w:t xml:space="preserve">While there is substantial value in each topic, the organization believes that addressing police violence is the best use of its </w:t>
      </w:r>
      <w:r w:rsidR="009F7F3D">
        <w:t>talents and skills</w:t>
      </w:r>
      <w:r>
        <w:t>.</w:t>
      </w:r>
      <w:r w:rsidR="009F7F3D">
        <w:t xml:space="preserve">  This issue is challenging to investigate because </w:t>
      </w:r>
      <w:proofErr w:type="spellStart"/>
      <w:r w:rsidR="009F7F3D">
        <w:t>its</w:t>
      </w:r>
      <w:proofErr w:type="spellEnd"/>
      <w:r w:rsidR="001E5317">
        <w:t xml:space="preserve"> </w:t>
      </w:r>
      <w:r w:rsidR="001E5317">
        <w:t xml:space="preserve">a highly partisan matter with many efforts to </w:t>
      </w:r>
      <w:proofErr w:type="spellStart"/>
      <w:r w:rsidR="001E5317">
        <w:t>undermind</w:t>
      </w:r>
      <w:proofErr w:type="spellEnd"/>
      <w:r w:rsidR="001E5317">
        <w:t xml:space="preserve"> the conversation</w:t>
      </w:r>
      <w:sdt>
        <w:sdtPr>
          <w:id w:val="-363211174"/>
          <w:citation/>
        </w:sdtPr>
        <w:sdtContent>
          <w:r w:rsidR="001E5317">
            <w:fldChar w:fldCharType="begin"/>
          </w:r>
          <w:r w:rsidR="001E5317">
            <w:instrText xml:space="preserve"> CITATION McC20 \l 1033 </w:instrText>
          </w:r>
          <w:r w:rsidR="001E5317">
            <w:fldChar w:fldCharType="separate"/>
          </w:r>
          <w:r w:rsidR="001E5317">
            <w:rPr>
              <w:noProof/>
            </w:rPr>
            <w:t xml:space="preserve"> (McCaskill, </w:t>
          </w:r>
          <w:r w:rsidR="001E5317">
            <w:rPr>
              <w:noProof/>
            </w:rPr>
            <w:lastRenderedPageBreak/>
            <w:t>2020)</w:t>
          </w:r>
          <w:r w:rsidR="001E5317">
            <w:fldChar w:fldCharType="end"/>
          </w:r>
        </w:sdtContent>
      </w:sdt>
      <w:r w:rsidR="001E5317">
        <w:t>.</w:t>
      </w:r>
      <w:r w:rsidR="00EE79C6">
        <w:t xml:space="preserve">  </w:t>
      </w:r>
      <w:r w:rsidR="00EE79C6">
        <w:t>On the one hand, an argument exists that defunding the police will force systematic change</w:t>
      </w:r>
      <w:sdt>
        <w:sdtPr>
          <w:id w:val="-2108963465"/>
          <w:citation/>
        </w:sdtPr>
        <w:sdtContent>
          <w:r w:rsidR="00EE79C6">
            <w:fldChar w:fldCharType="begin"/>
          </w:r>
          <w:r w:rsidR="00EE79C6">
            <w:instrText xml:space="preserve">CITATION BLM20 \l 1033 </w:instrText>
          </w:r>
          <w:r w:rsidR="00EE79C6">
            <w:fldChar w:fldCharType="separate"/>
          </w:r>
          <w:r w:rsidR="00EE79C6">
            <w:rPr>
              <w:noProof/>
            </w:rPr>
            <w:t xml:space="preserve"> (BLM, 2020)</w:t>
          </w:r>
          <w:r w:rsidR="00EE79C6">
            <w:fldChar w:fldCharType="end"/>
          </w:r>
        </w:sdtContent>
      </w:sdt>
      <w:r w:rsidR="00EE79C6">
        <w:t>.  After cutting the law enforcement budget, the state department could repurpose those monies into civil and medical services.  On the other hand, are concerns that these changes would enable a “symbol of hate</w:t>
      </w:r>
      <w:sdt>
        <w:sdtPr>
          <w:id w:val="857395005"/>
          <w:citation/>
        </w:sdtPr>
        <w:sdtContent>
          <w:r w:rsidR="00EE79C6">
            <w:fldChar w:fldCharType="begin"/>
          </w:r>
          <w:r w:rsidR="00EE79C6">
            <w:instrText xml:space="preserve"> CITATION Tru20 \l 1033 </w:instrText>
          </w:r>
          <w:r w:rsidR="00EE79C6">
            <w:fldChar w:fldCharType="separate"/>
          </w:r>
          <w:r w:rsidR="00EE79C6">
            <w:rPr>
              <w:noProof/>
            </w:rPr>
            <w:t xml:space="preserve"> (Trump, 2020)</w:t>
          </w:r>
          <w:r w:rsidR="00EE79C6">
            <w:fldChar w:fldCharType="end"/>
          </w:r>
        </w:sdtContent>
      </w:sdt>
      <w:r w:rsidR="00EE79C6">
        <w:t>” and reducing the safety of all parties.  It is unlikely that either side is entirely right or wrong, and this situation requires an unbiased mediator to assess claims quantitively before the punitive rhetoric will abate</w:t>
      </w:r>
      <w:sdt>
        <w:sdtPr>
          <w:id w:val="-912232052"/>
          <w:citation/>
        </w:sdtPr>
        <w:sdtContent>
          <w:r w:rsidR="00EE79C6">
            <w:fldChar w:fldCharType="begin"/>
          </w:r>
          <w:r w:rsidR="00EE79C6">
            <w:instrText xml:space="preserve"> CITATION Smi20 \l 1033 </w:instrText>
          </w:r>
          <w:r w:rsidR="00EE79C6">
            <w:fldChar w:fldCharType="separate"/>
          </w:r>
          <w:r w:rsidR="00EE79C6">
            <w:rPr>
              <w:noProof/>
            </w:rPr>
            <w:t xml:space="preserve"> (Smith, 2020)</w:t>
          </w:r>
          <w:r w:rsidR="00EE79C6">
            <w:fldChar w:fldCharType="end"/>
          </w:r>
        </w:sdtContent>
      </w:sdt>
      <w:r w:rsidR="00EE79C6">
        <w:t>.  Working to restore public confidence and fill this gap represents a unique opportunity for the organization.</w:t>
      </w:r>
    </w:p>
    <w:p w14:paraId="7768AC7F" w14:textId="3BC4DCD8" w:rsidR="00021B2F" w:rsidRDefault="00021B2F" w:rsidP="00021B2F">
      <w:pPr>
        <w:pStyle w:val="Heading1"/>
      </w:pPr>
      <w:r>
        <w:t>Review the Process and Outcomes</w:t>
      </w:r>
    </w:p>
    <w:p w14:paraId="6BB721F9" w14:textId="1F5DEFB4" w:rsidR="00225C8D" w:rsidRDefault="00225C8D" w:rsidP="00225C8D">
      <w:pPr>
        <w:pStyle w:val="Heading2"/>
      </w:pPr>
      <w:r>
        <w:t>Data Sourcing</w:t>
      </w:r>
    </w:p>
    <w:p w14:paraId="16BC01AA" w14:textId="71C19BF6" w:rsidR="00225C8D" w:rsidRDefault="000C71D8" w:rsidP="000C71D8">
      <w:r>
        <w:tab/>
        <w:t>There are numerous strategies for approaching this problem with varying levels of sophistication and planning.  One standard solution is to perform statistical application analysis on the Washington Post’s police shootings data set</w:t>
      </w:r>
      <w:sdt>
        <w:sdtPr>
          <w:id w:val="1295410059"/>
          <w:citation/>
        </w:sdtPr>
        <w:sdtContent>
          <w:r w:rsidR="00BA27D1">
            <w:fldChar w:fldCharType="begin"/>
          </w:r>
          <w:r w:rsidR="00BA27D1">
            <w:instrText xml:space="preserve"> CITATION Nix17 \l 1033 </w:instrText>
          </w:r>
          <w:r w:rsidR="00BA27D1">
            <w:fldChar w:fldCharType="separate"/>
          </w:r>
          <w:r w:rsidR="00BA27D1">
            <w:rPr>
              <w:noProof/>
            </w:rPr>
            <w:t xml:space="preserve"> (Nix, Campbell, Byers, &amp; Alpert, 2017)</w:t>
          </w:r>
          <w:r w:rsidR="00BA27D1">
            <w:fldChar w:fldCharType="end"/>
          </w:r>
        </w:sdtContent>
      </w:sdt>
      <w:r>
        <w:t xml:space="preserve">.  This data source contains demographic, location, and contextual information on all </w:t>
      </w:r>
      <w:proofErr w:type="spellStart"/>
      <w:r>
        <w:t>publically</w:t>
      </w:r>
      <w:proofErr w:type="spellEnd"/>
      <w:r>
        <w:t xml:space="preserve"> known fatalities of police violence between 2015 to the present</w:t>
      </w:r>
      <w:sdt>
        <w:sdtPr>
          <w:id w:val="-1747638877"/>
          <w:citation/>
        </w:sdtPr>
        <w:sdtContent>
          <w:r>
            <w:fldChar w:fldCharType="begin"/>
          </w:r>
          <w:r>
            <w:instrText xml:space="preserve"> CITATION Was20 \l 1033 </w:instrText>
          </w:r>
          <w:r>
            <w:fldChar w:fldCharType="separate"/>
          </w:r>
          <w:r>
            <w:rPr>
              <w:noProof/>
            </w:rPr>
            <w:t xml:space="preserve"> (Washington Post, 2020)</w:t>
          </w:r>
          <w:r>
            <w:fldChar w:fldCharType="end"/>
          </w:r>
        </w:sdtContent>
      </w:sdt>
      <w:r>
        <w:t>.</w:t>
      </w:r>
      <w:r w:rsidR="00BA27D1">
        <w:t xml:space="preserve">  While there are several limitations to this aggregat</w:t>
      </w:r>
      <w:r w:rsidR="009136FD">
        <w:t>e feed</w:t>
      </w:r>
      <w:r w:rsidR="00BA27D1">
        <w:t xml:space="preserve">, it </w:t>
      </w:r>
      <w:r w:rsidR="009136FD">
        <w:t xml:space="preserve">does </w:t>
      </w:r>
      <w:proofErr w:type="gramStart"/>
      <w:r w:rsidR="00BA27D1">
        <w:t>provides</w:t>
      </w:r>
      <w:proofErr w:type="gramEnd"/>
      <w:r w:rsidR="00BA27D1">
        <w:t xml:space="preserve"> an unbiased sampling of the broader population.</w:t>
      </w:r>
    </w:p>
    <w:p w14:paraId="2B8928D3" w14:textId="0AE0CB01" w:rsidR="00225C8D" w:rsidRDefault="00225C8D" w:rsidP="00225C8D">
      <w:pPr>
        <w:pStyle w:val="Heading2"/>
      </w:pPr>
      <w:r>
        <w:t>Identifying Questions</w:t>
      </w:r>
    </w:p>
    <w:p w14:paraId="2D882CF4" w14:textId="057C45A2" w:rsidR="00225C8D" w:rsidRDefault="00225C8D" w:rsidP="00986ED3">
      <w:pPr>
        <w:ind w:firstLine="720"/>
      </w:pPr>
      <w:r>
        <w:t>Annually nearly one thousand citizens die from police violence, which raises the central question, why?  The collective perspective of the Black Lives Matter movement is that police exert disproportionate force against people of color</w:t>
      </w:r>
      <w:sdt>
        <w:sdtPr>
          <w:id w:val="1041254087"/>
          <w:citation/>
        </w:sdtPr>
        <w:sdtContent>
          <w:r>
            <w:fldChar w:fldCharType="begin"/>
          </w:r>
          <w:r>
            <w:instrText xml:space="preserve"> CITATION BLM20 \l 1033 </w:instrText>
          </w:r>
          <w:r>
            <w:fldChar w:fldCharType="separate"/>
          </w:r>
          <w:r>
            <w:rPr>
              <w:noProof/>
            </w:rPr>
            <w:t xml:space="preserve"> (BLM, 2020)</w:t>
          </w:r>
          <w:r>
            <w:fldChar w:fldCharType="end"/>
          </w:r>
        </w:sdtContent>
      </w:sdt>
      <w:r>
        <w:t>.  This perspective often comes with the quote that “Black civilians were more than twice as likely as White civilians to be unarmed</w:t>
      </w:r>
      <w:sdt>
        <w:sdtPr>
          <w:id w:val="683631755"/>
          <w:citation/>
        </w:sdtPr>
        <w:sdtContent>
          <w:r>
            <w:fldChar w:fldCharType="begin"/>
          </w:r>
          <w:r>
            <w:instrText xml:space="preserve"> CITATION Nix17 \l 1033 </w:instrText>
          </w:r>
          <w:r>
            <w:fldChar w:fldCharType="separate"/>
          </w:r>
          <w:r>
            <w:rPr>
              <w:noProof/>
            </w:rPr>
            <w:t xml:space="preserve"> (Nix, Campbell, Byers, &amp; Alpert, 2017)</w:t>
          </w:r>
          <w:r>
            <w:fldChar w:fldCharType="end"/>
          </w:r>
        </w:sdtContent>
      </w:sdt>
      <w:r>
        <w:t xml:space="preserve">” during the fatality.  Nevertheless, others argue </w:t>
      </w:r>
      <w:r>
        <w:lastRenderedPageBreak/>
        <w:t>the brutality victims are experiencing a mental health crisis, and this is the actual reason</w:t>
      </w:r>
      <w:r w:rsidRPr="00D35ECE">
        <w:t xml:space="preserve"> </w:t>
      </w:r>
      <w:sdt>
        <w:sdtPr>
          <w:id w:val="-1318176402"/>
          <w:citation/>
        </w:sdtPr>
        <w:sdtContent>
          <w:r>
            <w:fldChar w:fldCharType="begin"/>
          </w:r>
          <w:r>
            <w:instrText xml:space="preserve"> CITATION Lam14 \l 1033 </w:instrText>
          </w:r>
          <w:r>
            <w:fldChar w:fldCharType="separate"/>
          </w:r>
          <w:r>
            <w:rPr>
              <w:noProof/>
            </w:rPr>
            <w:t xml:space="preserve"> (Lamb, Weinberger, &amp; DeCuir, 2014)</w:t>
          </w:r>
          <w:r>
            <w:fldChar w:fldCharType="end"/>
          </w:r>
        </w:sdtContent>
      </w:sdt>
      <w:r>
        <w:t xml:space="preserve">.  While these perspectives </w:t>
      </w:r>
      <w:r w:rsidR="00986ED3">
        <w:t xml:space="preserve">efficiently </w:t>
      </w:r>
      <w:r>
        <w:t xml:space="preserve">drive media headlines, are they both missing the forest among the trees?  Does another factor more accurately explain the challenges that are occurring?  Instead, NCU-C hypothesizes that neither </w:t>
      </w:r>
      <w:r w:rsidRPr="00986ED3">
        <w:rPr>
          <w:i/>
          <w:iCs/>
        </w:rPr>
        <w:t>sanity</w:t>
      </w:r>
      <w:r>
        <w:t xml:space="preserve"> nor </w:t>
      </w:r>
      <w:r w:rsidRPr="00986ED3">
        <w:rPr>
          <w:i/>
          <w:iCs/>
        </w:rPr>
        <w:t>race</w:t>
      </w:r>
      <w:r>
        <w:t xml:space="preserve"> is the driving cause of police violence.  Alternatively, </w:t>
      </w:r>
      <w:r w:rsidRPr="00986ED3">
        <w:rPr>
          <w:i/>
          <w:iCs/>
        </w:rPr>
        <w:t>provocation</w:t>
      </w:r>
      <w:r>
        <w:t xml:space="preserve"> might better explain the need for violent escalations that result in death.</w:t>
      </w:r>
    </w:p>
    <w:p w14:paraId="0B881E10" w14:textId="66057746" w:rsidR="00986ED3" w:rsidRDefault="00986ED3" w:rsidP="00986ED3">
      <w:pPr>
        <w:pStyle w:val="Heading2"/>
      </w:pPr>
      <w:r>
        <w:t>Collecting the Results</w:t>
      </w:r>
    </w:p>
    <w:p w14:paraId="59500851" w14:textId="77777777" w:rsidR="00986ED3" w:rsidRDefault="00986ED3" w:rsidP="00986ED3">
      <w:pPr>
        <w:pStyle w:val="Caption"/>
      </w:pPr>
      <w:r>
        <w:t>Figure 1: Victims by Race</w:t>
      </w:r>
    </w:p>
    <w:p w14:paraId="7ABDAAD8" w14:textId="6FD12457" w:rsidR="00986ED3" w:rsidRPr="00986ED3" w:rsidRDefault="00986ED3" w:rsidP="00986ED3">
      <w:pPr>
        <w:jc w:val="center"/>
      </w:pPr>
      <w:r>
        <w:rPr>
          <w:noProof/>
        </w:rPr>
        <w:drawing>
          <wp:inline distT="0" distB="0" distL="0" distR="0" wp14:anchorId="5AD28132" wp14:editId="58B340FE">
            <wp:extent cx="3072605" cy="1683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3897" cy="1750419"/>
                    </a:xfrm>
                    <a:prstGeom prst="rect">
                      <a:avLst/>
                    </a:prstGeom>
                  </pic:spPr>
                </pic:pic>
              </a:graphicData>
            </a:graphic>
          </wp:inline>
        </w:drawing>
      </w:r>
    </w:p>
    <w:p w14:paraId="3A1E38B5" w14:textId="66CF1C68" w:rsidR="009A4688" w:rsidRDefault="00986ED3" w:rsidP="00986ED3">
      <w:r>
        <w:tab/>
        <w:t xml:space="preserve">NCU-C began the exploration process by collecting descriptive statistics about the victims in terms of </w:t>
      </w:r>
      <w:r w:rsidRPr="00986ED3">
        <w:rPr>
          <w:i/>
          <w:iCs/>
        </w:rPr>
        <w:t>age</w:t>
      </w:r>
      <w:r>
        <w:t xml:space="preserve">, </w:t>
      </w:r>
      <w:r w:rsidRPr="00986ED3">
        <w:rPr>
          <w:i/>
          <w:iCs/>
        </w:rPr>
        <w:t>race</w:t>
      </w:r>
      <w:r>
        <w:t xml:space="preserve">, and </w:t>
      </w:r>
      <w:r w:rsidRPr="00986ED3">
        <w:rPr>
          <w:i/>
          <w:iCs/>
        </w:rPr>
        <w:t>sanity</w:t>
      </w:r>
      <w:r>
        <w:rPr>
          <w:i/>
          <w:iCs/>
        </w:rPr>
        <w:t xml:space="preserve"> </w:t>
      </w:r>
      <w:r>
        <w:t>(see Figure 1).  Using a variate of measurements and pivots, then assessed the statistical effect of these features against one another.  These suggest that people of color tend to have fatal altercations younger than White people (see Table 1).</w:t>
      </w:r>
    </w:p>
    <w:p w14:paraId="345550BE" w14:textId="77777777" w:rsidR="009A4688" w:rsidRDefault="009A4688" w:rsidP="009A4688">
      <w:pPr>
        <w:pStyle w:val="Caption"/>
      </w:pPr>
      <w:r>
        <w:t>Table 1: Influence of Age</w:t>
      </w:r>
    </w:p>
    <w:tbl>
      <w:tblPr>
        <w:tblStyle w:val="ListTable4"/>
        <w:tblW w:w="0" w:type="auto"/>
        <w:tblLook w:val="04A0" w:firstRow="1" w:lastRow="0" w:firstColumn="1" w:lastColumn="0" w:noHBand="0" w:noVBand="1"/>
      </w:tblPr>
      <w:tblGrid>
        <w:gridCol w:w="1546"/>
        <w:gridCol w:w="1199"/>
        <w:gridCol w:w="2040"/>
        <w:gridCol w:w="1575"/>
        <w:gridCol w:w="1575"/>
        <w:gridCol w:w="1415"/>
      </w:tblGrid>
      <w:tr w:rsidR="009A4688" w14:paraId="2C4A9720" w14:textId="77777777" w:rsidTr="00251B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48074989" w14:textId="77777777" w:rsidR="009A4688" w:rsidRDefault="009A4688" w:rsidP="00251BFB">
            <w:r>
              <w:t>Race</w:t>
            </w:r>
          </w:p>
        </w:tc>
        <w:tc>
          <w:tcPr>
            <w:tcW w:w="1199" w:type="dxa"/>
          </w:tcPr>
          <w:p w14:paraId="5A9CF5AB" w14:textId="77777777" w:rsidR="009A4688" w:rsidRDefault="009A4688" w:rsidP="00251BFB">
            <w:pPr>
              <w:cnfStyle w:val="100000000000" w:firstRow="1" w:lastRow="0" w:firstColumn="0" w:lastColumn="0" w:oddVBand="0" w:evenVBand="0" w:oddHBand="0" w:evenHBand="0" w:firstRowFirstColumn="0" w:firstRowLastColumn="0" w:lastRowFirstColumn="0" w:lastRowLastColumn="0"/>
            </w:pPr>
            <w:r>
              <w:t>Mean</w:t>
            </w:r>
          </w:p>
        </w:tc>
        <w:tc>
          <w:tcPr>
            <w:tcW w:w="2040" w:type="dxa"/>
          </w:tcPr>
          <w:p w14:paraId="52898659" w14:textId="77777777" w:rsidR="009A4688" w:rsidRDefault="009A4688" w:rsidP="00251BFB">
            <w:pPr>
              <w:cnfStyle w:val="100000000000" w:firstRow="1" w:lastRow="0" w:firstColumn="0" w:lastColumn="0" w:oddVBand="0" w:evenVBand="0" w:oddHBand="0" w:evenHBand="0" w:firstRowFirstColumn="0" w:firstRowLastColumn="0" w:lastRowFirstColumn="0" w:lastRowLastColumn="0"/>
            </w:pPr>
            <w:r>
              <w:t>Standard Deviation</w:t>
            </w:r>
          </w:p>
        </w:tc>
        <w:tc>
          <w:tcPr>
            <w:tcW w:w="1575" w:type="dxa"/>
          </w:tcPr>
          <w:p w14:paraId="00F3ED63" w14:textId="77777777" w:rsidR="009A4688" w:rsidRDefault="009A4688" w:rsidP="00251BFB">
            <w:pPr>
              <w:cnfStyle w:val="100000000000" w:firstRow="1" w:lastRow="0" w:firstColumn="0" w:lastColumn="0" w:oddVBand="0" w:evenVBand="0" w:oddHBand="0" w:evenHBand="0" w:firstRowFirstColumn="0" w:firstRowLastColumn="0" w:lastRowFirstColumn="0" w:lastRowLastColumn="0"/>
            </w:pPr>
            <w:r>
              <w:t>Effect vs. White</w:t>
            </w:r>
          </w:p>
        </w:tc>
        <w:tc>
          <w:tcPr>
            <w:tcW w:w="1575" w:type="dxa"/>
          </w:tcPr>
          <w:p w14:paraId="28E69568" w14:textId="77777777" w:rsidR="009A4688" w:rsidRDefault="009A4688" w:rsidP="00251BFB">
            <w:pPr>
              <w:cnfStyle w:val="100000000000" w:firstRow="1" w:lastRow="0" w:firstColumn="0" w:lastColumn="0" w:oddVBand="0" w:evenVBand="0" w:oddHBand="0" w:evenHBand="0" w:firstRowFirstColumn="0" w:firstRowLastColumn="0" w:lastRowFirstColumn="0" w:lastRowLastColumn="0"/>
            </w:pPr>
            <w:r>
              <w:t>Effect vs. Black</w:t>
            </w:r>
          </w:p>
        </w:tc>
        <w:tc>
          <w:tcPr>
            <w:tcW w:w="1415" w:type="dxa"/>
          </w:tcPr>
          <w:p w14:paraId="30FE713A" w14:textId="77777777" w:rsidR="009A4688" w:rsidRDefault="009A4688" w:rsidP="00251BFB">
            <w:pPr>
              <w:cnfStyle w:val="100000000000" w:firstRow="1" w:lastRow="0" w:firstColumn="0" w:lastColumn="0" w:oddVBand="0" w:evenVBand="0" w:oddHBand="0" w:evenHBand="0" w:firstRowFirstColumn="0" w:firstRowLastColumn="0" w:lastRowFirstColumn="0" w:lastRowLastColumn="0"/>
            </w:pPr>
            <w:r>
              <w:t>Effect vs.</w:t>
            </w:r>
            <w:r>
              <w:br/>
              <w:t>Hispanic</w:t>
            </w:r>
          </w:p>
        </w:tc>
      </w:tr>
      <w:tr w:rsidR="009A4688" w14:paraId="759B5E82" w14:textId="77777777" w:rsidTr="00251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449468AD" w14:textId="77777777" w:rsidR="009A4688" w:rsidRDefault="009A4688" w:rsidP="00251BFB">
            <w:r>
              <w:rPr>
                <w:color w:val="000000"/>
              </w:rPr>
              <w:t>All</w:t>
            </w:r>
          </w:p>
        </w:tc>
        <w:tc>
          <w:tcPr>
            <w:tcW w:w="1199" w:type="dxa"/>
          </w:tcPr>
          <w:p w14:paraId="0C807FF7" w14:textId="77777777" w:rsidR="009A4688" w:rsidRDefault="009A4688" w:rsidP="00251BFB">
            <w:pPr>
              <w:cnfStyle w:val="000000100000" w:firstRow="0" w:lastRow="0" w:firstColumn="0" w:lastColumn="0" w:oddVBand="0" w:evenVBand="0" w:oddHBand="1" w:evenHBand="0" w:firstRowFirstColumn="0" w:firstRowLastColumn="0" w:lastRowFirstColumn="0" w:lastRowLastColumn="0"/>
            </w:pPr>
            <w:r>
              <w:rPr>
                <w:color w:val="000000"/>
              </w:rPr>
              <w:t>37.12</w:t>
            </w:r>
          </w:p>
        </w:tc>
        <w:tc>
          <w:tcPr>
            <w:tcW w:w="2040" w:type="dxa"/>
          </w:tcPr>
          <w:p w14:paraId="38B9F10F" w14:textId="77777777" w:rsidR="009A4688" w:rsidRDefault="009A4688" w:rsidP="00251BFB">
            <w:pPr>
              <w:cnfStyle w:val="000000100000" w:firstRow="0" w:lastRow="0" w:firstColumn="0" w:lastColumn="0" w:oddVBand="0" w:evenVBand="0" w:oddHBand="1" w:evenHBand="0" w:firstRowFirstColumn="0" w:firstRowLastColumn="0" w:lastRowFirstColumn="0" w:lastRowLastColumn="0"/>
            </w:pPr>
            <w:r>
              <w:rPr>
                <w:color w:val="000000"/>
              </w:rPr>
              <w:t>13.12</w:t>
            </w:r>
          </w:p>
        </w:tc>
        <w:tc>
          <w:tcPr>
            <w:tcW w:w="1575" w:type="dxa"/>
          </w:tcPr>
          <w:p w14:paraId="5061AD7B" w14:textId="77777777" w:rsidR="009A4688" w:rsidRDefault="009A4688" w:rsidP="00251BFB">
            <w:pPr>
              <w:cnfStyle w:val="000000100000" w:firstRow="0" w:lastRow="0" w:firstColumn="0" w:lastColumn="0" w:oddVBand="0" w:evenVBand="0" w:oddHBand="1" w:evenHBand="0" w:firstRowFirstColumn="0" w:firstRowLastColumn="0" w:lastRowFirstColumn="0" w:lastRowLastColumn="0"/>
            </w:pPr>
            <w:r>
              <w:rPr>
                <w:color w:val="000000"/>
              </w:rPr>
              <w:t>-0.11</w:t>
            </w:r>
          </w:p>
        </w:tc>
        <w:tc>
          <w:tcPr>
            <w:tcW w:w="1575" w:type="dxa"/>
          </w:tcPr>
          <w:p w14:paraId="4E492A24" w14:textId="77777777" w:rsidR="009A4688" w:rsidRDefault="009A4688" w:rsidP="00251BFB">
            <w:pPr>
              <w:cnfStyle w:val="000000100000" w:firstRow="0" w:lastRow="0" w:firstColumn="0" w:lastColumn="0" w:oddVBand="0" w:evenVBand="0" w:oddHBand="1" w:evenHBand="0" w:firstRowFirstColumn="0" w:firstRowLastColumn="0" w:lastRowFirstColumn="0" w:lastRowLastColumn="0"/>
            </w:pPr>
            <w:r>
              <w:rPr>
                <w:color w:val="000000"/>
              </w:rPr>
              <w:t>0.38</w:t>
            </w:r>
          </w:p>
        </w:tc>
        <w:tc>
          <w:tcPr>
            <w:tcW w:w="1415" w:type="dxa"/>
          </w:tcPr>
          <w:p w14:paraId="67E2747A" w14:textId="77777777" w:rsidR="009A4688" w:rsidRDefault="009A4688" w:rsidP="00251BFB">
            <w:pPr>
              <w:cnfStyle w:val="000000100000" w:firstRow="0" w:lastRow="0" w:firstColumn="0" w:lastColumn="0" w:oddVBand="0" w:evenVBand="0" w:oddHBand="1" w:evenHBand="0" w:firstRowFirstColumn="0" w:firstRowLastColumn="0" w:lastRowFirstColumn="0" w:lastRowLastColumn="0"/>
            </w:pPr>
            <w:r>
              <w:rPr>
                <w:color w:val="000000"/>
              </w:rPr>
              <w:t>0.30</w:t>
            </w:r>
          </w:p>
        </w:tc>
      </w:tr>
      <w:tr w:rsidR="009A4688" w14:paraId="29B90117" w14:textId="77777777" w:rsidTr="00251BFB">
        <w:tc>
          <w:tcPr>
            <w:cnfStyle w:val="001000000000" w:firstRow="0" w:lastRow="0" w:firstColumn="1" w:lastColumn="0" w:oddVBand="0" w:evenVBand="0" w:oddHBand="0" w:evenHBand="0" w:firstRowFirstColumn="0" w:firstRowLastColumn="0" w:lastRowFirstColumn="0" w:lastRowLastColumn="0"/>
            <w:tcW w:w="1546" w:type="dxa"/>
          </w:tcPr>
          <w:p w14:paraId="64859A89" w14:textId="77777777" w:rsidR="009A4688" w:rsidRDefault="009A4688" w:rsidP="00251BFB">
            <w:r>
              <w:rPr>
                <w:color w:val="000000"/>
              </w:rPr>
              <w:t>White</w:t>
            </w:r>
          </w:p>
        </w:tc>
        <w:tc>
          <w:tcPr>
            <w:tcW w:w="1199" w:type="dxa"/>
          </w:tcPr>
          <w:p w14:paraId="7486569A" w14:textId="77777777" w:rsidR="009A4688" w:rsidRPr="00853E97" w:rsidRDefault="009A4688" w:rsidP="00251BFB">
            <w:pPr>
              <w:cnfStyle w:val="000000000000" w:firstRow="0" w:lastRow="0" w:firstColumn="0" w:lastColumn="0" w:oddVBand="0" w:evenVBand="0" w:oddHBand="0" w:evenHBand="0" w:firstRowFirstColumn="0" w:firstRowLastColumn="0" w:lastRowFirstColumn="0" w:lastRowLastColumn="0"/>
            </w:pPr>
            <w:r>
              <w:rPr>
                <w:color w:val="000000"/>
              </w:rPr>
              <w:t>39.95</w:t>
            </w:r>
          </w:p>
        </w:tc>
        <w:tc>
          <w:tcPr>
            <w:tcW w:w="2040" w:type="dxa"/>
          </w:tcPr>
          <w:p w14:paraId="60B5542B" w14:textId="77777777" w:rsidR="009A4688" w:rsidRDefault="009A4688" w:rsidP="00251BFB">
            <w:pPr>
              <w:cnfStyle w:val="000000000000" w:firstRow="0" w:lastRow="0" w:firstColumn="0" w:lastColumn="0" w:oddVBand="0" w:evenVBand="0" w:oddHBand="0" w:evenHBand="0" w:firstRowFirstColumn="0" w:firstRowLastColumn="0" w:lastRowFirstColumn="0" w:lastRowLastColumn="0"/>
            </w:pPr>
            <w:r>
              <w:rPr>
                <w:color w:val="000000"/>
              </w:rPr>
              <w:t>13.37</w:t>
            </w:r>
          </w:p>
        </w:tc>
        <w:tc>
          <w:tcPr>
            <w:tcW w:w="1575" w:type="dxa"/>
          </w:tcPr>
          <w:p w14:paraId="276AEA23" w14:textId="77777777" w:rsidR="009A4688" w:rsidRDefault="009A4688" w:rsidP="00251BFB">
            <w:pPr>
              <w:cnfStyle w:val="000000000000" w:firstRow="0" w:lastRow="0" w:firstColumn="0" w:lastColumn="0" w:oddVBand="0" w:evenVBand="0" w:oddHBand="0" w:evenHBand="0" w:firstRowFirstColumn="0" w:firstRowLastColumn="0" w:lastRowFirstColumn="0" w:lastRowLastColumn="0"/>
            </w:pPr>
            <w:r>
              <w:rPr>
                <w:color w:val="000000"/>
              </w:rPr>
              <w:t>--</w:t>
            </w:r>
          </w:p>
        </w:tc>
        <w:tc>
          <w:tcPr>
            <w:tcW w:w="1575" w:type="dxa"/>
          </w:tcPr>
          <w:p w14:paraId="4BA50580" w14:textId="77777777" w:rsidR="009A4688" w:rsidRDefault="009A4688" w:rsidP="00251BFB">
            <w:pPr>
              <w:cnfStyle w:val="000000000000" w:firstRow="0" w:lastRow="0" w:firstColumn="0" w:lastColumn="0" w:oddVBand="0" w:evenVBand="0" w:oddHBand="0" w:evenHBand="0" w:firstRowFirstColumn="0" w:firstRowLastColumn="0" w:lastRowFirstColumn="0" w:lastRowLastColumn="0"/>
            </w:pPr>
            <w:r>
              <w:rPr>
                <w:color w:val="000000"/>
              </w:rPr>
              <w:t>0.61</w:t>
            </w:r>
          </w:p>
        </w:tc>
        <w:tc>
          <w:tcPr>
            <w:tcW w:w="1415" w:type="dxa"/>
          </w:tcPr>
          <w:p w14:paraId="14D0CF9A" w14:textId="77777777" w:rsidR="009A4688" w:rsidRDefault="009A4688" w:rsidP="00251BFB">
            <w:pPr>
              <w:cnfStyle w:val="000000000000" w:firstRow="0" w:lastRow="0" w:firstColumn="0" w:lastColumn="0" w:oddVBand="0" w:evenVBand="0" w:oddHBand="0" w:evenHBand="0" w:firstRowFirstColumn="0" w:firstRowLastColumn="0" w:lastRowFirstColumn="0" w:lastRowLastColumn="0"/>
            </w:pPr>
            <w:r>
              <w:rPr>
                <w:color w:val="000000"/>
              </w:rPr>
              <w:t>0.54</w:t>
            </w:r>
          </w:p>
        </w:tc>
      </w:tr>
      <w:tr w:rsidR="009A4688" w14:paraId="79237A9F" w14:textId="77777777" w:rsidTr="00251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396BA766" w14:textId="77777777" w:rsidR="009A4688" w:rsidRDefault="009A4688" w:rsidP="00251BFB">
            <w:r>
              <w:rPr>
                <w:color w:val="000000"/>
              </w:rPr>
              <w:t>Black</w:t>
            </w:r>
          </w:p>
        </w:tc>
        <w:tc>
          <w:tcPr>
            <w:tcW w:w="1199" w:type="dxa"/>
          </w:tcPr>
          <w:p w14:paraId="7201B7F0" w14:textId="77777777" w:rsidR="009A4688" w:rsidRDefault="009A4688" w:rsidP="00251BFB">
            <w:pPr>
              <w:cnfStyle w:val="000000100000" w:firstRow="0" w:lastRow="0" w:firstColumn="0" w:lastColumn="0" w:oddVBand="0" w:evenVBand="0" w:oddHBand="1" w:evenHBand="0" w:firstRowFirstColumn="0" w:firstRowLastColumn="0" w:lastRowFirstColumn="0" w:lastRowLastColumn="0"/>
            </w:pPr>
            <w:r>
              <w:rPr>
                <w:color w:val="000000"/>
              </w:rPr>
              <w:t>32.47</w:t>
            </w:r>
          </w:p>
        </w:tc>
        <w:tc>
          <w:tcPr>
            <w:tcW w:w="2040" w:type="dxa"/>
          </w:tcPr>
          <w:p w14:paraId="46FA61C1" w14:textId="77777777" w:rsidR="009A4688" w:rsidRDefault="009A4688" w:rsidP="00251BFB">
            <w:pPr>
              <w:cnfStyle w:val="000000100000" w:firstRow="0" w:lastRow="0" w:firstColumn="0" w:lastColumn="0" w:oddVBand="0" w:evenVBand="0" w:oddHBand="1" w:evenHBand="0" w:firstRowFirstColumn="0" w:firstRowLastColumn="0" w:lastRowFirstColumn="0" w:lastRowLastColumn="0"/>
            </w:pPr>
            <w:r>
              <w:rPr>
                <w:color w:val="000000"/>
              </w:rPr>
              <w:t>11.33</w:t>
            </w:r>
          </w:p>
        </w:tc>
        <w:tc>
          <w:tcPr>
            <w:tcW w:w="1575" w:type="dxa"/>
          </w:tcPr>
          <w:p w14:paraId="0E8514CA" w14:textId="77777777" w:rsidR="009A4688" w:rsidRDefault="009A4688" w:rsidP="00251BFB">
            <w:pPr>
              <w:cnfStyle w:val="000000100000" w:firstRow="0" w:lastRow="0" w:firstColumn="0" w:lastColumn="0" w:oddVBand="0" w:evenVBand="0" w:oddHBand="1" w:evenHBand="0" w:firstRowFirstColumn="0" w:firstRowLastColumn="0" w:lastRowFirstColumn="0" w:lastRowLastColumn="0"/>
            </w:pPr>
            <w:r>
              <w:rPr>
                <w:color w:val="000000"/>
              </w:rPr>
              <w:t>-0.38</w:t>
            </w:r>
          </w:p>
        </w:tc>
        <w:tc>
          <w:tcPr>
            <w:tcW w:w="1575" w:type="dxa"/>
          </w:tcPr>
          <w:p w14:paraId="227B3D89" w14:textId="77777777" w:rsidR="009A4688" w:rsidRDefault="009A4688" w:rsidP="00251BFB">
            <w:pPr>
              <w:cnfStyle w:val="000000100000" w:firstRow="0" w:lastRow="0" w:firstColumn="0" w:lastColumn="0" w:oddVBand="0" w:evenVBand="0" w:oddHBand="1" w:evenHBand="0" w:firstRowFirstColumn="0" w:firstRowLastColumn="0" w:lastRowFirstColumn="0" w:lastRowLastColumn="0"/>
            </w:pPr>
            <w:r>
              <w:t>--</w:t>
            </w:r>
          </w:p>
        </w:tc>
        <w:tc>
          <w:tcPr>
            <w:tcW w:w="1415" w:type="dxa"/>
          </w:tcPr>
          <w:p w14:paraId="6CF4746D" w14:textId="77777777" w:rsidR="009A4688" w:rsidRDefault="009A4688" w:rsidP="00251BFB">
            <w:pPr>
              <w:cnfStyle w:val="000000100000" w:firstRow="0" w:lastRow="0" w:firstColumn="0" w:lastColumn="0" w:oddVBand="0" w:evenVBand="0" w:oddHBand="1" w:evenHBand="0" w:firstRowFirstColumn="0" w:firstRowLastColumn="0" w:lastRowFirstColumn="0" w:lastRowLastColumn="0"/>
            </w:pPr>
            <w:r>
              <w:rPr>
                <w:color w:val="000000"/>
              </w:rPr>
              <w:t>-0.10</w:t>
            </w:r>
          </w:p>
        </w:tc>
      </w:tr>
      <w:tr w:rsidR="009A4688" w14:paraId="5E72097B" w14:textId="77777777" w:rsidTr="00251BFB">
        <w:tc>
          <w:tcPr>
            <w:cnfStyle w:val="001000000000" w:firstRow="0" w:lastRow="0" w:firstColumn="1" w:lastColumn="0" w:oddVBand="0" w:evenVBand="0" w:oddHBand="0" w:evenHBand="0" w:firstRowFirstColumn="0" w:firstRowLastColumn="0" w:lastRowFirstColumn="0" w:lastRowLastColumn="0"/>
            <w:tcW w:w="1546" w:type="dxa"/>
          </w:tcPr>
          <w:p w14:paraId="61241DDF" w14:textId="77777777" w:rsidR="009A4688" w:rsidRDefault="009A4688" w:rsidP="00251BFB">
            <w:r>
              <w:rPr>
                <w:color w:val="000000"/>
              </w:rPr>
              <w:t>Hispanic</w:t>
            </w:r>
          </w:p>
        </w:tc>
        <w:tc>
          <w:tcPr>
            <w:tcW w:w="1199" w:type="dxa"/>
          </w:tcPr>
          <w:p w14:paraId="419AD472" w14:textId="77777777" w:rsidR="009A4688" w:rsidRDefault="009A4688" w:rsidP="00251BFB">
            <w:pPr>
              <w:cnfStyle w:val="000000000000" w:firstRow="0" w:lastRow="0" w:firstColumn="0" w:lastColumn="0" w:oddVBand="0" w:evenVBand="0" w:oddHBand="0" w:evenHBand="0" w:firstRowFirstColumn="0" w:firstRowLastColumn="0" w:lastRowFirstColumn="0" w:lastRowLastColumn="0"/>
            </w:pPr>
            <w:r>
              <w:rPr>
                <w:color w:val="000000"/>
              </w:rPr>
              <w:t>33.54</w:t>
            </w:r>
          </w:p>
        </w:tc>
        <w:tc>
          <w:tcPr>
            <w:tcW w:w="2040" w:type="dxa"/>
          </w:tcPr>
          <w:p w14:paraId="6BD4EA7C" w14:textId="77777777" w:rsidR="009A4688" w:rsidRDefault="009A4688" w:rsidP="00251BFB">
            <w:pPr>
              <w:cnfStyle w:val="000000000000" w:firstRow="0" w:lastRow="0" w:firstColumn="0" w:lastColumn="0" w:oddVBand="0" w:evenVBand="0" w:oddHBand="0" w:evenHBand="0" w:firstRowFirstColumn="0" w:firstRowLastColumn="0" w:lastRowFirstColumn="0" w:lastRowLastColumn="0"/>
            </w:pPr>
            <w:r>
              <w:rPr>
                <w:color w:val="000000"/>
              </w:rPr>
              <w:t>10.87</w:t>
            </w:r>
          </w:p>
        </w:tc>
        <w:tc>
          <w:tcPr>
            <w:tcW w:w="1575" w:type="dxa"/>
          </w:tcPr>
          <w:p w14:paraId="6234856A" w14:textId="77777777" w:rsidR="009A4688" w:rsidRDefault="009A4688" w:rsidP="00251BFB">
            <w:pPr>
              <w:cnfStyle w:val="000000000000" w:firstRow="0" w:lastRow="0" w:firstColumn="0" w:lastColumn="0" w:oddVBand="0" w:evenVBand="0" w:oddHBand="0" w:evenHBand="0" w:firstRowFirstColumn="0" w:firstRowLastColumn="0" w:lastRowFirstColumn="0" w:lastRowLastColumn="0"/>
            </w:pPr>
            <w:r>
              <w:rPr>
                <w:color w:val="000000"/>
              </w:rPr>
              <w:t>-0.30</w:t>
            </w:r>
          </w:p>
        </w:tc>
        <w:tc>
          <w:tcPr>
            <w:tcW w:w="1575" w:type="dxa"/>
          </w:tcPr>
          <w:p w14:paraId="13EF22C8" w14:textId="77777777" w:rsidR="009A4688" w:rsidRDefault="009A4688" w:rsidP="00251BFB">
            <w:pPr>
              <w:cnfStyle w:val="000000000000" w:firstRow="0" w:lastRow="0" w:firstColumn="0" w:lastColumn="0" w:oddVBand="0" w:evenVBand="0" w:oddHBand="0" w:evenHBand="0" w:firstRowFirstColumn="0" w:firstRowLastColumn="0" w:lastRowFirstColumn="0" w:lastRowLastColumn="0"/>
            </w:pPr>
            <w:r>
              <w:rPr>
                <w:color w:val="000000"/>
              </w:rPr>
              <w:t>0.10</w:t>
            </w:r>
          </w:p>
        </w:tc>
        <w:tc>
          <w:tcPr>
            <w:tcW w:w="1415" w:type="dxa"/>
          </w:tcPr>
          <w:p w14:paraId="5815FC04" w14:textId="77777777" w:rsidR="009A4688" w:rsidRDefault="009A4688" w:rsidP="00251BFB">
            <w:pPr>
              <w:cnfStyle w:val="000000000000" w:firstRow="0" w:lastRow="0" w:firstColumn="0" w:lastColumn="0" w:oddVBand="0" w:evenVBand="0" w:oddHBand="0" w:evenHBand="0" w:firstRowFirstColumn="0" w:firstRowLastColumn="0" w:lastRowFirstColumn="0" w:lastRowLastColumn="0"/>
            </w:pPr>
            <w:r>
              <w:rPr>
                <w:color w:val="000000"/>
              </w:rPr>
              <w:t>--</w:t>
            </w:r>
          </w:p>
        </w:tc>
      </w:tr>
    </w:tbl>
    <w:p w14:paraId="3281B04D" w14:textId="77777777" w:rsidR="009A4688" w:rsidRDefault="009A4688" w:rsidP="00986ED3"/>
    <w:p w14:paraId="3675D28B" w14:textId="1B856220" w:rsidR="00986ED3" w:rsidRDefault="009A4688" w:rsidP="009A4688">
      <w:pPr>
        <w:ind w:firstLine="720"/>
      </w:pPr>
      <w:r>
        <w:t xml:space="preserve">DeCarlo (2018) states that quasi-experiments are particularly useful in social welfare policy research (see chapter 12.2).  Under a quasi-experiment, the researcher team does not use </w:t>
      </w:r>
      <w:r>
        <w:lastRenderedPageBreak/>
        <w:t xml:space="preserve">random assignment and instead looks at different populations.  This method could be highly effective for examining the impact of both </w:t>
      </w:r>
      <w:r>
        <w:rPr>
          <w:i/>
          <w:iCs/>
        </w:rPr>
        <w:t xml:space="preserve">race </w:t>
      </w:r>
      <w:r>
        <w:t xml:space="preserve">and </w:t>
      </w:r>
      <w:r>
        <w:rPr>
          <w:i/>
          <w:iCs/>
        </w:rPr>
        <w:t>sanity</w:t>
      </w:r>
      <w:r>
        <w:t xml:space="preserve"> variables.</w:t>
      </w:r>
      <w:r>
        <w:t xml:space="preserve">  Using this method to </w:t>
      </w:r>
      <w:r w:rsidR="00986ED3">
        <w:t xml:space="preserve">perform all-versus-one comparisons concludes that </w:t>
      </w:r>
      <w:r w:rsidR="00986ED3">
        <w:rPr>
          <w:i/>
          <w:iCs/>
        </w:rPr>
        <w:t>race</w:t>
      </w:r>
      <w:r w:rsidR="00986ED3">
        <w:t xml:space="preserve"> and </w:t>
      </w:r>
      <w:r w:rsidR="00986ED3">
        <w:rPr>
          <w:i/>
          <w:iCs/>
        </w:rPr>
        <w:t>age</w:t>
      </w:r>
      <w:r w:rsidR="00986ED3">
        <w:t xml:space="preserve"> are not the dominant traits.  </w:t>
      </w:r>
      <w:r>
        <w:t xml:space="preserve">Similarly, </w:t>
      </w:r>
      <w:r w:rsidRPr="009A4688">
        <w:rPr>
          <w:i/>
          <w:iCs/>
        </w:rPr>
        <w:t>s</w:t>
      </w:r>
      <w:r w:rsidR="00986ED3" w:rsidRPr="00986ED3">
        <w:rPr>
          <w:i/>
          <w:iCs/>
        </w:rPr>
        <w:t>anity</w:t>
      </w:r>
      <w:r w:rsidR="00986ED3">
        <w:rPr>
          <w:i/>
          <w:iCs/>
        </w:rPr>
        <w:t xml:space="preserve">, </w:t>
      </w:r>
      <w:r w:rsidR="00986ED3" w:rsidRPr="00986ED3">
        <w:t>as</w:t>
      </w:r>
      <w:r w:rsidR="00986ED3">
        <w:rPr>
          <w:i/>
          <w:iCs/>
        </w:rPr>
        <w:t xml:space="preserve"> </w:t>
      </w:r>
      <w:r w:rsidR="00986ED3">
        <w:t>reported in the signs of mental illness column, does not a robust statistical prediction of these records</w:t>
      </w:r>
      <w:r>
        <w:t xml:space="preserve"> (see Table 2)</w:t>
      </w:r>
      <w:r w:rsidR="00986ED3">
        <w:t xml:space="preserve">. </w:t>
      </w:r>
    </w:p>
    <w:p w14:paraId="0AA5248B" w14:textId="77777777" w:rsidR="00986ED3" w:rsidRDefault="00986ED3" w:rsidP="00986ED3">
      <w:pPr>
        <w:pStyle w:val="Caption"/>
      </w:pPr>
      <w:r>
        <w:t>Table 2: Effect of Mental Health</w:t>
      </w:r>
    </w:p>
    <w:tbl>
      <w:tblPr>
        <w:tblStyle w:val="GridTable4"/>
        <w:tblW w:w="9568" w:type="dxa"/>
        <w:tblLook w:val="04A0" w:firstRow="1" w:lastRow="0" w:firstColumn="1" w:lastColumn="0" w:noHBand="0" w:noVBand="1"/>
      </w:tblPr>
      <w:tblGrid>
        <w:gridCol w:w="1999"/>
        <w:gridCol w:w="1898"/>
        <w:gridCol w:w="2202"/>
        <w:gridCol w:w="1807"/>
        <w:gridCol w:w="1662"/>
      </w:tblGrid>
      <w:tr w:rsidR="00986ED3" w14:paraId="6205D35B" w14:textId="77777777" w:rsidTr="00251BFB">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999" w:type="dxa"/>
          </w:tcPr>
          <w:p w14:paraId="7C77A350" w14:textId="77777777" w:rsidR="00986ED3" w:rsidRDefault="00986ED3" w:rsidP="00251BFB">
            <w:r>
              <w:t>Mental Illness</w:t>
            </w:r>
          </w:p>
        </w:tc>
        <w:tc>
          <w:tcPr>
            <w:tcW w:w="1898" w:type="dxa"/>
          </w:tcPr>
          <w:p w14:paraId="14C12475" w14:textId="77777777" w:rsidR="00986ED3" w:rsidRDefault="00986ED3" w:rsidP="00251BFB">
            <w:pPr>
              <w:cnfStyle w:val="100000000000" w:firstRow="1" w:lastRow="0" w:firstColumn="0" w:lastColumn="0" w:oddVBand="0" w:evenVBand="0" w:oddHBand="0" w:evenHBand="0" w:firstRowFirstColumn="0" w:firstRowLastColumn="0" w:lastRowFirstColumn="0" w:lastRowLastColumn="0"/>
            </w:pPr>
            <w:r>
              <w:t>Mean (Age)</w:t>
            </w:r>
          </w:p>
        </w:tc>
        <w:tc>
          <w:tcPr>
            <w:tcW w:w="2202" w:type="dxa"/>
          </w:tcPr>
          <w:p w14:paraId="50A061A9" w14:textId="77777777" w:rsidR="00986ED3" w:rsidRDefault="00986ED3" w:rsidP="00251BFB">
            <w:pPr>
              <w:cnfStyle w:val="100000000000" w:firstRow="1" w:lastRow="0" w:firstColumn="0" w:lastColumn="0" w:oddVBand="0" w:evenVBand="0" w:oddHBand="0" w:evenHBand="0" w:firstRowFirstColumn="0" w:firstRowLastColumn="0" w:lastRowFirstColumn="0" w:lastRowLastColumn="0"/>
            </w:pPr>
            <w:r>
              <w:t>Standard Deviation</w:t>
            </w:r>
          </w:p>
        </w:tc>
        <w:tc>
          <w:tcPr>
            <w:tcW w:w="1807" w:type="dxa"/>
          </w:tcPr>
          <w:p w14:paraId="33CF8356" w14:textId="77777777" w:rsidR="00986ED3" w:rsidRDefault="00986ED3" w:rsidP="00251BFB">
            <w:pPr>
              <w:cnfStyle w:val="100000000000" w:firstRow="1" w:lastRow="0" w:firstColumn="0" w:lastColumn="0" w:oddVBand="0" w:evenVBand="0" w:oddHBand="0" w:evenHBand="0" w:firstRowFirstColumn="0" w:firstRowLastColumn="0" w:lastRowFirstColumn="0" w:lastRowLastColumn="0"/>
            </w:pPr>
            <w:r>
              <w:t>Effect vs. All</w:t>
            </w:r>
          </w:p>
        </w:tc>
        <w:tc>
          <w:tcPr>
            <w:tcW w:w="1662" w:type="dxa"/>
          </w:tcPr>
          <w:p w14:paraId="3AEE4625" w14:textId="77777777" w:rsidR="00986ED3" w:rsidRDefault="00986ED3" w:rsidP="00251BFB">
            <w:pPr>
              <w:cnfStyle w:val="100000000000" w:firstRow="1" w:lastRow="0" w:firstColumn="0" w:lastColumn="0" w:oddVBand="0" w:evenVBand="0" w:oddHBand="0" w:evenHBand="0" w:firstRowFirstColumn="0" w:firstRowLastColumn="0" w:lastRowFirstColumn="0" w:lastRowLastColumn="0"/>
            </w:pPr>
            <w:r>
              <w:t>Effect vs. Sane</w:t>
            </w:r>
          </w:p>
        </w:tc>
      </w:tr>
      <w:tr w:rsidR="00986ED3" w14:paraId="198BEA6F" w14:textId="77777777" w:rsidTr="00251BF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999" w:type="dxa"/>
          </w:tcPr>
          <w:p w14:paraId="148A22B4" w14:textId="77777777" w:rsidR="00986ED3" w:rsidRDefault="00986ED3" w:rsidP="00251BFB">
            <w:r>
              <w:t>Yes</w:t>
            </w:r>
          </w:p>
        </w:tc>
        <w:tc>
          <w:tcPr>
            <w:tcW w:w="1898" w:type="dxa"/>
          </w:tcPr>
          <w:p w14:paraId="1262024D" w14:textId="77777777" w:rsidR="00986ED3" w:rsidRDefault="00986ED3" w:rsidP="00251BFB">
            <w:pPr>
              <w:cnfStyle w:val="000000100000" w:firstRow="0" w:lastRow="0" w:firstColumn="0" w:lastColumn="0" w:oddVBand="0" w:evenVBand="0" w:oddHBand="1" w:evenHBand="0" w:firstRowFirstColumn="0" w:firstRowLastColumn="0" w:lastRowFirstColumn="0" w:lastRowLastColumn="0"/>
            </w:pPr>
            <w:r>
              <w:t>39.74</w:t>
            </w:r>
          </w:p>
        </w:tc>
        <w:tc>
          <w:tcPr>
            <w:tcW w:w="2202" w:type="dxa"/>
          </w:tcPr>
          <w:p w14:paraId="54FEEC35" w14:textId="77777777" w:rsidR="00986ED3" w:rsidRDefault="00986ED3" w:rsidP="00251BFB">
            <w:pPr>
              <w:cnfStyle w:val="000000100000" w:firstRow="0" w:lastRow="0" w:firstColumn="0" w:lastColumn="0" w:oddVBand="0" w:evenVBand="0" w:oddHBand="1" w:evenHBand="0" w:firstRowFirstColumn="0" w:firstRowLastColumn="0" w:lastRowFirstColumn="0" w:lastRowLastColumn="0"/>
            </w:pPr>
            <w:r>
              <w:t>13.87</w:t>
            </w:r>
          </w:p>
        </w:tc>
        <w:tc>
          <w:tcPr>
            <w:tcW w:w="1807" w:type="dxa"/>
          </w:tcPr>
          <w:p w14:paraId="52B89BD9" w14:textId="77777777" w:rsidR="00986ED3" w:rsidRDefault="00986ED3" w:rsidP="00251BFB">
            <w:pPr>
              <w:cnfStyle w:val="000000100000" w:firstRow="0" w:lastRow="0" w:firstColumn="0" w:lastColumn="0" w:oddVBand="0" w:evenVBand="0" w:oddHBand="1" w:evenHBand="0" w:firstRowFirstColumn="0" w:firstRowLastColumn="0" w:lastRowFirstColumn="0" w:lastRowLastColumn="0"/>
            </w:pPr>
            <w:r>
              <w:t>0.20</w:t>
            </w:r>
          </w:p>
        </w:tc>
        <w:tc>
          <w:tcPr>
            <w:tcW w:w="1662" w:type="dxa"/>
          </w:tcPr>
          <w:p w14:paraId="0F3FB192" w14:textId="77777777" w:rsidR="00986ED3" w:rsidRDefault="00986ED3" w:rsidP="00251BFB">
            <w:pPr>
              <w:cnfStyle w:val="000000100000" w:firstRow="0" w:lastRow="0" w:firstColumn="0" w:lastColumn="0" w:oddVBand="0" w:evenVBand="0" w:oddHBand="1" w:evenHBand="0" w:firstRowFirstColumn="0" w:firstRowLastColumn="0" w:lastRowFirstColumn="0" w:lastRowLastColumn="0"/>
            </w:pPr>
            <w:r>
              <w:t>0.25</w:t>
            </w:r>
          </w:p>
        </w:tc>
      </w:tr>
      <w:tr w:rsidR="00986ED3" w14:paraId="61F0A084" w14:textId="77777777" w:rsidTr="00251BFB">
        <w:trPr>
          <w:trHeight w:val="254"/>
        </w:trPr>
        <w:tc>
          <w:tcPr>
            <w:cnfStyle w:val="001000000000" w:firstRow="0" w:lastRow="0" w:firstColumn="1" w:lastColumn="0" w:oddVBand="0" w:evenVBand="0" w:oddHBand="0" w:evenHBand="0" w:firstRowFirstColumn="0" w:firstRowLastColumn="0" w:lastRowFirstColumn="0" w:lastRowLastColumn="0"/>
            <w:tcW w:w="1999" w:type="dxa"/>
          </w:tcPr>
          <w:p w14:paraId="27AD673D" w14:textId="77777777" w:rsidR="00986ED3" w:rsidRDefault="00986ED3" w:rsidP="00251BFB">
            <w:r>
              <w:t>No</w:t>
            </w:r>
          </w:p>
        </w:tc>
        <w:tc>
          <w:tcPr>
            <w:tcW w:w="1898" w:type="dxa"/>
          </w:tcPr>
          <w:p w14:paraId="425E4A81" w14:textId="77777777" w:rsidR="00986ED3" w:rsidRDefault="00986ED3" w:rsidP="00251BFB">
            <w:pPr>
              <w:cnfStyle w:val="000000000000" w:firstRow="0" w:lastRow="0" w:firstColumn="0" w:lastColumn="0" w:oddVBand="0" w:evenVBand="0" w:oddHBand="0" w:evenHBand="0" w:firstRowFirstColumn="0" w:firstRowLastColumn="0" w:lastRowFirstColumn="0" w:lastRowLastColumn="0"/>
            </w:pPr>
            <w:r>
              <w:t>36.35</w:t>
            </w:r>
          </w:p>
        </w:tc>
        <w:tc>
          <w:tcPr>
            <w:tcW w:w="2202" w:type="dxa"/>
          </w:tcPr>
          <w:p w14:paraId="365D0B4F" w14:textId="77777777" w:rsidR="00986ED3" w:rsidRDefault="00986ED3" w:rsidP="00251BFB">
            <w:pPr>
              <w:cnfStyle w:val="000000000000" w:firstRow="0" w:lastRow="0" w:firstColumn="0" w:lastColumn="0" w:oddVBand="0" w:evenVBand="0" w:oddHBand="0" w:evenHBand="0" w:firstRowFirstColumn="0" w:firstRowLastColumn="0" w:lastRowFirstColumn="0" w:lastRowLastColumn="0"/>
            </w:pPr>
            <w:r>
              <w:t>12.80</w:t>
            </w:r>
          </w:p>
        </w:tc>
        <w:tc>
          <w:tcPr>
            <w:tcW w:w="1807" w:type="dxa"/>
          </w:tcPr>
          <w:p w14:paraId="2A87A460" w14:textId="77777777" w:rsidR="00986ED3" w:rsidRDefault="00986ED3" w:rsidP="00251BFB">
            <w:pPr>
              <w:cnfStyle w:val="000000000000" w:firstRow="0" w:lastRow="0" w:firstColumn="0" w:lastColumn="0" w:oddVBand="0" w:evenVBand="0" w:oddHBand="0" w:evenHBand="0" w:firstRowFirstColumn="0" w:firstRowLastColumn="0" w:lastRowFirstColumn="0" w:lastRowLastColumn="0"/>
            </w:pPr>
            <w:r>
              <w:t>-0.06</w:t>
            </w:r>
          </w:p>
        </w:tc>
        <w:tc>
          <w:tcPr>
            <w:tcW w:w="1662" w:type="dxa"/>
          </w:tcPr>
          <w:p w14:paraId="30B9C613" w14:textId="77777777" w:rsidR="00986ED3" w:rsidRDefault="00986ED3" w:rsidP="00251BFB">
            <w:pPr>
              <w:cnfStyle w:val="000000000000" w:firstRow="0" w:lastRow="0" w:firstColumn="0" w:lastColumn="0" w:oddVBand="0" w:evenVBand="0" w:oddHBand="0" w:evenHBand="0" w:firstRowFirstColumn="0" w:firstRowLastColumn="0" w:lastRowFirstColumn="0" w:lastRowLastColumn="0"/>
            </w:pPr>
            <w:r>
              <w:t>--</w:t>
            </w:r>
          </w:p>
        </w:tc>
      </w:tr>
    </w:tbl>
    <w:p w14:paraId="6478D58B" w14:textId="30B3CB08" w:rsidR="00986ED3" w:rsidRDefault="00986ED3" w:rsidP="00986ED3"/>
    <w:p w14:paraId="7C80BB55" w14:textId="7DAD011E" w:rsidR="009A4688" w:rsidRDefault="009A4688" w:rsidP="009A4688">
      <w:pPr>
        <w:pStyle w:val="Heading2"/>
      </w:pPr>
      <w:r>
        <w:t>Alternative Variable</w:t>
      </w:r>
    </w:p>
    <w:p w14:paraId="6BA57F77" w14:textId="77777777" w:rsidR="009A4688" w:rsidRDefault="009A4688" w:rsidP="009A4688">
      <w:pPr>
        <w:ind w:firstLine="720"/>
      </w:pPr>
      <w:r>
        <w:t xml:space="preserve">The data set includes the ‘armed’ column that contains free-form text describing any weapons on the victim.  One of the challenges with analyzing this field comes from the various subtle differences in its values (e.g., </w:t>
      </w:r>
      <w:r w:rsidRPr="00807038">
        <w:rPr>
          <w:i/>
          <w:iCs/>
        </w:rPr>
        <w:t>baseball bat</w:t>
      </w:r>
      <w:r>
        <w:t xml:space="preserve"> versus </w:t>
      </w:r>
      <w:r w:rsidRPr="00807038">
        <w:rPr>
          <w:i/>
          <w:iCs/>
        </w:rPr>
        <w:t>baseball bat and bottle</w:t>
      </w:r>
      <w:r>
        <w:t xml:space="preserve">).  Enhancements of each record include </w:t>
      </w:r>
      <w:proofErr w:type="gramStart"/>
      <w:r>
        <w:t>categorical-features</w:t>
      </w:r>
      <w:proofErr w:type="gramEnd"/>
      <w:r>
        <w:t xml:space="preserve"> that bucket the weapons by genre.  These buckets are named projectiles, sharp/blunt instruments, tool/small objects, explosive, unspecified, vehicles, and unarmed.  When the suspect has multiple weapons, such as both gun and knife, the higher risk object dictates the category.  According to these categorical-aggregations, roughly 58% of victims had a firearm, plus another 18% had a sharp/blunt instrument (see Figure 2).</w:t>
      </w:r>
      <w:r>
        <w:t xml:space="preserve">  </w:t>
      </w:r>
    </w:p>
    <w:p w14:paraId="0928B2F4" w14:textId="12061C23" w:rsidR="009A4688" w:rsidRDefault="009A4688" w:rsidP="009A4688">
      <w:pPr>
        <w:ind w:firstLine="720"/>
      </w:pPr>
      <w:r>
        <w:t>N</w:t>
      </w:r>
      <w:r>
        <w:t>ationally fifty-three million people have an interaction with a law enforcement officer each year</w:t>
      </w:r>
      <w:sdt>
        <w:sdtPr>
          <w:id w:val="345989370"/>
          <w:citation/>
        </w:sdtPr>
        <w:sdtContent>
          <w:r>
            <w:fldChar w:fldCharType="begin"/>
          </w:r>
          <w:r>
            <w:instrText xml:space="preserve"> CITATION BJS15 \l 1033 </w:instrText>
          </w:r>
          <w:r>
            <w:fldChar w:fldCharType="separate"/>
          </w:r>
          <w:r>
            <w:rPr>
              <w:noProof/>
            </w:rPr>
            <w:t xml:space="preserve"> (BJS, 2015)</w:t>
          </w:r>
          <w:r>
            <w:fldChar w:fldCharType="end"/>
          </w:r>
        </w:sdtContent>
      </w:sdt>
      <w:r>
        <w:t>.   Of this population, annually, approximately one thousand dies.  These figures suggest that roughly 0.0019% of all interactions end with the officer killing the suspect.  Further removing situations with guns and knives (76%) reduces the figure to 0.00046% of interactions result in death!</w:t>
      </w:r>
    </w:p>
    <w:p w14:paraId="2A95119A" w14:textId="77777777" w:rsidR="009A4688" w:rsidRDefault="009A4688">
      <w:pPr>
        <w:rPr>
          <w:sz w:val="18"/>
          <w:szCs w:val="18"/>
        </w:rPr>
      </w:pPr>
      <w:r>
        <w:br w:type="page"/>
      </w:r>
    </w:p>
    <w:p w14:paraId="35EBDB0C" w14:textId="0F722F81" w:rsidR="009A4688" w:rsidRDefault="009A4688" w:rsidP="009A4688">
      <w:pPr>
        <w:pStyle w:val="Caption"/>
      </w:pPr>
      <w:r>
        <w:lastRenderedPageBreak/>
        <w:t>Figure 2: Victim Weapon Category</w:t>
      </w:r>
    </w:p>
    <w:p w14:paraId="34AD6635" w14:textId="33D0FB17" w:rsidR="00986ED3" w:rsidRPr="00986ED3" w:rsidRDefault="009A4688" w:rsidP="009A4688">
      <w:pPr>
        <w:jc w:val="center"/>
      </w:pPr>
      <w:r>
        <w:rPr>
          <w:noProof/>
        </w:rPr>
        <w:drawing>
          <wp:inline distT="0" distB="0" distL="0" distR="0" wp14:anchorId="7850328A" wp14:editId="37AFDCFB">
            <wp:extent cx="3837581" cy="17174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9375" cy="1771990"/>
                    </a:xfrm>
                    <a:prstGeom prst="rect">
                      <a:avLst/>
                    </a:prstGeom>
                  </pic:spPr>
                </pic:pic>
              </a:graphicData>
            </a:graphic>
          </wp:inline>
        </w:drawing>
      </w:r>
    </w:p>
    <w:p w14:paraId="745321FA" w14:textId="7E9ACA9A" w:rsidR="00021B2F" w:rsidRDefault="00021B2F" w:rsidP="00021B2F">
      <w:pPr>
        <w:pStyle w:val="Heading1"/>
      </w:pPr>
      <w:r>
        <w:t>Learnings and Process Changes</w:t>
      </w:r>
    </w:p>
    <w:p w14:paraId="020A7F22" w14:textId="5A194A05" w:rsidR="00D62DA9" w:rsidRDefault="00D62DA9" w:rsidP="00D62DA9">
      <w:pPr>
        <w:pStyle w:val="Heading2"/>
      </w:pPr>
      <w:r>
        <w:t>Results versus Popular Opinion</w:t>
      </w:r>
    </w:p>
    <w:p w14:paraId="135B7C4B" w14:textId="17398C5E" w:rsidR="00D62DA9" w:rsidRDefault="00D62DA9" w:rsidP="00D62DA9">
      <w:pPr>
        <w:ind w:firstLine="720"/>
      </w:pPr>
      <w:r>
        <w:t xml:space="preserve">Researchers and media sources use </w:t>
      </w:r>
      <w:r>
        <w:t xml:space="preserve">the Washington Post’s </w:t>
      </w:r>
      <w:r>
        <w:t>data to quantify the racial basis of law enforcement.  Their observations become statistical statements such as “unarmed Blacks are twice as likely as Whites to be the victim</w:t>
      </w:r>
      <w:r w:rsidRPr="00932FFA">
        <w:t xml:space="preserve"> </w:t>
      </w:r>
      <w:sdt>
        <w:sdtPr>
          <w:id w:val="-476001334"/>
          <w:citation/>
        </w:sdtPr>
        <w:sdtContent>
          <w:r>
            <w:fldChar w:fldCharType="begin"/>
          </w:r>
          <w:r>
            <w:instrText xml:space="preserve"> CITATION Nix17 \l 1033 </w:instrText>
          </w:r>
          <w:r>
            <w:fldChar w:fldCharType="separate"/>
          </w:r>
          <w:r>
            <w:rPr>
              <w:noProof/>
            </w:rPr>
            <w:t xml:space="preserve"> (Nix, Campbell, Byers, &amp; Alpert, 2017)</w:t>
          </w:r>
          <w:r>
            <w:fldChar w:fldCharType="end"/>
          </w:r>
        </w:sdtContent>
      </w:sdt>
      <w:r>
        <w:t>.”  Another frequently cited metric that “Black people were 24% of those killed despite being only 13% of the population</w:t>
      </w:r>
      <w:sdt>
        <w:sdtPr>
          <w:id w:val="-1247887052"/>
          <w:citation/>
        </w:sdtPr>
        <w:sdtContent>
          <w:r>
            <w:fldChar w:fldCharType="begin"/>
          </w:r>
          <w:r>
            <w:instrText xml:space="preserve"> CITATION KBP20 \l 1033 </w:instrText>
          </w:r>
          <w:r>
            <w:fldChar w:fldCharType="separate"/>
          </w:r>
          <w:r>
            <w:rPr>
              <w:noProof/>
            </w:rPr>
            <w:t xml:space="preserve"> (KBP, 2020)</w:t>
          </w:r>
          <w:r>
            <w:fldChar w:fldCharType="end"/>
          </w:r>
        </w:sdtContent>
      </w:sdt>
      <w:r>
        <w:t xml:space="preserve">.”  Over 200 publications that reference Nix et al.’s paper in Nature magazine and Google returns 7.7 million results for the second quote.  When NCU-C set out to assess the problem, the initial expectation was to find racial inequality and bias decisions against people of color.  While </w:t>
      </w:r>
      <w:proofErr w:type="gramStart"/>
      <w:r>
        <w:t>both of these</w:t>
      </w:r>
      <w:proofErr w:type="gramEnd"/>
      <w:r>
        <w:t xml:space="preserve"> conclusions are true, that does not appear to be the entire story about police brutality in America.</w:t>
      </w:r>
    </w:p>
    <w:p w14:paraId="15CAB0DE" w14:textId="2DB35DE6" w:rsidR="00D62DA9" w:rsidRDefault="00D62DA9" w:rsidP="00D62DA9">
      <w:pPr>
        <w:pStyle w:val="Heading2"/>
      </w:pPr>
      <w:r>
        <w:t>Changes to Explain Difference</w:t>
      </w:r>
    </w:p>
    <w:p w14:paraId="3CC75117" w14:textId="44E55634" w:rsidR="00D62DA9" w:rsidRDefault="00D62DA9" w:rsidP="00D62DA9">
      <w:pPr>
        <w:ind w:firstLine="720"/>
      </w:pPr>
      <w:r>
        <w:t xml:space="preserve">Since the initial statistical exploration suggests that these crimes are not racially bias, then the change in direction is necessary to explain these commonly cited metrics.  This change rejects the perspective that its acceptable to treat the country as a homogenous cluster.  </w:t>
      </w:r>
      <w:r>
        <w:t xml:space="preserve">Instead, decomposing America into regions allows for a more accurate assessment of the relevant population counts to include.  For example, since at least 2015, no police officer has killed a </w:t>
      </w:r>
      <w:r>
        <w:lastRenderedPageBreak/>
        <w:t>Hispanic person in Montana</w:t>
      </w:r>
      <w:sdt>
        <w:sdtPr>
          <w:id w:val="-746652349"/>
          <w:citation/>
        </w:sdtPr>
        <w:sdtContent>
          <w:r>
            <w:fldChar w:fldCharType="begin"/>
          </w:r>
          <w:r>
            <w:instrText xml:space="preserve"> CITATION Was20 \l 1033 </w:instrText>
          </w:r>
          <w:r>
            <w:fldChar w:fldCharType="separate"/>
          </w:r>
          <w:r>
            <w:rPr>
              <w:noProof/>
            </w:rPr>
            <w:t xml:space="preserve"> (Washington Post, 2020)</w:t>
          </w:r>
          <w:r>
            <w:fldChar w:fldCharType="end"/>
          </w:r>
        </w:sdtContent>
      </w:sdt>
      <w:r>
        <w:t>.  However, this group also only represents 38,000 (less than 4%) of that state’s inhabitants</w:t>
      </w:r>
      <w:sdt>
        <w:sdtPr>
          <w:id w:val="-1791884469"/>
          <w:citation/>
        </w:sdtPr>
        <w:sdtContent>
          <w:r>
            <w:fldChar w:fldCharType="begin"/>
          </w:r>
          <w:r>
            <w:instrText xml:space="preserve"> CITATION Cen19 \l 1033 </w:instrText>
          </w:r>
          <w:r>
            <w:fldChar w:fldCharType="separate"/>
          </w:r>
          <w:r>
            <w:rPr>
              <w:noProof/>
            </w:rPr>
            <w:t xml:space="preserve"> (Census Bureau, 2019)</w:t>
          </w:r>
          <w:r>
            <w:fldChar w:fldCharType="end"/>
          </w:r>
        </w:sdtContent>
      </w:sdt>
      <w:r>
        <w:t>.  Then consider that Texas has over 11 million (39.4%) residents of Hispanic and Latino descent.  Police violence in this state has killed 432 people during this same period, of which 143 (33%) were Hispanic</w:t>
      </w:r>
      <w:r>
        <w:t xml:space="preserve"> (see Figure 3)</w:t>
      </w:r>
      <w:r>
        <w:t>.</w:t>
      </w:r>
    </w:p>
    <w:p w14:paraId="573DB03E" w14:textId="77777777" w:rsidR="00D62DA9" w:rsidRDefault="00D62DA9" w:rsidP="00D62DA9">
      <w:pPr>
        <w:pStyle w:val="Caption"/>
      </w:pPr>
      <w:r>
        <w:t>Figure 3: Hispanic Victims by State</w:t>
      </w:r>
    </w:p>
    <w:p w14:paraId="2D28DF6F" w14:textId="32FCCF6B" w:rsidR="00D62DA9" w:rsidRDefault="00D62DA9" w:rsidP="00D62DA9">
      <w:pPr>
        <w:ind w:firstLine="720"/>
        <w:jc w:val="center"/>
      </w:pPr>
      <w:r>
        <w:rPr>
          <w:noProof/>
        </w:rPr>
        <w:drawing>
          <wp:inline distT="0" distB="0" distL="0" distR="0" wp14:anchorId="1610C322" wp14:editId="1C1AA4EE">
            <wp:extent cx="2146852" cy="1305394"/>
            <wp:effectExtent l="0" t="0" r="635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4473" cy="1322189"/>
                    </a:xfrm>
                    <a:prstGeom prst="rect">
                      <a:avLst/>
                    </a:prstGeom>
                  </pic:spPr>
                </pic:pic>
              </a:graphicData>
            </a:graphic>
          </wp:inline>
        </w:drawing>
      </w:r>
      <w:r w:rsidRPr="00BF19A0">
        <w:rPr>
          <w:noProof/>
        </w:rPr>
        <w:t xml:space="preserve"> </w:t>
      </w:r>
      <w:r>
        <w:rPr>
          <w:noProof/>
        </w:rPr>
        <w:drawing>
          <wp:inline distT="0" distB="0" distL="0" distR="0" wp14:anchorId="4535ED11" wp14:editId="40D47E44">
            <wp:extent cx="2289976" cy="13797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7853" cy="1396531"/>
                    </a:xfrm>
                    <a:prstGeom prst="rect">
                      <a:avLst/>
                    </a:prstGeom>
                  </pic:spPr>
                </pic:pic>
              </a:graphicData>
            </a:graphic>
          </wp:inline>
        </w:drawing>
      </w:r>
    </w:p>
    <w:p w14:paraId="7C70DE4A" w14:textId="4F721944" w:rsidR="00D62DA9" w:rsidRDefault="00D62DA9" w:rsidP="00D62DA9">
      <w:pPr>
        <w:ind w:firstLine="720"/>
      </w:pPr>
      <w:r>
        <w:t xml:space="preserve">After </w:t>
      </w:r>
      <w:r>
        <w:t xml:space="preserve">plotting the distribution of </w:t>
      </w:r>
      <w:r>
        <w:t xml:space="preserve">other groups, like Black victims </w:t>
      </w:r>
      <w:r>
        <w:t xml:space="preserve">in terms of population per state, results in similar charts (see Figure </w:t>
      </w:r>
      <w:r>
        <w:t>4</w:t>
      </w:r>
      <w:r>
        <w:t xml:space="preserve">).  These pivots suggest that the deaths are not racially motivated, and instead, a function of the locale-specific population make-up.  If that was not the case, then more pronounced outliers should exist with substantially higher victim rates relative to the group’s population.  This outcome also hints that some other motivator outside of the </w:t>
      </w:r>
      <w:r w:rsidRPr="00FF219A">
        <w:rPr>
          <w:i/>
          <w:iCs/>
        </w:rPr>
        <w:t>race</w:t>
      </w:r>
      <w:r>
        <w:t xml:space="preserve"> is likely to exist.</w:t>
      </w:r>
    </w:p>
    <w:p w14:paraId="2F9FEBD5" w14:textId="77777777" w:rsidR="00D62DA9" w:rsidRDefault="00D62DA9" w:rsidP="00D62DA9">
      <w:pPr>
        <w:pStyle w:val="Caption"/>
      </w:pPr>
      <w:r>
        <w:t>Figure 3: Black Victims by State</w:t>
      </w:r>
    </w:p>
    <w:p w14:paraId="252726EB" w14:textId="77777777" w:rsidR="00D62DA9" w:rsidRDefault="00D62DA9" w:rsidP="00D62DA9">
      <w:pPr>
        <w:jc w:val="center"/>
        <w:rPr>
          <w:noProof/>
        </w:rPr>
      </w:pPr>
      <w:r>
        <w:rPr>
          <w:noProof/>
        </w:rPr>
        <w:drawing>
          <wp:inline distT="0" distB="0" distL="0" distR="0" wp14:anchorId="6A0CC55C" wp14:editId="06FC38E9">
            <wp:extent cx="2663687" cy="162501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6390" cy="1663270"/>
                    </a:xfrm>
                    <a:prstGeom prst="rect">
                      <a:avLst/>
                    </a:prstGeom>
                  </pic:spPr>
                </pic:pic>
              </a:graphicData>
            </a:graphic>
          </wp:inline>
        </w:drawing>
      </w:r>
      <w:r w:rsidRPr="00BF19A0">
        <w:rPr>
          <w:noProof/>
        </w:rPr>
        <w:t xml:space="preserve"> </w:t>
      </w:r>
      <w:r>
        <w:rPr>
          <w:noProof/>
        </w:rPr>
        <w:drawing>
          <wp:inline distT="0" distB="0" distL="0" distR="0" wp14:anchorId="151FF7FF" wp14:editId="0679B1B4">
            <wp:extent cx="2631882" cy="16041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5054" cy="1630510"/>
                    </a:xfrm>
                    <a:prstGeom prst="rect">
                      <a:avLst/>
                    </a:prstGeom>
                  </pic:spPr>
                </pic:pic>
              </a:graphicData>
            </a:graphic>
          </wp:inline>
        </w:drawing>
      </w:r>
    </w:p>
    <w:p w14:paraId="370AB021" w14:textId="77777777" w:rsidR="00D62DA9" w:rsidRDefault="00D62DA9" w:rsidP="00D62DA9"/>
    <w:p w14:paraId="556580D2" w14:textId="7D049D93" w:rsidR="00021B2F" w:rsidRDefault="00021B2F" w:rsidP="00021B2F">
      <w:pPr>
        <w:pStyle w:val="Heading1"/>
      </w:pPr>
      <w:r>
        <w:lastRenderedPageBreak/>
        <w:t>Obtaining Stakeholder Buy-in</w:t>
      </w:r>
    </w:p>
    <w:p w14:paraId="19C76440" w14:textId="115D9E94" w:rsidR="00AC1804" w:rsidRDefault="00AC1804" w:rsidP="00AC1804">
      <w:pPr>
        <w:pStyle w:val="Heading2"/>
      </w:pPr>
      <w:r>
        <w:t>Recommended Strategy</w:t>
      </w:r>
    </w:p>
    <w:p w14:paraId="55B804D4" w14:textId="4EB4A4C5" w:rsidR="00AC1804" w:rsidRDefault="00AC1804" w:rsidP="00AC1804">
      <w:pPr>
        <w:ind w:firstLine="720"/>
      </w:pPr>
      <w:r>
        <w:t xml:space="preserve">There are fifty-three million people </w:t>
      </w:r>
      <w:r>
        <w:t xml:space="preserve">who </w:t>
      </w:r>
      <w:r>
        <w:t>have an interaction with the police each year</w:t>
      </w:r>
      <w:sdt>
        <w:sdtPr>
          <w:id w:val="-1624075908"/>
          <w:citation/>
        </w:sdtPr>
        <w:sdtContent>
          <w:r>
            <w:fldChar w:fldCharType="begin"/>
          </w:r>
          <w:r>
            <w:instrText xml:space="preserve"> CITATION BJS15 \l 1033 </w:instrText>
          </w:r>
          <w:r>
            <w:fldChar w:fldCharType="separate"/>
          </w:r>
          <w:r>
            <w:rPr>
              <w:noProof/>
            </w:rPr>
            <w:t xml:space="preserve"> (BJS, 2015)</w:t>
          </w:r>
          <w:r>
            <w:fldChar w:fldCharType="end"/>
          </w:r>
        </w:sdtContent>
      </w:sdt>
      <w:r>
        <w:t>.  Annually, 167 (+/- 6) officers and 66 (+/- 16) unarmed civilians die during these altercations</w:t>
      </w:r>
      <w:sdt>
        <w:sdtPr>
          <w:id w:val="459935875"/>
          <w:citation/>
        </w:sdtPr>
        <w:sdtContent>
          <w:r>
            <w:fldChar w:fldCharType="begin"/>
          </w:r>
          <w:r>
            <w:instrText xml:space="preserve"> CITATION NLE19 \l 1033 </w:instrText>
          </w:r>
          <w:r>
            <w:fldChar w:fldCharType="separate"/>
          </w:r>
          <w:r>
            <w:rPr>
              <w:noProof/>
            </w:rPr>
            <w:t xml:space="preserve"> (NLEOMF, 2019)</w:t>
          </w:r>
          <w:r>
            <w:fldChar w:fldCharType="end"/>
          </w:r>
        </w:sdtContent>
      </w:sdt>
      <w:r>
        <w:t xml:space="preserve">.  These situations </w:t>
      </w:r>
      <w:proofErr w:type="gramStart"/>
      <w:r>
        <w:t>have to</w:t>
      </w:r>
      <w:proofErr w:type="gramEnd"/>
      <w:r>
        <w:t xml:space="preserve"> introduce a wide range of emotions and hostility, which creates challenges while balancing the safety of officers and civilians.  NCU-C should invest additional resources into exploring solutions to reduce this friction.  For instance, of the incidents that result in death, 76% (3853 of 4937) involve the suspect having a weapon (see Figure </w:t>
      </w:r>
      <w:r>
        <w:t>5</w:t>
      </w:r>
      <w:r>
        <w:t xml:space="preserve">).  Training and procedures could exist to address these scenarios in a manner that improves the probability of a peaceful resolution.  While it does not address </w:t>
      </w:r>
      <w:proofErr w:type="gramStart"/>
      <w:r>
        <w:t>all of</w:t>
      </w:r>
      <w:proofErr w:type="gramEnd"/>
      <w:r>
        <w:t xml:space="preserve"> the concerns, this is a significant source of police brutality.  Specifically, the unarmed and unspecified groups need further consideration to reduce the loss of life for these subgroups.  However, it might be impossible to eliminate due to this group representing 0.00002% (119 of 53 million) interactions per year.</w:t>
      </w:r>
    </w:p>
    <w:p w14:paraId="3A72FBFA" w14:textId="77777777" w:rsidR="00AC1804" w:rsidRDefault="00AC1804" w:rsidP="00AC1804">
      <w:pPr>
        <w:pStyle w:val="Caption"/>
      </w:pPr>
      <w:r>
        <w:t>Figure 4: Suspect Armed Category 2015-2019 Total</w:t>
      </w:r>
    </w:p>
    <w:p w14:paraId="6839844E" w14:textId="77777777" w:rsidR="00AC1804" w:rsidRDefault="00AC1804" w:rsidP="00AC1804">
      <w:pPr>
        <w:jc w:val="center"/>
      </w:pPr>
      <w:r>
        <w:rPr>
          <w:noProof/>
        </w:rPr>
        <w:drawing>
          <wp:inline distT="0" distB="0" distL="0" distR="0" wp14:anchorId="0195800D" wp14:editId="5F5E32C9">
            <wp:extent cx="2864774" cy="1749287"/>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4774" cy="1749287"/>
                    </a:xfrm>
                    <a:prstGeom prst="rect">
                      <a:avLst/>
                    </a:prstGeom>
                  </pic:spPr>
                </pic:pic>
              </a:graphicData>
            </a:graphic>
          </wp:inline>
        </w:drawing>
      </w:r>
    </w:p>
    <w:p w14:paraId="6076C22E" w14:textId="2E332606" w:rsidR="00AC1804" w:rsidRDefault="00AC1804" w:rsidP="00AC1804"/>
    <w:p w14:paraId="7B4692F6" w14:textId="5D80DEF4" w:rsidR="00AC1804" w:rsidRDefault="00AC1804">
      <w:r>
        <w:br w:type="page"/>
      </w:r>
    </w:p>
    <w:sdt>
      <w:sdtPr>
        <w:id w:val="-1330283907"/>
        <w:docPartObj>
          <w:docPartGallery w:val="Bibliographies"/>
          <w:docPartUnique/>
        </w:docPartObj>
      </w:sdtPr>
      <w:sdtEndPr>
        <w:rPr>
          <w:b w:val="0"/>
        </w:rPr>
      </w:sdtEndPr>
      <w:sdtContent>
        <w:p w14:paraId="6F7ABD6A" w14:textId="69CC2959" w:rsidR="00AC1804" w:rsidRDefault="00AC1804">
          <w:pPr>
            <w:pStyle w:val="Heading1"/>
          </w:pPr>
          <w:r>
            <w:t>References</w:t>
          </w:r>
        </w:p>
        <w:sdt>
          <w:sdtPr>
            <w:id w:val="-573587230"/>
            <w:bibliography/>
          </w:sdtPr>
          <w:sdtContent>
            <w:p w14:paraId="2593A6AF" w14:textId="77777777" w:rsidR="00AC1804" w:rsidRDefault="00AC1804" w:rsidP="00AC1804">
              <w:pPr>
                <w:pStyle w:val="Bibliography"/>
                <w:ind w:left="720" w:hanging="720"/>
                <w:rPr>
                  <w:noProof/>
                </w:rPr>
              </w:pPr>
              <w:r>
                <w:fldChar w:fldCharType="begin"/>
              </w:r>
              <w:r>
                <w:instrText xml:space="preserve"> BIBLIOGRAPHY </w:instrText>
              </w:r>
              <w:r>
                <w:fldChar w:fldCharType="separate"/>
              </w:r>
              <w:r>
                <w:rPr>
                  <w:noProof/>
                </w:rPr>
                <w:t xml:space="preserve">BJS. (2015, October). </w:t>
              </w:r>
              <w:r>
                <w:rPr>
                  <w:i/>
                  <w:iCs/>
                  <w:noProof/>
                </w:rPr>
                <w:t>Contacts between police and the public</w:t>
              </w:r>
              <w:r>
                <w:rPr>
                  <w:noProof/>
                </w:rPr>
                <w:t>. Retrieved from Bureau of Justice Statistics: https://www.bjs.gov/content/pub/pdf/cpp15_sum.pdf</w:t>
              </w:r>
            </w:p>
            <w:p w14:paraId="2C6E4937" w14:textId="2E582420" w:rsidR="00AC1804" w:rsidRDefault="00AC1804" w:rsidP="00AC1804">
              <w:pPr>
                <w:pStyle w:val="Bibliography"/>
                <w:ind w:left="720" w:hanging="720"/>
                <w:rPr>
                  <w:noProof/>
                </w:rPr>
              </w:pPr>
              <w:r>
                <w:rPr>
                  <w:noProof/>
                </w:rPr>
                <w:t xml:space="preserve">BLM. (2020, May 30th). </w:t>
              </w:r>
              <w:r>
                <w:rPr>
                  <w:i/>
                  <w:iCs/>
                  <w:noProof/>
                </w:rPr>
                <w:t>#DefundThePolice</w:t>
              </w:r>
              <w:r>
                <w:rPr>
                  <w:noProof/>
                </w:rPr>
                <w:t>. Retrieved from Blac Lives Matter: https://blacklivesmatter.com/defundthepolice/</w:t>
              </w:r>
            </w:p>
            <w:p w14:paraId="1DFB7AF4" w14:textId="77777777" w:rsidR="00AC1804" w:rsidRDefault="00AC1804" w:rsidP="00AC1804">
              <w:pPr>
                <w:pStyle w:val="Bibliography"/>
                <w:ind w:left="720" w:hanging="720"/>
                <w:rPr>
                  <w:noProof/>
                </w:rPr>
              </w:pPr>
              <w:r>
                <w:rPr>
                  <w:noProof/>
                </w:rPr>
                <w:t xml:space="preserve">Census Bureau. (2019). </w:t>
              </w:r>
              <w:r>
                <w:rPr>
                  <w:i/>
                  <w:iCs/>
                  <w:noProof/>
                </w:rPr>
                <w:t>Quick facts</w:t>
              </w:r>
              <w:r>
                <w:rPr>
                  <w:noProof/>
                </w:rPr>
                <w:t>. Retrieved from United States Census Bureau: https://www.census.gov/quickfacts/fact/table/US/PST045219</w:t>
              </w:r>
            </w:p>
            <w:p w14:paraId="53A8B06A" w14:textId="77777777" w:rsidR="00AC1804" w:rsidRDefault="00AC1804" w:rsidP="00AC1804">
              <w:pPr>
                <w:pStyle w:val="Bibliography"/>
                <w:ind w:left="720" w:hanging="720"/>
                <w:rPr>
                  <w:noProof/>
                </w:rPr>
              </w:pPr>
              <w:r>
                <w:rPr>
                  <w:noProof/>
                </w:rPr>
                <w:t xml:space="preserve">DeCarlo, M. (2018). </w:t>
              </w:r>
              <w:r>
                <w:rPr>
                  <w:i/>
                  <w:iCs/>
                  <w:noProof/>
                </w:rPr>
                <w:t>Principles of Sociological Inquiry: Qualitative and Quantitative Methods.</w:t>
              </w:r>
              <w:r>
                <w:rPr>
                  <w:noProof/>
                </w:rPr>
                <w:t xml:space="preserve"> Blackstone Textbooks. Retrieved from https://scientificinquiryinsocialwork.pressbooks.com/chapter/12-1-experimental-design-what-is-it-and-when-should-it-be-used/</w:t>
              </w:r>
            </w:p>
            <w:p w14:paraId="0984C12E" w14:textId="066E9979" w:rsidR="00AC1804" w:rsidRDefault="00AC1804" w:rsidP="00AC1804">
              <w:pPr>
                <w:pStyle w:val="Bibliography"/>
                <w:ind w:left="720" w:hanging="720"/>
                <w:rPr>
                  <w:noProof/>
                </w:rPr>
              </w:pPr>
              <w:r>
                <w:rPr>
                  <w:noProof/>
                </w:rPr>
                <w:t xml:space="preserve">KBP. (2020, August 11th). </w:t>
              </w:r>
              <w:r>
                <w:rPr>
                  <w:i/>
                  <w:iCs/>
                  <w:noProof/>
                </w:rPr>
                <w:t>Police shootings database</w:t>
              </w:r>
              <w:r>
                <w:rPr>
                  <w:noProof/>
                </w:rPr>
                <w:t>. Retrieved from Killed By Police: https://killedbypolice.net/</w:t>
              </w:r>
            </w:p>
            <w:p w14:paraId="44F3C00D" w14:textId="77777777" w:rsidR="00AC1804" w:rsidRDefault="00AC1804" w:rsidP="00AC1804">
              <w:pPr>
                <w:pStyle w:val="Bibliography"/>
                <w:ind w:left="720" w:hanging="720"/>
                <w:rPr>
                  <w:noProof/>
                </w:rPr>
              </w:pPr>
              <w:r>
                <w:rPr>
                  <w:noProof/>
                </w:rPr>
                <w:t xml:space="preserve">Lamb, H., Weinberger, L., &amp; DeCuir, W. (2014). The police and mental health. </w:t>
              </w:r>
              <w:r>
                <w:rPr>
                  <w:i/>
                  <w:iCs/>
                  <w:noProof/>
                </w:rPr>
                <w:t>Psychiatric Services, 53</w:t>
              </w:r>
              <w:r>
                <w:rPr>
                  <w:noProof/>
                </w:rPr>
                <w:t>(10), 1266-1271. doi:https://doi.org/10.1176/appi.ps.53.10.1266</w:t>
              </w:r>
            </w:p>
            <w:p w14:paraId="561B915B" w14:textId="5458CCFC" w:rsidR="00AC1804" w:rsidRDefault="00AC1804" w:rsidP="00AC1804">
              <w:pPr>
                <w:pStyle w:val="Bibliography"/>
                <w:ind w:left="720" w:hanging="720"/>
                <w:rPr>
                  <w:noProof/>
                </w:rPr>
              </w:pPr>
              <w:r>
                <w:rPr>
                  <w:noProof/>
                </w:rPr>
                <w:t xml:space="preserve">McCaskill, N. (2020, July 16th). </w:t>
              </w:r>
              <w:r>
                <w:rPr>
                  <w:i/>
                  <w:iCs/>
                  <w:noProof/>
                </w:rPr>
                <w:t>Trump has tried to make 'Black Lives Matter' a partisan issue. A federal agency says it is not.</w:t>
              </w:r>
              <w:r>
                <w:rPr>
                  <w:noProof/>
                </w:rPr>
                <w:t xml:space="preserve"> Retrieved from Politico: https://www.politico.com/news/2020/07/16/trump-special-counsel-black-lives-matter-366177</w:t>
              </w:r>
            </w:p>
            <w:p w14:paraId="7AA439B4" w14:textId="650766FE" w:rsidR="00AC1804" w:rsidRDefault="00AC1804" w:rsidP="00AC1804">
              <w:pPr>
                <w:pStyle w:val="Bibliography"/>
                <w:ind w:left="720" w:hanging="720"/>
                <w:rPr>
                  <w:noProof/>
                </w:rPr>
              </w:pPr>
              <w:r>
                <w:rPr>
                  <w:noProof/>
                </w:rPr>
                <w:t xml:space="preserve">Nix, J., Campbell, B., Byers, E., &amp; Alpert, G. (2017, February 8th). A bird's eye view of civilians killed by police in 2015. </w:t>
              </w:r>
              <w:r>
                <w:rPr>
                  <w:i/>
                  <w:iCs/>
                  <w:noProof/>
                </w:rPr>
                <w:t>Criminology and public policy, 16</w:t>
              </w:r>
              <w:r>
                <w:rPr>
                  <w:noProof/>
                </w:rPr>
                <w:t>(1), 309-340. doi:https://doi-org.proxy1.ncu.edu/10.1111/1745-9133.12269</w:t>
              </w:r>
            </w:p>
            <w:p w14:paraId="0946B2F1" w14:textId="3A5CD5FC" w:rsidR="00AC1804" w:rsidRDefault="00AC1804" w:rsidP="00AC1804">
              <w:pPr>
                <w:pStyle w:val="Bibliography"/>
                <w:ind w:left="720" w:hanging="720"/>
                <w:rPr>
                  <w:noProof/>
                </w:rPr>
              </w:pPr>
              <w:r>
                <w:rPr>
                  <w:noProof/>
                </w:rPr>
                <w:lastRenderedPageBreak/>
                <w:t xml:space="preserve">NLEOMF. (2019, April 10th). </w:t>
              </w:r>
              <w:r>
                <w:rPr>
                  <w:i/>
                  <w:iCs/>
                  <w:noProof/>
                </w:rPr>
                <w:t>A year-by-Year breakdown of law enforcement deaths throughout U.S. history</w:t>
              </w:r>
              <w:r>
                <w:rPr>
                  <w:noProof/>
                </w:rPr>
                <w:t>. Retrieved from National Law Enforcement Officers Memorial Fund: https://nleomf.org/facts-figures/officer-deaths-by-year</w:t>
              </w:r>
            </w:p>
            <w:p w14:paraId="784B8776" w14:textId="77777777" w:rsidR="00AC1804" w:rsidRDefault="00AC1804" w:rsidP="00AC1804">
              <w:pPr>
                <w:pStyle w:val="Bibliography"/>
                <w:ind w:left="720" w:hanging="720"/>
                <w:rPr>
                  <w:noProof/>
                </w:rPr>
              </w:pPr>
              <w:r>
                <w:rPr>
                  <w:noProof/>
                </w:rPr>
                <w:t xml:space="preserve">Smith, C. (2020, Spring). Blue lives matter versus black lives matter: beneficial social policies as the path away from punitive rhetoric and harm. </w:t>
              </w:r>
              <w:r>
                <w:rPr>
                  <w:i/>
                  <w:iCs/>
                  <w:noProof/>
                </w:rPr>
                <w:t>Vermont Law Review, 44</w:t>
              </w:r>
              <w:r>
                <w:rPr>
                  <w:noProof/>
                </w:rPr>
                <w:t>(3), 463-291. Retrieved from https://search-ebscohost-com.proxy1.ncu.edu/login.aspx?direct=true&amp;db=ofs&amp;AN=143809860&amp;site=eds-liv</w:t>
              </w:r>
            </w:p>
            <w:p w14:paraId="0498B7C0" w14:textId="71715F49" w:rsidR="00AC1804" w:rsidRDefault="00AC1804" w:rsidP="00AC1804">
              <w:pPr>
                <w:pStyle w:val="Bibliography"/>
                <w:ind w:left="720" w:hanging="720"/>
                <w:rPr>
                  <w:noProof/>
                </w:rPr>
              </w:pPr>
              <w:r>
                <w:rPr>
                  <w:noProof/>
                </w:rPr>
                <w:t xml:space="preserve">Trump, D. (2020, July 1st). </w:t>
              </w:r>
              <w:r>
                <w:rPr>
                  <w:i/>
                  <w:iCs/>
                  <w:noProof/>
                </w:rPr>
                <w:t>@realDonalTrump</w:t>
              </w:r>
              <w:r>
                <w:rPr>
                  <w:noProof/>
                </w:rPr>
                <w:t>. Retrieved from Twitter: https://twitter.com/realDonaldTrump/status/1278324681477689349</w:t>
              </w:r>
            </w:p>
            <w:p w14:paraId="71CDFA38" w14:textId="25617320" w:rsidR="00AC1804" w:rsidRDefault="00AC1804" w:rsidP="00AC1804">
              <w:pPr>
                <w:pStyle w:val="Bibliography"/>
                <w:ind w:left="720" w:hanging="720"/>
                <w:rPr>
                  <w:noProof/>
                </w:rPr>
              </w:pPr>
              <w:r>
                <w:rPr>
                  <w:noProof/>
                </w:rPr>
                <w:t xml:space="preserve">Washington Post. (2020, August 1st). </w:t>
              </w:r>
              <w:r>
                <w:rPr>
                  <w:i/>
                  <w:iCs/>
                  <w:noProof/>
                </w:rPr>
                <w:t>Data police shootings</w:t>
              </w:r>
              <w:r>
                <w:rPr>
                  <w:noProof/>
                </w:rPr>
                <w:t>. Retrieved from GitHub: https://github.com/washingtonpost/data-police-shootings/commit/2ea87a4ed725b164be1489878e20827fb5944d1b</w:t>
              </w:r>
            </w:p>
            <w:p w14:paraId="52C17C6D" w14:textId="01AD20B3" w:rsidR="00AC1804" w:rsidRDefault="00AC1804" w:rsidP="00AC1804">
              <w:r>
                <w:rPr>
                  <w:b/>
                  <w:bCs/>
                  <w:noProof/>
                </w:rPr>
                <w:fldChar w:fldCharType="end"/>
              </w:r>
            </w:p>
          </w:sdtContent>
        </w:sdt>
      </w:sdtContent>
    </w:sdt>
    <w:p w14:paraId="33F60C96" w14:textId="77777777" w:rsidR="00AC1804" w:rsidRDefault="00AC1804" w:rsidP="00AC1804"/>
    <w:p w14:paraId="351E04B1" w14:textId="0F9E0BD1" w:rsidR="00AC1804" w:rsidRPr="00AC1804" w:rsidRDefault="00AC1804" w:rsidP="00AC1804">
      <w:pPr>
        <w:pStyle w:val="Heading2"/>
      </w:pPr>
    </w:p>
    <w:sectPr w:rsidR="00AC1804" w:rsidRPr="00AC1804" w:rsidSect="00877007">
      <w:head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3C9ADC" w14:textId="77777777" w:rsidR="007274AD" w:rsidRDefault="007274AD" w:rsidP="0082223F">
      <w:pPr>
        <w:spacing w:line="240" w:lineRule="auto"/>
      </w:pPr>
      <w:r>
        <w:separator/>
      </w:r>
    </w:p>
  </w:endnote>
  <w:endnote w:type="continuationSeparator" w:id="0">
    <w:p w14:paraId="361C3888" w14:textId="77777777" w:rsidR="007274AD" w:rsidRDefault="007274A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C6FD88" w14:textId="77777777" w:rsidR="007274AD" w:rsidRDefault="007274AD" w:rsidP="0082223F">
      <w:pPr>
        <w:spacing w:line="240" w:lineRule="auto"/>
      </w:pPr>
      <w:r>
        <w:separator/>
      </w:r>
    </w:p>
  </w:footnote>
  <w:footnote w:type="continuationSeparator" w:id="0">
    <w:p w14:paraId="23B9367D" w14:textId="77777777" w:rsidR="007274AD" w:rsidRDefault="007274A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0FCF1598"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 xml:space="preserve">Statistics for </w:t>
    </w:r>
    <w:proofErr w:type="spellStart"/>
    <w:r w:rsidR="00D0165E">
      <w:t>Technlogy</w:t>
    </w:r>
    <w:proofErr w:type="spellEnd"/>
    <w:r w:rsidR="00D0165E">
      <w:t xml:space="preserve">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21B2F"/>
    <w:rsid w:val="00036708"/>
    <w:rsid w:val="00036F58"/>
    <w:rsid w:val="000C71D8"/>
    <w:rsid w:val="000F28B4"/>
    <w:rsid w:val="00170D0B"/>
    <w:rsid w:val="00183597"/>
    <w:rsid w:val="001B27C4"/>
    <w:rsid w:val="001E5317"/>
    <w:rsid w:val="002030D2"/>
    <w:rsid w:val="00225C8D"/>
    <w:rsid w:val="002806B7"/>
    <w:rsid w:val="00287C08"/>
    <w:rsid w:val="003A34F8"/>
    <w:rsid w:val="003F4714"/>
    <w:rsid w:val="00401D65"/>
    <w:rsid w:val="004223E8"/>
    <w:rsid w:val="00424108"/>
    <w:rsid w:val="004A784B"/>
    <w:rsid w:val="00553F3B"/>
    <w:rsid w:val="0059365F"/>
    <w:rsid w:val="005B7079"/>
    <w:rsid w:val="006D793E"/>
    <w:rsid w:val="007274AD"/>
    <w:rsid w:val="0073677D"/>
    <w:rsid w:val="00786C98"/>
    <w:rsid w:val="0082223F"/>
    <w:rsid w:val="0085016C"/>
    <w:rsid w:val="00877007"/>
    <w:rsid w:val="008B5129"/>
    <w:rsid w:val="009136FD"/>
    <w:rsid w:val="00986ED3"/>
    <w:rsid w:val="009A4688"/>
    <w:rsid w:val="009A757D"/>
    <w:rsid w:val="009F7F3D"/>
    <w:rsid w:val="00A72083"/>
    <w:rsid w:val="00AA7B5B"/>
    <w:rsid w:val="00AB2E10"/>
    <w:rsid w:val="00AC1804"/>
    <w:rsid w:val="00B13ADF"/>
    <w:rsid w:val="00B41AA2"/>
    <w:rsid w:val="00B83595"/>
    <w:rsid w:val="00BA27D1"/>
    <w:rsid w:val="00C54DC8"/>
    <w:rsid w:val="00C553B7"/>
    <w:rsid w:val="00C73692"/>
    <w:rsid w:val="00C93BB7"/>
    <w:rsid w:val="00CB25E9"/>
    <w:rsid w:val="00D0165E"/>
    <w:rsid w:val="00D62DA9"/>
    <w:rsid w:val="00D75C7B"/>
    <w:rsid w:val="00D85C7B"/>
    <w:rsid w:val="00DE2224"/>
    <w:rsid w:val="00E234E9"/>
    <w:rsid w:val="00E57D8F"/>
    <w:rsid w:val="00ED3713"/>
    <w:rsid w:val="00EE79C6"/>
    <w:rsid w:val="00F05656"/>
    <w:rsid w:val="00F6428C"/>
    <w:rsid w:val="00FF0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ListTable4">
    <w:name w:val="List Table 4"/>
    <w:basedOn w:val="TableNormal"/>
    <w:uiPriority w:val="49"/>
    <w:rsid w:val="00986ED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986ED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AC1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925862">
      <w:bodyDiv w:val="1"/>
      <w:marLeft w:val="0"/>
      <w:marRight w:val="0"/>
      <w:marTop w:val="0"/>
      <w:marBottom w:val="0"/>
      <w:divBdr>
        <w:top w:val="none" w:sz="0" w:space="0" w:color="auto"/>
        <w:left w:val="none" w:sz="0" w:space="0" w:color="auto"/>
        <w:bottom w:val="none" w:sz="0" w:space="0" w:color="auto"/>
        <w:right w:val="none" w:sz="0" w:space="0" w:color="auto"/>
      </w:divBdr>
    </w:div>
    <w:div w:id="1674452641">
      <w:bodyDiv w:val="1"/>
      <w:marLeft w:val="0"/>
      <w:marRight w:val="0"/>
      <w:marTop w:val="0"/>
      <w:marBottom w:val="0"/>
      <w:divBdr>
        <w:top w:val="none" w:sz="0" w:space="0" w:color="auto"/>
        <w:left w:val="none" w:sz="0" w:space="0" w:color="auto"/>
        <w:bottom w:val="none" w:sz="0" w:space="0" w:color="auto"/>
        <w:right w:val="none" w:sz="0" w:space="0" w:color="auto"/>
      </w:divBdr>
    </w:div>
    <w:div w:id="184937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1</b:RefOrder>
  </b:Source>
  <b:Source>
    <b:Tag>BLM20</b:Tag>
    <b:SourceType>InternetSite</b:SourceType>
    <b:Guid>{80CFB0FE-DE16-4A98-9E1C-C44E69C5561E}</b:Guid>
    <b:Author>
      <b:Author>
        <b:Corporate>BLM</b:Corporate>
      </b:Author>
    </b:Author>
    <b:Title>#DefundThePolice</b:Title>
    <b:InternetSiteTitle>Blac Lives Matter</b:InternetSiteTitle>
    <b:Year>2020</b:Year>
    <b:Month>May</b:Month>
    <b:Day>30</b:Day>
    <b:URL>https://blacklivesmatter.com/defundthepolice/</b:URL>
    <b:RefOrder>2</b:RefOrder>
  </b:Source>
  <b:Source>
    <b:Tag>Tru20</b:Tag>
    <b:SourceType>InternetSite</b:SourceType>
    <b:Guid>{7C7FC685-21BE-431A-A498-5B4C3F7F712B}</b:Guid>
    <b:Author>
      <b:Author>
        <b:NameList>
          <b:Person>
            <b:Last>Trump</b:Last>
            <b:First>D</b:First>
          </b:Person>
        </b:NameList>
      </b:Author>
    </b:Author>
    <b:Title>@realDonalTrump</b:Title>
    <b:InternetSiteTitle>Twitter</b:InternetSiteTitle>
    <b:Year>2020</b:Year>
    <b:Month>July</b:Month>
    <b:Day>1</b:Day>
    <b:URL>https://twitter.com/realDonaldTrump/status/1278324681477689349</b:URL>
    <b:RefOrder>3</b:RefOrder>
  </b:Source>
  <b:Source>
    <b:Tag>Smi20</b:Tag>
    <b:SourceType>JournalArticle</b:SourceType>
    <b:Guid>{569DD88A-1EC1-4E07-A837-666B7D6717A2}</b:Guid>
    <b:Title>Blue lives matter versus black lives matter: beneficial social policies as the path away from punitive rhetoric and harm</b:Title>
    <b:Year>2020</b:Year>
    <b:Month>Spring</b:Month>
    <b:URL>https://search-ebscohost-com.proxy1.ncu.edu/login.aspx?direct=true&amp;db=ofs&amp;AN=143809860&amp;site=eds-liv</b:URL>
    <b:Author>
      <b:Author>
        <b:NameList>
          <b:Person>
            <b:Last>Smith</b:Last>
            <b:First>C</b:First>
          </b:Person>
        </b:NameList>
      </b:Author>
    </b:Author>
    <b:JournalName>Vermont Law Review</b:JournalName>
    <b:Pages>463-291</b:Pages>
    <b:Volume>44</b:Volume>
    <b:Issue>3</b:Issue>
    <b:RefOrder>4</b:RefOrder>
  </b:Source>
  <b:Source>
    <b:Tag>Was20</b:Tag>
    <b:SourceType>InternetSite</b:SourceType>
    <b:Guid>{3C87F3AC-C4F1-4EDD-8EE2-A71A579BA3DD}</b:Guid>
    <b:Author>
      <b:Author>
        <b:Corporate>Washington Post</b:Corporate>
      </b:Author>
    </b:Author>
    <b:Title>Data police shootings</b:Title>
    <b:InternetSiteTitle>GitHub</b:InternetSiteTitle>
    <b:Year>2020</b:Year>
    <b:Month>August</b:Month>
    <b:Day>1</b:Day>
    <b:URL>https://github.com/washingtonpost/data-police-shootings/commit/2ea87a4ed725b164be1489878e20827fb5944d1b</b:URL>
    <b:RefOrder>6</b:RefOrder>
  </b:Source>
  <b:Source>
    <b:Tag>Nix17</b:Tag>
    <b:SourceType>JournalArticle</b:SourceType>
    <b:Guid>{BB807D03-5BFD-4287-B1C3-61ED2B74D88D}</b:Guid>
    <b:Title>A bird's eye view of civilians killed by police in 2015</b:Title>
    <b:Year>2017</b:Year>
    <b:Month>February</b:Month>
    <b:Day>8</b:Day>
    <b:Author>
      <b:Author>
        <b:NameList>
          <b:Person>
            <b:Last>Nix</b:Last>
            <b:First>J</b:First>
          </b:Person>
          <b:Person>
            <b:Last>Campbell</b:Last>
            <b:First>B</b:First>
          </b:Person>
          <b:Person>
            <b:Last>Byers</b:Last>
            <b:First>E</b:First>
          </b:Person>
          <b:Person>
            <b:Last>Alpert</b:Last>
            <b:First>G</b:First>
          </b:Person>
        </b:NameList>
      </b:Author>
    </b:Author>
    <b:JournalName>Criminology and public policy</b:JournalName>
    <b:Pages>309-340</b:Pages>
    <b:Volume>16</b:Volume>
    <b:Issue>1</b:Issue>
    <b:DOI>https://doi-org.proxy1.ncu.edu/10.1111/1745-9133.12269</b:DOI>
    <b:RefOrder>5</b:RefOrder>
  </b:Source>
  <b:Source>
    <b:Tag>Lam14</b:Tag>
    <b:SourceType>JournalArticle</b:SourceType>
    <b:Guid>{31F4B416-C0ED-4AE5-99EC-38201FE361E1}</b:Guid>
    <b:Title>The police and mental health</b:Title>
    <b:Year>2014</b:Year>
    <b:Author>
      <b:Author>
        <b:NameList>
          <b:Person>
            <b:Last>Lamb</b:Last>
            <b:First>H</b:First>
          </b:Person>
          <b:Person>
            <b:Last>Weinberger</b:Last>
            <b:First>L</b:First>
          </b:Person>
          <b:Person>
            <b:Last>DeCuir</b:Last>
            <b:First>W</b:First>
          </b:Person>
        </b:NameList>
      </b:Author>
    </b:Author>
    <b:JournalName>Psychiatric Services</b:JournalName>
    <b:Pages>1266-1271</b:Pages>
    <b:Volume>53</b:Volume>
    <b:Issue>10</b:Issue>
    <b:DOI>https://doi.org/10.1176/appi.ps.53.10.1266</b:DOI>
    <b:RefOrder>7</b:RefOrder>
  </b:Source>
  <b:Source>
    <b:Tag>DeC18</b:Tag>
    <b:SourceType>Book</b:SourceType>
    <b:Guid>{4933402F-62CF-4855-9A22-7CA99DEDAB65}</b:Guid>
    <b:Title>Principles of Sociological Inquiry: Qualitative and Quantitative Methods</b:Title>
    <b:Year>2018</b:Year>
    <b:URL>https://scientificinquiryinsocialwork.pressbooks.com/chapter/12-1-experimental-design-what-is-it-and-when-should-it-be-used/</b:URL>
    <b:Author>
      <b:Author>
        <b:NameList>
          <b:Person>
            <b:Last>DeCarlo</b:Last>
            <b:First>M</b:First>
          </b:Person>
        </b:NameList>
      </b:Author>
    </b:Author>
    <b:Publisher>Blackstone Textbooks</b:Publisher>
    <b:RefOrder>12</b:RefOrder>
  </b:Source>
  <b:Source>
    <b:Tag>BJS15</b:Tag>
    <b:SourceType>InternetSite</b:SourceType>
    <b:Guid>{8F52CBD1-2DBF-4EE3-8DF8-5BB5687EDC1E}</b:Guid>
    <b:Author>
      <b:Author>
        <b:Corporate>BJS</b:Corporate>
      </b:Author>
    </b:Author>
    <b:Title>Contacts between police and the public</b:Title>
    <b:InternetSiteTitle>Bureau of Justice Statistics</b:InternetSiteTitle>
    <b:Year>2015</b:Year>
    <b:Month>October</b:Month>
    <b:URL>https://www.bjs.gov/content/pub/pdf/cpp15_sum.pdf</b:URL>
    <b:RefOrder>8</b:RefOrder>
  </b:Source>
  <b:Source>
    <b:Tag>KBP20</b:Tag>
    <b:SourceType>InternetSite</b:SourceType>
    <b:Guid>{D92AF1F6-BF8C-4623-A9AF-5841E280A0A7}</b:Guid>
    <b:Author>
      <b:Author>
        <b:Corporate>KBP</b:Corporate>
      </b:Author>
    </b:Author>
    <b:Title>Police shootings database</b:Title>
    <b:InternetSiteTitle>Killed By Police</b:InternetSiteTitle>
    <b:Year>2020</b:Year>
    <b:Month>August</b:Month>
    <b:Day>11</b:Day>
    <b:URL>https://killedbypolice.net/</b:URL>
    <b:RefOrder>9</b:RefOrder>
  </b:Source>
  <b:Source>
    <b:Tag>Cen19</b:Tag>
    <b:SourceType>InternetSite</b:SourceType>
    <b:Guid>{6E34F2C7-2C11-408F-AACD-1E76446498C1}</b:Guid>
    <b:Title>Quick facts</b:Title>
    <b:Year>2019</b:Year>
    <b:Author>
      <b:Author>
        <b:Corporate>Census Bureau</b:Corporate>
      </b:Author>
    </b:Author>
    <b:InternetSiteTitle>United States Census Bureau</b:InternetSiteTitle>
    <b:URL>https://www.census.gov/quickfacts/fact/table/US/PST045219</b:URL>
    <b:RefOrder>10</b:RefOrder>
  </b:Source>
  <b:Source>
    <b:Tag>NLE19</b:Tag>
    <b:SourceType>InternetSite</b:SourceType>
    <b:Guid>{FBFCFF67-AE01-4CF4-B1FF-5595F71620E0}</b:Guid>
    <b:Author>
      <b:Author>
        <b:Corporate>NLEOMF</b:Corporate>
      </b:Author>
    </b:Author>
    <b:Title>Year-by-Year breakdown of law enforcement deaths throughout U.S. history</b:Title>
    <b:InternetSiteTitle>National law enforcement officers memorial fund</b:InternetSiteTitle>
    <b:Year>2019</b:Year>
    <b:Month>April</b:Month>
    <b:Day>10</b:Day>
    <b:URL>https://nleomf.org/facts-figures/officer-deaths-by-year</b:URL>
    <b:RefOrder>11</b:RefOrder>
  </b:Source>
</b:Sources>
</file>

<file path=customXml/itemProps1.xml><?xml version="1.0" encoding="utf-8"?>
<ds:datastoreItem xmlns:ds="http://schemas.openxmlformats.org/officeDocument/2006/customXml" ds:itemID="{FA5A58D1-44DF-4163-B3B0-68B5D52BA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3492</TotalTime>
  <Pages>10</Pages>
  <Words>1974</Words>
  <Characters>11254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44</cp:revision>
  <dcterms:created xsi:type="dcterms:W3CDTF">2019-05-19T17:38:00Z</dcterms:created>
  <dcterms:modified xsi:type="dcterms:W3CDTF">2020-09-06T16:38:00Z</dcterms:modified>
</cp:coreProperties>
</file>