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F3724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34A7EFFA"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w:t>
      </w:r>
      <w:r w:rsidR="0069549C">
        <w:t>’</w:t>
      </w:r>
      <w:r w:rsidRPr="00203863">
        <w:t>s virtualization enables bending some of these rules.  Engineering teams need to reassess cloud-native patterns as a mechanism to improve their systems</w:t>
      </w:r>
      <w:r w:rsidR="0069549C">
        <w:t>’</w:t>
      </w:r>
      <w:r w:rsidRPr="00203863">
        <w:t xml:space="preserve"> performance, reliability, and economics.</w:t>
      </w:r>
    </w:p>
    <w:p w14:paraId="016A2ACB" w14:textId="00C70EC9" w:rsidR="00FE4E3C" w:rsidRDefault="00FE4E3C" w:rsidP="00FE4E3C">
      <w:pPr>
        <w:pStyle w:val="Heading1"/>
      </w:pPr>
      <w:r>
        <w:t>Background</w:t>
      </w:r>
    </w:p>
    <w:p w14:paraId="74F8222B" w14:textId="194FF3EC"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w:t>
      </w:r>
      <w:r w:rsidR="0069549C">
        <w:t>’</w:t>
      </w:r>
      <w:r>
        <w:t>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5282B2AD"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w:t>
      </w:r>
      <w:r w:rsidR="0069549C">
        <w:t>’</w:t>
      </w:r>
      <w:r>
        <w:t>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098AF4B" w:rsidR="00095085" w:rsidRDefault="00095085" w:rsidP="0031335A">
      <w:r w:rsidRPr="00095085">
        <w:t xml:space="preserve">           Architecture teams must define modern high-availability mechanisms that exploit the cloud</w:t>
      </w:r>
      <w:r w:rsidR="0069549C">
        <w:t>’</w:t>
      </w:r>
      <w:r w:rsidRPr="00095085">
        <w:t xml:space="preserve">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w:t>
      </w:r>
      <w:r w:rsidR="0069549C">
        <w:t>’</w:t>
      </w:r>
      <w:r w:rsidRPr="00095085">
        <w:t>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6EEB1BBA" w:rsidR="00FE4E3C" w:rsidRDefault="00FE4E3C" w:rsidP="00FE4E3C">
      <w:pPr>
        <w:pStyle w:val="Heading1"/>
      </w:pPr>
      <w:r>
        <w:lastRenderedPageBreak/>
        <w:t>Literature Review</w:t>
      </w:r>
    </w:p>
    <w:p w14:paraId="4C938FC0" w14:textId="7014867C" w:rsidR="00EA5824" w:rsidRPr="00EA5824" w:rsidRDefault="00EA5824" w:rsidP="00EA5824">
      <w:r>
        <w:tab/>
        <w:t xml:space="preserve">The current academic literature presents several themes toward building performant applications with high-availability </w:t>
      </w:r>
      <w:r w:rsidR="001B52B7">
        <w:t>capabilities</w:t>
      </w:r>
      <w:r>
        <w:t>.</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677090DE" w:rsidR="00983AD2" w:rsidRDefault="00983AD2" w:rsidP="00983AD2">
      <w:pPr>
        <w:pStyle w:val="Heading2"/>
      </w:pPr>
      <w:r>
        <w:t xml:space="preserve">Deployment </w:t>
      </w:r>
      <w:r w:rsidR="00475A64">
        <w:t>Challenges</w:t>
      </w:r>
    </w:p>
    <w:p w14:paraId="00537F0C" w14:textId="48B1509B" w:rsidR="003F7D98" w:rsidRDefault="008370EC" w:rsidP="003F7D98">
      <w:r>
        <w:t xml:space="preserve">           Modern businesses use Continuous Integration and Deployment (CI/CD) pipelines to release production u</w:t>
      </w:r>
      <w:r>
        <w:t xml:space="preserve">pdates multiple times per day.  </w:t>
      </w:r>
      <w:r>
        <w:t xml:space="preserve">This requirement introduces complexity for high-availability systems that seek to maintain zero downtime.  </w:t>
      </w:r>
      <w:proofErr w:type="spellStart"/>
      <w:r>
        <w:t>Rudrabhatla</w:t>
      </w:r>
      <w:proofErr w:type="spellEnd"/>
      <w:r>
        <w:t xml:space="preserve"> (2020) presents constructive research into rolling, blue-green, and canary methodologies, stating the core difference is the cost, duplication, and security.  These observations directly overlap with </w:t>
      </w:r>
      <w:proofErr w:type="spellStart"/>
      <w:r>
        <w:t>Tamimi</w:t>
      </w:r>
      <w:proofErr w:type="spellEnd"/>
      <w:r>
        <w:t xml:space="preserve"> et al. (2020).  Blue-Green deployments refer to duplicating the environment and using </w:t>
      </w:r>
      <w:r>
        <w:lastRenderedPageBreak/>
        <w:t>load-balancer or DNS (Domain Name Service) magic to toggle between them.  This strategy has the most safety but also the highest cost.</w:t>
      </w:r>
    </w:p>
    <w:p w14:paraId="4B671A14" w14:textId="2080D7B6" w:rsidR="00ED73F6" w:rsidRDefault="004627E2" w:rsidP="004627E2">
      <w:pPr>
        <w:pStyle w:val="Heading2"/>
      </w:pPr>
      <w:r>
        <w:t>Evolution of Clustering Strategies</w:t>
      </w:r>
    </w:p>
    <w:p w14:paraId="7C31D815" w14:textId="2BB8B85A" w:rsidR="00FD7638" w:rsidRDefault="00FD7638" w:rsidP="00FD7638">
      <w:r>
        <w:t>           Cheng et al. (2005) describe a case study with International Technology Roadmap for Semiconductor</w:t>
      </w:r>
      <w:r w:rsidR="0069549C">
        <w:t>’</w:t>
      </w:r>
      <w:r>
        <w:t>s Factory Information and Control Systems (FIC). This mission-critical system cannot exceed 240 minutes of downtime annually (99.95% uptime). </w:t>
      </w:r>
    </w:p>
    <w:p w14:paraId="1F3B93CB" w14:textId="77777777" w:rsidR="00FD7638" w:rsidRDefault="00FD7638" w:rsidP="00FD7638">
      <w:r>
        <w:t>Similar to other companies, FICS relies on clustering services. Under the covers, these solutions employ a heart beating mechanism to discover compute-node failures. Additional custom client middleware also transparently retries failures. Despite these architectural protections, the operations team still found it challenging to meet this aggressive Service Level Objective (SLO).</w:t>
      </w:r>
    </w:p>
    <w:p w14:paraId="113C2CA3" w14:textId="3E546A08" w:rsidR="00FD7638" w:rsidRDefault="00FD7638" w:rsidP="00FD7638">
      <w:r>
        <w:t>           The engineers began collecting metrics, leading to the discovery that node failure is proportional to service instance age (total runtime).</w:t>
      </w:r>
      <w:r>
        <w:t xml:space="preserve">  </w:t>
      </w:r>
      <w:r>
        <w:t xml:space="preserve">This revelation makes logical sense, as long-running processes have more opportunity to become corrupt or leak resources. They began collecting data to predict Mean Time </w:t>
      </w:r>
      <w:proofErr w:type="gramStart"/>
      <w:r>
        <w:t>To</w:t>
      </w:r>
      <w:proofErr w:type="gramEnd"/>
      <w:r>
        <w:t xml:space="preserve"> Failure (MTTR) per service. Today, FCIS experiences than 120 minutes of annual downtime (99.98% availability).</w:t>
      </w:r>
    </w:p>
    <w:p w14:paraId="4C89277B" w14:textId="41FD7902" w:rsidR="00FD7638" w:rsidRDefault="00FD7638" w:rsidP="00FD7638">
      <w:pPr>
        <w:ind w:firstLine="720"/>
      </w:pPr>
      <w:r>
        <w:t>Wen et al. (2020) present resear</w:t>
      </w:r>
      <w:r>
        <w:t>ch into Kubernetes placement strategies</w:t>
      </w:r>
      <w:r>
        <w:t>.  </w:t>
      </w:r>
      <w:r>
        <w:rPr>
          <w:rStyle w:val="Emphasis"/>
          <w:color w:val="0E101A"/>
        </w:rPr>
        <w:t>Kubernetes</w:t>
      </w:r>
      <w:r>
        <w:t>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resiliency and minimize hardware requirements.</w:t>
      </w:r>
    </w:p>
    <w:p w14:paraId="44BC715A" w14:textId="42A1DA32" w:rsidR="00FD7638" w:rsidRDefault="00FD7638" w:rsidP="00FD7638">
      <w:pPr>
        <w:ind w:firstLine="720"/>
      </w:pPr>
      <w:r>
        <w:t xml:space="preserve">Dedicated fail-over clusters increase availability and operational costs by </w:t>
      </w:r>
      <w:r>
        <w:t xml:space="preserve">prematurely </w:t>
      </w:r>
      <w:r>
        <w:t xml:space="preserve">provisioning idle resources. Yan &amp; Wang (2020) propose upgrading traditional active &amp; passive models (1+1) for H+K configurations. Essentially, administrators deploy H-service instances </w:t>
      </w:r>
      <w:r>
        <w:lastRenderedPageBreak/>
        <w:t>plus K-extra nodes. Then the environment can maintain full availability until K-concurrent failures.</w:t>
      </w:r>
    </w:p>
    <w:p w14:paraId="3DC05DFE" w14:textId="4328F834" w:rsidR="004627E2" w:rsidRDefault="004145C0" w:rsidP="004627E2">
      <w:pPr>
        <w:pStyle w:val="Heading2"/>
      </w:pPr>
      <w:r>
        <w:t>Reliability Constructs</w:t>
      </w:r>
    </w:p>
    <w:p w14:paraId="19698072" w14:textId="547FFBAB" w:rsidR="0037792A" w:rsidRDefault="0037792A" w:rsidP="0037792A">
      <w:r>
        <w:t xml:space="preserve">           Zhao (2014) documents multiple strategies for building dependable distributed systems.  Their patterns cluster into partitioning, </w:t>
      </w:r>
      <w:proofErr w:type="spellStart"/>
      <w:r>
        <w:t>checkpointing</w:t>
      </w:r>
      <w:proofErr w:type="spellEnd"/>
      <w:r>
        <w:t>, and consensus constructs (see Table 1).  Engineers can freely mix-and-match elements to form defense-in-depth architectural designs.  Consider a resource-intensive application tha</w:t>
      </w:r>
      <w:r>
        <w:t xml:space="preserve">t spans multiple server racks.  </w:t>
      </w:r>
      <w:r>
        <w:t>Administrators could use partitioning schemes to constrain the blast radius of the rack</w:t>
      </w:r>
      <w:r w:rsidR="0069549C">
        <w:t>’</w:t>
      </w:r>
      <w:r>
        <w:t>s edge router.  Programs with smaller logical units are simpler to backup and operate because of reduced internal state size and cross-component communication of requirements.</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Serve as 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0D1243CF" w:rsidR="004145C0" w:rsidRDefault="004145C0" w:rsidP="00C560C0">
            <w:proofErr w:type="spellStart"/>
            <w:r>
              <w:t>Concensus</w:t>
            </w:r>
            <w:proofErr w:type="spellEnd"/>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5C095852"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Eventually consistent </w:t>
            </w:r>
            <w:proofErr w:type="spellStart"/>
            <w:r>
              <w:t>reckonsiliation</w:t>
            </w:r>
            <w:proofErr w:type="spellEnd"/>
          </w:p>
        </w:tc>
      </w:tr>
    </w:tbl>
    <w:p w14:paraId="7B11B03D" w14:textId="73D62F83" w:rsidR="00C97577" w:rsidRDefault="00C97577" w:rsidP="00C560C0">
      <w:r>
        <w:t xml:space="preserve"> </w:t>
      </w:r>
    </w:p>
    <w:p w14:paraId="45CD4180" w14:textId="00790637" w:rsidR="0069549C" w:rsidRDefault="0069549C" w:rsidP="0069549C">
      <w:pPr>
        <w:ind w:firstLine="720"/>
      </w:pPr>
      <w:r>
        <w:t>Wu et al. (2020) examine Apache Kafka-based streaming applications</w:t>
      </w:r>
      <w:r>
        <w:t>’</w:t>
      </w:r>
      <w:r>
        <w:t xml:space="preserve"> performance metrics under different </w:t>
      </w:r>
      <w:proofErr w:type="spellStart"/>
      <w:r>
        <w:t>checkpointing</w:t>
      </w:r>
      <w:proofErr w:type="spellEnd"/>
      <w:r>
        <w:t xml:space="preserve"> and batch-sizing configurations. They demonstrate that adjusting the frequency and sizing influences </w:t>
      </w:r>
      <w:proofErr w:type="spellStart"/>
      <w:r>
        <w:t>dequeuing</w:t>
      </w:r>
      <w:proofErr w:type="spellEnd"/>
      <w:r>
        <w:t xml:space="preserve"> speeds by 10x (10</w:t>
      </w:r>
      <w:r>
        <w:rPr>
          <w:vertAlign w:val="superscript"/>
        </w:rPr>
        <w:t xml:space="preserve">2 </w:t>
      </w:r>
      <w:r>
        <w:t>to 10</w:t>
      </w:r>
      <w:r>
        <w:rPr>
          <w:vertAlign w:val="superscript"/>
        </w:rPr>
        <w:t>3</w:t>
      </w:r>
      <w:r>
        <w:t xml:space="preserve"> </w:t>
      </w:r>
      <w:proofErr w:type="spellStart"/>
      <w:r>
        <w:t>ms</w:t>
      </w:r>
      <w:proofErr w:type="spellEnd"/>
      <w:r>
        <w:t>). After collecting a </w:t>
      </w:r>
      <w:r>
        <w:rPr>
          <w:rStyle w:val="Emphasis"/>
          <w:color w:val="0E101A"/>
        </w:rPr>
        <w:t>timeliness</w:t>
      </w:r>
      <w:r>
        <w:t> custom-metric, the authors construct an Artificial Neural Network (ANN) that optimistically issues the checkpoints</w:t>
      </w:r>
      <w:r>
        <w:t>.</w:t>
      </w:r>
    </w:p>
    <w:p w14:paraId="3DF0102C" w14:textId="3D73B23D" w:rsidR="0069549C" w:rsidRDefault="0069549C" w:rsidP="0069549C">
      <w:pPr>
        <w:ind w:firstLine="720"/>
      </w:pPr>
      <w:r>
        <w:t xml:space="preserve">Instead of reducing the </w:t>
      </w:r>
      <w:proofErr w:type="spellStart"/>
      <w:r>
        <w:t>checkpointing</w:t>
      </w:r>
      <w:proofErr w:type="spellEnd"/>
      <w:r>
        <w:t xml:space="preserve"> frequency, Cheng et al. (2019) seek to remove it entirely.  Their empirical study compares the performance of removing event durability entirely from standard open-source products (e.g</w:t>
      </w:r>
      <w:r>
        <w:t xml:space="preserve">., Apache Storm, </w:t>
      </w:r>
      <w:proofErr w:type="spellStart"/>
      <w:r>
        <w:t>Flink</w:t>
      </w:r>
      <w:proofErr w:type="spellEnd"/>
      <w:r>
        <w:t xml:space="preserve">, </w:t>
      </w:r>
      <w:proofErr w:type="gramStart"/>
      <w:r>
        <w:t>Spark</w:t>
      </w:r>
      <w:proofErr w:type="gramEnd"/>
      <w:r>
        <w:t xml:space="preserve">).  </w:t>
      </w:r>
      <w:r>
        <w:t>Next, replaying open-</w:t>
      </w:r>
      <w:r>
        <w:lastRenderedPageBreak/>
        <w:t>source data sets (14 to 45GiB each) enables measuring several streaming use-cases' reliability (e.g., online learning and event joining).  Their results show that even the non-</w:t>
      </w:r>
      <w:proofErr w:type="spellStart"/>
      <w:r>
        <w:t>checkpointed</w:t>
      </w:r>
      <w:proofErr w:type="spellEnd"/>
      <w:r>
        <w:t xml:space="preserve"> stress tests asymptote at 92.5% accuracy.</w:t>
      </w:r>
    </w:p>
    <w:p w14:paraId="230004B0" w14:textId="534E387D" w:rsidR="001B7BF1" w:rsidRDefault="006561B8" w:rsidP="006561B8">
      <w:pPr>
        <w:ind w:firstLine="720"/>
      </w:pPr>
      <w:proofErr w:type="spellStart"/>
      <w:r w:rsidRPr="006561B8">
        <w:t>Verbitski</w:t>
      </w:r>
      <w:proofErr w:type="spellEnd"/>
      <w:r w:rsidRPr="006561B8">
        <w:t xml:space="preserve"> et al. (2018) present the Amazon Aurora database, a cloud-native database that avoids distributed consensus.  They improve write-performance by supporting per node append-only transaction logs.  This approach avoids write-contention and the need to update previous blocks.  When a consistent system view is necessary, then the storage layer projects a virtual point-in-time view.  The view reassembles the individual transaction logs without requiring any locking.  Their elegant solution is generalizable and applicable to other database technologies.</w:t>
      </w:r>
    </w:p>
    <w:p w14:paraId="5271320C" w14:textId="2C00EB28" w:rsidR="00625688" w:rsidRDefault="00625688" w:rsidP="00625688">
      <w:pPr>
        <w:ind w:firstLine="720"/>
      </w:pPr>
      <w:r>
        <w:t xml:space="preserve">The literature review encapsulates several themes that must appear in future constructive research.  First, high-availability systems must defend against numerous operational risks, such as deployment management, operator error, and acts of God.  However, mitigating those risks adds significant overhead, especially when considering they rarely factor into operations.  This situation requires businesses to balance protections through ‘art-not-science.’  Second, there are combinations of traditional architecture technics </w:t>
      </w:r>
      <w:r>
        <w:t xml:space="preserve">that likely need modernization.  </w:t>
      </w:r>
      <w:r>
        <w:t>For example, cloud databases can access arbitrarily large disk volumes, simplif</w:t>
      </w:r>
      <w:r>
        <w:t>ying immutable storage patterns.</w:t>
      </w:r>
    </w:p>
    <w:p w14:paraId="4C2F1DA4" w14:textId="7C52ED12" w:rsidR="00FE4E3C" w:rsidRDefault="00FE4E3C" w:rsidP="00FE4E3C">
      <w:pPr>
        <w:pStyle w:val="Heading1"/>
      </w:pPr>
      <w:r>
        <w:t>Approach</w:t>
      </w:r>
    </w:p>
    <w:p w14:paraId="145DCA52" w14:textId="13A9279A" w:rsidR="00625688" w:rsidRPr="00625688" w:rsidRDefault="00112890" w:rsidP="00112890">
      <w:pPr>
        <w:ind w:firstLine="720"/>
      </w:pPr>
      <w:r w:rsidRPr="00112890">
        <w:t>The research applies themes from the literature review across real-time stream processing applications and quantifies any gains to reliability, availability, throughput, and response time.</w:t>
      </w:r>
    </w:p>
    <w:p w14:paraId="6AFF1FE2" w14:textId="7B05FD89" w:rsidR="00CE19BD" w:rsidRDefault="00CE19BD" w:rsidP="00CE19BD">
      <w:pPr>
        <w:pStyle w:val="Heading2"/>
      </w:pPr>
      <w:r>
        <w:t>Delivery Format</w:t>
      </w:r>
    </w:p>
    <w:p w14:paraId="1375BB6F" w14:textId="23AEE1E4" w:rsidR="00112890" w:rsidRDefault="00112890" w:rsidP="00112890">
      <w:pPr>
        <w:ind w:firstLine="720"/>
      </w:pPr>
      <w:r w:rsidRPr="00112890">
        <w:t xml:space="preserve">This constructive research delivers a collection of scenario-specific stream processing applications that minimize resource waste.  Quality research must be complex, elegant, and </w:t>
      </w:r>
      <w:r w:rsidRPr="00112890">
        <w:lastRenderedPageBreak/>
        <w:t>valuable</w:t>
      </w:r>
      <w:sdt>
        <w:sdtPr>
          <w:id w:val="-1284338403"/>
          <w:citation/>
        </w:sdtPr>
        <w:sdtContent>
          <w:r>
            <w:fldChar w:fldCharType="begin"/>
          </w:r>
          <w:r>
            <w:instrText xml:space="preserve"> CITATION Zel14 \l 1033 </w:instrText>
          </w:r>
          <w:r>
            <w:fldChar w:fldCharType="separate"/>
          </w:r>
          <w:r>
            <w:rPr>
              <w:noProof/>
            </w:rPr>
            <w:t xml:space="preserve"> (Zeller, 2014)</w:t>
          </w:r>
          <w:r>
            <w:fldChar w:fldCharType="end"/>
          </w:r>
        </w:sdtContent>
      </w:sdt>
      <w:r w:rsidRPr="00112890">
        <w:t>.  Meeting that expectation means that the results must be broadly applicable to many modern applications, ideally as Quality of Service (</w:t>
      </w:r>
      <w:proofErr w:type="spellStart"/>
      <w:r w:rsidRPr="00112890">
        <w:t>QoS</w:t>
      </w:r>
      <w:proofErr w:type="spellEnd"/>
      <w:r w:rsidRPr="00112890">
        <w:t>) and costing models.  That format enables engineering and operations teams to assess value quickly.</w:t>
      </w:r>
    </w:p>
    <w:p w14:paraId="4A217D9C" w14:textId="77777777" w:rsidR="00112890" w:rsidRDefault="00112890" w:rsidP="00112890">
      <w:pPr>
        <w:pStyle w:val="Heading2"/>
      </w:pPr>
      <w:r>
        <w:t>Proposed Timeline</w:t>
      </w:r>
    </w:p>
    <w:p w14:paraId="01DCB8DF" w14:textId="48FE075D" w:rsidR="00112890" w:rsidRDefault="00112890" w:rsidP="00112890">
      <w:r>
        <w:tab/>
        <w:t>Northcentral Universit</w:t>
      </w:r>
      <w:r>
        <w:t>y allocates research into eight-</w:t>
      </w:r>
      <w:r>
        <w:t>week blocks.  Given the limited budget, the project cannot spend more than six weeks experimenting and two weeks authoring results (see Table 2).</w:t>
      </w:r>
    </w:p>
    <w:tbl>
      <w:tblPr>
        <w:tblStyle w:val="GridTable4"/>
        <w:tblW w:w="0" w:type="auto"/>
        <w:tblLook w:val="04A0" w:firstRow="1" w:lastRow="0" w:firstColumn="1" w:lastColumn="0" w:noHBand="0" w:noVBand="1"/>
      </w:tblPr>
      <w:tblGrid>
        <w:gridCol w:w="923"/>
        <w:gridCol w:w="3858"/>
        <w:gridCol w:w="4569"/>
      </w:tblGrid>
      <w:tr w:rsidR="00112890" w14:paraId="49A16220" w14:textId="77777777" w:rsidTr="0057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BACE568" w14:textId="77777777" w:rsidR="00112890" w:rsidRDefault="00112890" w:rsidP="0057641D">
            <w:r>
              <w:t>Week#</w:t>
            </w:r>
          </w:p>
        </w:tc>
        <w:tc>
          <w:tcPr>
            <w:tcW w:w="3858" w:type="dxa"/>
          </w:tcPr>
          <w:p w14:paraId="02E98893"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Title</w:t>
            </w:r>
          </w:p>
        </w:tc>
        <w:tc>
          <w:tcPr>
            <w:tcW w:w="4569" w:type="dxa"/>
          </w:tcPr>
          <w:p w14:paraId="542925F1"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Success Criteria</w:t>
            </w:r>
          </w:p>
        </w:tc>
      </w:tr>
      <w:tr w:rsidR="00112890" w14:paraId="073E2262"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F3E4BD4" w14:textId="77777777" w:rsidR="00112890" w:rsidRDefault="00112890" w:rsidP="0057641D">
            <w:r>
              <w:t>1</w:t>
            </w:r>
          </w:p>
        </w:tc>
        <w:tc>
          <w:tcPr>
            <w:tcW w:w="3858" w:type="dxa"/>
          </w:tcPr>
          <w:p w14:paraId="23EFD491"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Setup developer environment</w:t>
            </w:r>
          </w:p>
        </w:tc>
        <w:tc>
          <w:tcPr>
            <w:tcW w:w="4569" w:type="dxa"/>
          </w:tcPr>
          <w:p w14:paraId="42BA7C44"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Automation deploys and executes a hello-world benchmark</w:t>
            </w:r>
          </w:p>
        </w:tc>
      </w:tr>
      <w:tr w:rsidR="00112890" w14:paraId="3B3E6F6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5B9CFBB" w14:textId="77777777" w:rsidR="00112890" w:rsidRDefault="00112890" w:rsidP="0057641D">
            <w:r>
              <w:t>2</w:t>
            </w:r>
          </w:p>
        </w:tc>
        <w:tc>
          <w:tcPr>
            <w:tcW w:w="3858" w:type="dxa"/>
          </w:tcPr>
          <w:p w14:paraId="746339B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Identify and include additional use-cases and benchmark data</w:t>
            </w:r>
          </w:p>
        </w:tc>
        <w:tc>
          <w:tcPr>
            <w:tcW w:w="4569" w:type="dxa"/>
          </w:tcPr>
          <w:p w14:paraId="1DAAC46E"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selected scenarios and decision rationale</w:t>
            </w:r>
          </w:p>
        </w:tc>
      </w:tr>
      <w:tr w:rsidR="00112890" w14:paraId="62CC282C"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65457CAA" w14:textId="77777777" w:rsidR="00112890" w:rsidRDefault="00112890" w:rsidP="0057641D">
            <w:r>
              <w:t>3</w:t>
            </w:r>
          </w:p>
        </w:tc>
        <w:tc>
          <w:tcPr>
            <w:tcW w:w="3858" w:type="dxa"/>
          </w:tcPr>
          <w:p w14:paraId="35CC7E52"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Identification of architectural costs</w:t>
            </w:r>
          </w:p>
        </w:tc>
        <w:tc>
          <w:tcPr>
            <w:tcW w:w="4569" w:type="dxa"/>
          </w:tcPr>
          <w:p w14:paraId="0116CD3C"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Instrument and assess distribution of runtime costs</w:t>
            </w:r>
          </w:p>
        </w:tc>
      </w:tr>
      <w:tr w:rsidR="00112890" w14:paraId="1842B6D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4D2E14B9" w14:textId="77777777" w:rsidR="00112890" w:rsidRDefault="00112890" w:rsidP="0057641D">
            <w:r>
              <w:t>4</w:t>
            </w:r>
          </w:p>
        </w:tc>
        <w:tc>
          <w:tcPr>
            <w:tcW w:w="3858" w:type="dxa"/>
          </w:tcPr>
          <w:p w14:paraId="7BDDE25B"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Propose design modifications</w:t>
            </w:r>
          </w:p>
        </w:tc>
        <w:tc>
          <w:tcPr>
            <w:tcW w:w="4569" w:type="dxa"/>
          </w:tcPr>
          <w:p w14:paraId="0A41C582"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recommendations and potential system changes</w:t>
            </w:r>
          </w:p>
        </w:tc>
      </w:tr>
      <w:tr w:rsidR="00112890" w14:paraId="6C50F71B"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26DFD52" w14:textId="77777777" w:rsidR="00112890" w:rsidRDefault="00112890" w:rsidP="0057641D">
            <w:r>
              <w:t>5</w:t>
            </w:r>
          </w:p>
        </w:tc>
        <w:tc>
          <w:tcPr>
            <w:tcW w:w="3858" w:type="dxa"/>
          </w:tcPr>
          <w:p w14:paraId="609C261A"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Implement recommendations</w:t>
            </w:r>
          </w:p>
        </w:tc>
        <w:tc>
          <w:tcPr>
            <w:tcW w:w="4569" w:type="dxa"/>
          </w:tcPr>
          <w:p w14:paraId="616EA230"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status update and link to pull request</w:t>
            </w:r>
          </w:p>
        </w:tc>
      </w:tr>
      <w:tr w:rsidR="00112890" w14:paraId="388A285B"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924C7AF" w14:textId="77777777" w:rsidR="00112890" w:rsidRDefault="00112890" w:rsidP="0057641D">
            <w:r>
              <w:t>6</w:t>
            </w:r>
          </w:p>
        </w:tc>
        <w:tc>
          <w:tcPr>
            <w:tcW w:w="3858" w:type="dxa"/>
          </w:tcPr>
          <w:p w14:paraId="130D6E9A"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Implement recommendations</w:t>
            </w:r>
          </w:p>
        </w:tc>
        <w:tc>
          <w:tcPr>
            <w:tcW w:w="4569" w:type="dxa"/>
          </w:tcPr>
          <w:p w14:paraId="0558BE53"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Complete changes and briefly document progress</w:t>
            </w:r>
          </w:p>
        </w:tc>
      </w:tr>
      <w:tr w:rsidR="00112890" w14:paraId="0BD1C4DF"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73AF95C" w14:textId="77777777" w:rsidR="00112890" w:rsidRDefault="00112890" w:rsidP="0057641D">
            <w:r>
              <w:t>7</w:t>
            </w:r>
          </w:p>
        </w:tc>
        <w:tc>
          <w:tcPr>
            <w:tcW w:w="3858" w:type="dxa"/>
          </w:tcPr>
          <w:p w14:paraId="1C7D1125"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Measure the influence of changes</w:t>
            </w:r>
          </w:p>
        </w:tc>
        <w:tc>
          <w:tcPr>
            <w:tcW w:w="4569" w:type="dxa"/>
          </w:tcPr>
          <w:p w14:paraId="0507804D"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the procedure and results</w:t>
            </w:r>
          </w:p>
        </w:tc>
      </w:tr>
      <w:tr w:rsidR="00112890" w14:paraId="69DC881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097A49A6" w14:textId="77777777" w:rsidR="00112890" w:rsidRDefault="00112890" w:rsidP="0057641D">
            <w:r>
              <w:t>8</w:t>
            </w:r>
          </w:p>
        </w:tc>
        <w:tc>
          <w:tcPr>
            <w:tcW w:w="3858" w:type="dxa"/>
          </w:tcPr>
          <w:p w14:paraId="33682658"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research findings</w:t>
            </w:r>
          </w:p>
        </w:tc>
        <w:tc>
          <w:tcPr>
            <w:tcW w:w="4569" w:type="dxa"/>
          </w:tcPr>
          <w:p w14:paraId="3D93CAE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Construct a 5-page journal article that covers progress, results, and observations</w:t>
            </w:r>
          </w:p>
        </w:tc>
      </w:tr>
    </w:tbl>
    <w:p w14:paraId="73FE6569" w14:textId="77777777" w:rsidR="00EF1127" w:rsidRDefault="00EF1127" w:rsidP="00354A2C">
      <w:pPr>
        <w:pStyle w:val="Heading2"/>
      </w:pPr>
    </w:p>
    <w:p w14:paraId="1CE67AF9" w14:textId="17821222" w:rsidR="00354A2C" w:rsidRDefault="00354A2C" w:rsidP="00354A2C">
      <w:pPr>
        <w:pStyle w:val="Heading2"/>
      </w:pPr>
      <w:r>
        <w:t>Assessment Structure</w:t>
      </w:r>
    </w:p>
    <w:p w14:paraId="1B07E0CF" w14:textId="77777777" w:rsidR="00112890" w:rsidRDefault="00112890" w:rsidP="00112890">
      <w:r>
        <w:t xml:space="preserve">           Similar to Cheng et al. (2019) and Wu et al. (2020), predefined open-source datasets will flow through stream processing applications that operate across one (or two) different runtime platforms (e.g., Apache Spark or custom implementation).  While events stream across the topology, telemetry will measure the runtime statistics of the individual components.  The metrics will confirm or deny the literature review’s assessment that storage architecture is the </w:t>
      </w:r>
      <w:r>
        <w:lastRenderedPageBreak/>
        <w:t>most performance-critical subsystems.  Next, different cloud-native architectural patterns will improve those areas’ reliability, availability, throughput, and response time.</w:t>
      </w:r>
    </w:p>
    <w:p w14:paraId="6F58AC24" w14:textId="184829B0" w:rsidR="00112890" w:rsidRDefault="00112890" w:rsidP="00112890">
      <w:r>
        <w:t xml:space="preserve">           While previous efforts must constrain solutions to finite resources, these architectural patterns can assume elasticity, intelligent data replication, and additional sophisticated cloud services.  This agility and freedom enable experimentation, such as reducing traffic via multicasting networks or incorporating shared memory blocks.  Each experiment needs to be minimally invasive to the existing codebases.  Finally, rerunning the relevant benchmarks will measure the modification’s utility.  </w:t>
      </w:r>
    </w:p>
    <w:p w14:paraId="1D5A85D3" w14:textId="4CCEE208" w:rsidR="00AD1553" w:rsidRDefault="00AD1553" w:rsidP="00AD1553">
      <w:pPr>
        <w:pStyle w:val="Heading1"/>
      </w:pPr>
      <w:r>
        <w:t>Conclusions</w:t>
      </w:r>
    </w:p>
    <w:p w14:paraId="3E275F3F" w14:textId="77777777" w:rsidR="005010EC" w:rsidRDefault="002606A7" w:rsidP="002606A7">
      <w:r>
        <w:tab/>
        <w:t>Public Cloud Providers offer applications the ability to elastically scale, replicate data, and consume higher-level services.  These dynamic properties lessen constraints that exist for traditional applications that operate within private datacenters.</w:t>
      </w:r>
      <w:r w:rsidR="00C93528">
        <w:t xml:space="preserve">  Historically, businesses address high-availability through methodologies that are wasteful and impactful toward performance.  </w:t>
      </w:r>
      <w:r w:rsidR="005010EC">
        <w:t xml:space="preserve">Now, research must evolve these architectural patterns to function within cloud-native </w:t>
      </w:r>
      <w:proofErr w:type="spellStart"/>
      <w:r w:rsidR="005010EC">
        <w:t>environments.</w:t>
      </w:r>
    </w:p>
    <w:p w14:paraId="37C22207" w14:textId="60256049" w:rsidR="002606A7" w:rsidRPr="002606A7" w:rsidRDefault="005010EC" w:rsidP="005010EC">
      <w:pPr>
        <w:ind w:firstLine="720"/>
      </w:pPr>
      <w:proofErr w:type="spellEnd"/>
      <w:r>
        <w:t>For instance, monolithic worker nodes become swarms of micro-services that operate across role-specific hardware (e.g., memory optimized)</w:t>
      </w:r>
      <w:r w:rsidR="004079CC">
        <w:t xml:space="preserve"> and</w:t>
      </w:r>
      <w:r>
        <w:t xml:space="preserve"> employ sophisticated replication solutions.  After decomposing components, the cluster management system can enact more granular </w:t>
      </w:r>
      <w:proofErr w:type="spellStart"/>
      <w:r>
        <w:t>autoscaling</w:t>
      </w:r>
      <w:proofErr w:type="spellEnd"/>
      <w:r>
        <w:t xml:space="preserve"> policy.</w:t>
      </w:r>
      <w:bookmarkStart w:id="0" w:name="_GoBack"/>
      <w:bookmarkEnd w:id="0"/>
    </w:p>
    <w:sectPr w:rsidR="002606A7" w:rsidRPr="002606A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293EC" w14:textId="77777777" w:rsidR="00F3724D" w:rsidRDefault="00F3724D" w:rsidP="0082223F">
      <w:pPr>
        <w:spacing w:line="240" w:lineRule="auto"/>
      </w:pPr>
      <w:r>
        <w:separator/>
      </w:r>
    </w:p>
  </w:endnote>
  <w:endnote w:type="continuationSeparator" w:id="0">
    <w:p w14:paraId="76D536CB" w14:textId="77777777" w:rsidR="00F3724D" w:rsidRDefault="00F3724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B65E5" w14:textId="77777777" w:rsidR="00F3724D" w:rsidRDefault="00F3724D" w:rsidP="0082223F">
      <w:pPr>
        <w:spacing w:line="240" w:lineRule="auto"/>
      </w:pPr>
      <w:r>
        <w:separator/>
      </w:r>
    </w:p>
  </w:footnote>
  <w:footnote w:type="continuationSeparator" w:id="0">
    <w:p w14:paraId="276268D2" w14:textId="77777777" w:rsidR="00F3724D" w:rsidRDefault="00F3724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75F8BD2F"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40B4">
          <w:rPr>
            <w:noProof/>
          </w:rPr>
          <w:t>10</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B7910"/>
    <w:rsid w:val="000F2CA7"/>
    <w:rsid w:val="00102A1C"/>
    <w:rsid w:val="001033E8"/>
    <w:rsid w:val="00112890"/>
    <w:rsid w:val="00112CAF"/>
    <w:rsid w:val="00116F99"/>
    <w:rsid w:val="00134FBD"/>
    <w:rsid w:val="00162103"/>
    <w:rsid w:val="00183597"/>
    <w:rsid w:val="001A04E2"/>
    <w:rsid w:val="001B27C4"/>
    <w:rsid w:val="001B52B7"/>
    <w:rsid w:val="001B7BF1"/>
    <w:rsid w:val="001C7264"/>
    <w:rsid w:val="001D6CC5"/>
    <w:rsid w:val="001E4F11"/>
    <w:rsid w:val="00203863"/>
    <w:rsid w:val="002516A9"/>
    <w:rsid w:val="002606A7"/>
    <w:rsid w:val="002806B7"/>
    <w:rsid w:val="00296577"/>
    <w:rsid w:val="002D0CEB"/>
    <w:rsid w:val="0031335A"/>
    <w:rsid w:val="00354A2C"/>
    <w:rsid w:val="0037792A"/>
    <w:rsid w:val="003C0E23"/>
    <w:rsid w:val="003C4C45"/>
    <w:rsid w:val="003F4714"/>
    <w:rsid w:val="003F7D98"/>
    <w:rsid w:val="00401D65"/>
    <w:rsid w:val="004079CC"/>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010EC"/>
    <w:rsid w:val="00525845"/>
    <w:rsid w:val="00533968"/>
    <w:rsid w:val="005B644D"/>
    <w:rsid w:val="005B7079"/>
    <w:rsid w:val="005C39BA"/>
    <w:rsid w:val="005E3DAD"/>
    <w:rsid w:val="00603A04"/>
    <w:rsid w:val="00604812"/>
    <w:rsid w:val="00625688"/>
    <w:rsid w:val="006561B8"/>
    <w:rsid w:val="00664B21"/>
    <w:rsid w:val="0069549C"/>
    <w:rsid w:val="006D793E"/>
    <w:rsid w:val="00700932"/>
    <w:rsid w:val="00713EFA"/>
    <w:rsid w:val="0073677D"/>
    <w:rsid w:val="00750EE0"/>
    <w:rsid w:val="00757230"/>
    <w:rsid w:val="00797A1D"/>
    <w:rsid w:val="007D2E74"/>
    <w:rsid w:val="0082223F"/>
    <w:rsid w:val="008370EC"/>
    <w:rsid w:val="008561CB"/>
    <w:rsid w:val="00877007"/>
    <w:rsid w:val="0088173A"/>
    <w:rsid w:val="00897466"/>
    <w:rsid w:val="008A1246"/>
    <w:rsid w:val="008A40B4"/>
    <w:rsid w:val="008B5129"/>
    <w:rsid w:val="008B532F"/>
    <w:rsid w:val="008C583C"/>
    <w:rsid w:val="008D0612"/>
    <w:rsid w:val="008E701D"/>
    <w:rsid w:val="00945D1C"/>
    <w:rsid w:val="0096514A"/>
    <w:rsid w:val="00966A5E"/>
    <w:rsid w:val="00983AD2"/>
    <w:rsid w:val="009A757D"/>
    <w:rsid w:val="009B2C9B"/>
    <w:rsid w:val="009D7240"/>
    <w:rsid w:val="009E49A0"/>
    <w:rsid w:val="00A11B2B"/>
    <w:rsid w:val="00A43A8A"/>
    <w:rsid w:val="00A46847"/>
    <w:rsid w:val="00A708A2"/>
    <w:rsid w:val="00A770EE"/>
    <w:rsid w:val="00A96467"/>
    <w:rsid w:val="00AA0FE4"/>
    <w:rsid w:val="00AB7A71"/>
    <w:rsid w:val="00AD1553"/>
    <w:rsid w:val="00B13ADF"/>
    <w:rsid w:val="00B25A4C"/>
    <w:rsid w:val="00B30385"/>
    <w:rsid w:val="00B41AC8"/>
    <w:rsid w:val="00B62E4A"/>
    <w:rsid w:val="00B83595"/>
    <w:rsid w:val="00BA653C"/>
    <w:rsid w:val="00BB5E14"/>
    <w:rsid w:val="00BE7CFE"/>
    <w:rsid w:val="00C10EEF"/>
    <w:rsid w:val="00C325EA"/>
    <w:rsid w:val="00C54DC8"/>
    <w:rsid w:val="00C560C0"/>
    <w:rsid w:val="00C73692"/>
    <w:rsid w:val="00C77FBA"/>
    <w:rsid w:val="00C93528"/>
    <w:rsid w:val="00C93BB7"/>
    <w:rsid w:val="00C96418"/>
    <w:rsid w:val="00C97577"/>
    <w:rsid w:val="00CB25E9"/>
    <w:rsid w:val="00CC6E26"/>
    <w:rsid w:val="00CD58E1"/>
    <w:rsid w:val="00CD7E11"/>
    <w:rsid w:val="00CE19BD"/>
    <w:rsid w:val="00D0165E"/>
    <w:rsid w:val="00D441F5"/>
    <w:rsid w:val="00D62B75"/>
    <w:rsid w:val="00D63D04"/>
    <w:rsid w:val="00D75C7B"/>
    <w:rsid w:val="00D85C7B"/>
    <w:rsid w:val="00D85EB6"/>
    <w:rsid w:val="00D91D45"/>
    <w:rsid w:val="00DA7616"/>
    <w:rsid w:val="00DC1866"/>
    <w:rsid w:val="00DE2224"/>
    <w:rsid w:val="00DE7243"/>
    <w:rsid w:val="00E234E9"/>
    <w:rsid w:val="00E25049"/>
    <w:rsid w:val="00E365C7"/>
    <w:rsid w:val="00E42BE9"/>
    <w:rsid w:val="00E7046C"/>
    <w:rsid w:val="00E7756D"/>
    <w:rsid w:val="00E90B38"/>
    <w:rsid w:val="00EA5824"/>
    <w:rsid w:val="00EC331B"/>
    <w:rsid w:val="00ED3713"/>
    <w:rsid w:val="00ED73F6"/>
    <w:rsid w:val="00EF1127"/>
    <w:rsid w:val="00EF138D"/>
    <w:rsid w:val="00F02064"/>
    <w:rsid w:val="00F1374B"/>
    <w:rsid w:val="00F3724D"/>
    <w:rsid w:val="00F80A12"/>
    <w:rsid w:val="00F91C50"/>
    <w:rsid w:val="00F93C18"/>
    <w:rsid w:val="00FD060B"/>
    <w:rsid w:val="00FD7638"/>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D7638"/>
    <w:pPr>
      <w:spacing w:before="100" w:beforeAutospacing="1" w:after="100" w:afterAutospacing="1" w:line="240" w:lineRule="auto"/>
    </w:pPr>
    <w:rPr>
      <w:rFonts w:eastAsia="Times New Roman"/>
    </w:rPr>
  </w:style>
  <w:style w:type="table" w:styleId="GridTable3">
    <w:name w:val="Grid Table 3"/>
    <w:basedOn w:val="TableNormal"/>
    <w:uiPriority w:val="48"/>
    <w:rsid w:val="00AD155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827985459">
      <w:bodyDiv w:val="1"/>
      <w:marLeft w:val="0"/>
      <w:marRight w:val="0"/>
      <w:marTop w:val="0"/>
      <w:marBottom w:val="0"/>
      <w:divBdr>
        <w:top w:val="none" w:sz="0" w:space="0" w:color="auto"/>
        <w:left w:val="none" w:sz="0" w:space="0" w:color="auto"/>
        <w:bottom w:val="none" w:sz="0" w:space="0" w:color="auto"/>
        <w:right w:val="none" w:sz="0" w:space="0" w:color="auto"/>
      </w:divBdr>
    </w:div>
    <w:div w:id="1227650058">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49080565">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
    <b:Tag>Zel14</b:Tag>
    <b:SourceType>InternetSite</b:SourceType>
    <b:Guid>{3B898DE2-7574-4774-817D-42208508B3A2}</b:Guid>
    <b:Title>What makes useful research in software engineering</b:Title>
    <b:Year>2014</b:Year>
    <b:Author>
      <b:Author>
        <b:NameList>
          <b:Person>
            <b:Last>Zeller</b:Last>
            <b:First>A</b:First>
          </b:Person>
        </b:NameList>
      </b:Author>
    </b:Author>
    <b:InternetSiteTitle>YouTube</b:InternetSiteTitle>
    <b:Month>June</b:Month>
    <b:Day>14</b:Day>
    <b:URL>https://www.youtube.com/watch?v=4MbixFVWwck</b:URL>
    <b:RefOrder>8</b:RefOrder>
  </b:Source>
</b:Sources>
</file>

<file path=customXml/itemProps1.xml><?xml version="1.0" encoding="utf-8"?>
<ds:datastoreItem xmlns:ds="http://schemas.openxmlformats.org/officeDocument/2006/customXml" ds:itemID="{99BA4115-52B2-4BCB-A89B-EB801A18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10</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99</cp:revision>
  <dcterms:created xsi:type="dcterms:W3CDTF">2019-05-19T17:38:00Z</dcterms:created>
  <dcterms:modified xsi:type="dcterms:W3CDTF">2021-04-11T18:26:00Z</dcterms:modified>
</cp:coreProperties>
</file>