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DD967" w14:textId="77777777" w:rsidR="009A22C2" w:rsidRDefault="00F804E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CC2A3FA" w:rsidR="0082223F" w:rsidRDefault="00533968" w:rsidP="0082223F">
      <w:pPr>
        <w:pStyle w:val="Title"/>
      </w:pPr>
      <w:r>
        <w:t>Week 7</w:t>
      </w:r>
      <w:r w:rsidR="0082223F">
        <w:t xml:space="preserve">: </w:t>
      </w:r>
      <w:r w:rsidR="00FE4E3C">
        <w:t xml:space="preserve">Improving </w:t>
      </w:r>
      <w:r w:rsidR="00162103">
        <w:t>Availability and Performance</w:t>
      </w:r>
      <w:r w:rsidR="00FE4E3C">
        <w:t xml:space="preserve"> of Cloud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r w:rsidR="005C39BA">
        <w:t>7140</w:t>
      </w:r>
      <w:proofErr w:type="gramStart"/>
      <w:r>
        <w:t>:</w:t>
      </w:r>
      <w:r w:rsidR="005C39BA">
        <w:t>Software</w:t>
      </w:r>
      <w:proofErr w:type="gramEnd"/>
      <w:r w:rsidR="005C39BA">
        <w:t xml:space="preserve"> Engineering</w:t>
      </w:r>
    </w:p>
    <w:p w14:paraId="13BFFB78" w14:textId="6C100AC4" w:rsidR="00CB25E9" w:rsidRDefault="00533968" w:rsidP="0082223F">
      <w:pPr>
        <w:jc w:val="center"/>
      </w:pPr>
      <w:r>
        <w:t>April 11</w:t>
      </w:r>
      <w:r w:rsidRPr="00533968">
        <w:rPr>
          <w:vertAlign w:val="superscript"/>
        </w:rPr>
        <w:t>th</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05D189C" w:rsidR="0082223F" w:rsidRPr="009D7240" w:rsidRDefault="00FE4E3C" w:rsidP="009D7240">
      <w:pPr>
        <w:jc w:val="center"/>
        <w:rPr>
          <w:b/>
        </w:rPr>
      </w:pPr>
      <w:r w:rsidRPr="009D7240">
        <w:rPr>
          <w:b/>
        </w:rPr>
        <w:lastRenderedPageBreak/>
        <w:t xml:space="preserve">Improving </w:t>
      </w:r>
      <w:r w:rsidR="009D7240" w:rsidRPr="009D7240">
        <w:rPr>
          <w:b/>
        </w:rPr>
        <w:t xml:space="preserve">Availability </w:t>
      </w:r>
      <w:r w:rsidR="009D7240">
        <w:rPr>
          <w:b/>
        </w:rPr>
        <w:t xml:space="preserve">and </w:t>
      </w:r>
      <w:r w:rsidRPr="009D7240">
        <w:rPr>
          <w:b/>
        </w:rPr>
        <w:t>Performance of Cloud Systems</w:t>
      </w:r>
    </w:p>
    <w:p w14:paraId="47A9317C" w14:textId="34A7EFFA" w:rsidR="00203863" w:rsidRDefault="00203863" w:rsidP="00B62E4A">
      <w:r w:rsidRPr="00203863">
        <w:t xml:space="preserve">           Applications move to the cloud to gain access to elasticity, instantaneous provisioning, sophisticated security, and cost controls, among other reasons.  These new capabilities shift the modern architecture away from monolithic designs toward micro-service systems.  While many applications are modernizing, their high-availability approach is not evolving </w:t>
      </w:r>
      <w:sdt>
        <w:sdtPr>
          <w:id w:val="-1417238398"/>
          <w:citation/>
        </w:sdtPr>
        <w:sdtContent>
          <w:r>
            <w:fldChar w:fldCharType="begin"/>
          </w:r>
          <w:r>
            <w:instrText xml:space="preserve"> CITATION Ver18 \l 1033 </w:instrText>
          </w:r>
          <w:r>
            <w:fldChar w:fldCharType="separate"/>
          </w:r>
          <w:r>
            <w:rPr>
              <w:noProof/>
            </w:rPr>
            <w:t xml:space="preserve"> (Verbitski, et al., 2018)</w:t>
          </w:r>
          <w:r>
            <w:fldChar w:fldCharType="end"/>
          </w:r>
        </w:sdtContent>
      </w:sdt>
      <w:r w:rsidRPr="00203863">
        <w:t xml:space="preserve">.  These traditional strategies include several tried-and-true methodologies, such as state </w:t>
      </w:r>
      <w:proofErr w:type="spellStart"/>
      <w:r w:rsidRPr="00203863">
        <w:t>checkpointing</w:t>
      </w:r>
      <w:proofErr w:type="spellEnd"/>
      <w:r w:rsidRPr="00203863">
        <w:t xml:space="preserve"> and fail-over clustering </w:t>
      </w:r>
      <w:sdt>
        <w:sdtPr>
          <w:id w:val="-1862037738"/>
          <w:citation/>
        </w:sdtPr>
        <w:sdtContent>
          <w:r>
            <w:fldChar w:fldCharType="begin"/>
          </w:r>
          <w:r>
            <w:instrText xml:space="preserve"> CITATION Zha14 \l 1033 </w:instrText>
          </w:r>
          <w:r>
            <w:fldChar w:fldCharType="separate"/>
          </w:r>
          <w:r>
            <w:rPr>
              <w:noProof/>
            </w:rPr>
            <w:t xml:space="preserve"> (Zhao, 2014)</w:t>
          </w:r>
          <w:r>
            <w:fldChar w:fldCharType="end"/>
          </w:r>
        </w:sdtContent>
      </w:sdt>
      <w:r w:rsidRPr="00203863">
        <w:t>.  Fundamentally, these strategies make assumptions regarding the physical hardware constraints.  However, the cloud</w:t>
      </w:r>
      <w:r w:rsidR="0069549C">
        <w:t>’</w:t>
      </w:r>
      <w:r w:rsidRPr="00203863">
        <w:t>s virtualization enables bending some of these rules.  Engineering teams need to reassess cloud-native patterns as a mechanism to improve their systems</w:t>
      </w:r>
      <w:r w:rsidR="0069549C">
        <w:t>’</w:t>
      </w:r>
      <w:r w:rsidRPr="00203863">
        <w:t xml:space="preserve"> performance, reliability, and economics.</w:t>
      </w:r>
    </w:p>
    <w:p w14:paraId="016A2ACB" w14:textId="00C70EC9" w:rsidR="00FE4E3C" w:rsidRDefault="00FE4E3C" w:rsidP="00FE4E3C">
      <w:pPr>
        <w:pStyle w:val="Heading1"/>
      </w:pPr>
      <w:r>
        <w:t>Background</w:t>
      </w:r>
    </w:p>
    <w:p w14:paraId="74F8222B" w14:textId="194FF3EC" w:rsidR="00CD7E11" w:rsidRDefault="00BB5E14" w:rsidP="00BB5E14">
      <w:pPr>
        <w:ind w:firstLine="720"/>
      </w:pPr>
      <w:r>
        <w:t>Distributed systems are the most complicated computing environments</w:t>
      </w:r>
      <w:r>
        <w:t xml:space="preserve"> because of their parallel and asynchronous nature.  Many implementations also make false assumptions </w:t>
      </w:r>
      <w:r>
        <w:t>regarding the network</w:t>
      </w:r>
      <w:r w:rsidR="0069549C">
        <w:t>’</w:t>
      </w:r>
      <w:r>
        <w:t>s reliability, security, homogeneousness, latency, bandwidth, and transport costs</w:t>
      </w:r>
      <w:sdt>
        <w:sdtPr>
          <w:id w:val="-1427118347"/>
          <w:citation/>
        </w:sdtPr>
        <w:sdtContent>
          <w:r>
            <w:fldChar w:fldCharType="begin"/>
          </w:r>
          <w:r>
            <w:instrText xml:space="preserve">CITATION van19 \p 986 \l 1033 </w:instrText>
          </w:r>
          <w:r>
            <w:fldChar w:fldCharType="separate"/>
          </w:r>
          <w:r>
            <w:rPr>
              <w:noProof/>
            </w:rPr>
            <w:t xml:space="preserve"> (van Steen &amp; Tanenbaum, 2019, p. 986)</w:t>
          </w:r>
          <w:r>
            <w:fldChar w:fldCharType="end"/>
          </w:r>
        </w:sdtContent>
      </w:sdt>
      <w:r>
        <w:t>.  When systems introduce one of those fallacies into the design, it produces subtle defects under production loads.</w:t>
      </w:r>
      <w:r>
        <w:t xml:space="preserve">  Businesses com</w:t>
      </w:r>
      <w:r w:rsidR="001033E8">
        <w:t>b</w:t>
      </w:r>
      <w:r>
        <w:t>at these risks through high-availability architectural patterns that promote self-healing</w:t>
      </w:r>
      <w:sdt>
        <w:sdtPr>
          <w:id w:val="-1931349195"/>
          <w:citation/>
        </w:sdtPr>
        <w:sdtContent>
          <w:r>
            <w:fldChar w:fldCharType="begin"/>
          </w:r>
          <w:r>
            <w:instrText xml:space="preserve"> CITATION Yan14 \l 1033 </w:instrText>
          </w:r>
          <w:r>
            <w:fldChar w:fldCharType="separate"/>
          </w:r>
          <w:r>
            <w:rPr>
              <w:noProof/>
            </w:rPr>
            <w:t xml:space="preserve"> (Yang, Min, Yang, &amp; Li, 2014)</w:t>
          </w:r>
          <w:r>
            <w:fldChar w:fldCharType="end"/>
          </w:r>
        </w:sdtContent>
      </w:sdt>
      <w:r>
        <w:t>.</w:t>
      </w:r>
      <w:r w:rsidR="00CD7E11">
        <w:t xml:space="preserve">  These strategies follow combinations of reactive (e.g., heart-beating) and proactive solutions (e.g., rejuvenation tactics).</w:t>
      </w:r>
    </w:p>
    <w:p w14:paraId="0C047684" w14:textId="523FE8FB" w:rsidR="001033E8" w:rsidRDefault="001033E8" w:rsidP="001033E8">
      <w:pPr>
        <w:ind w:firstLine="720"/>
      </w:pPr>
      <w:r>
        <w:t>There are inherent challenges with every high-availability solution.  For instance, state check-pointing requires periodically writing memory to disk.  This operation is exceptionally I/O intensive and significantly degrades performance, despite only a f</w:t>
      </w:r>
      <w:r>
        <w:t>ew of these snapshots ever used</w:t>
      </w:r>
      <w:r>
        <w:t xml:space="preserve"> (Cheng, Huang, &amp; Lee, 2019; Wu</w:t>
      </w:r>
      <w:r>
        <w:t xml:space="preserve">, Shang, Peng, &amp; </w:t>
      </w:r>
      <w:proofErr w:type="spellStart"/>
      <w:r>
        <w:t>Wolter</w:t>
      </w:r>
      <w:proofErr w:type="spellEnd"/>
      <w:r>
        <w:t xml:space="preserve">, 2020).  </w:t>
      </w:r>
      <w:r>
        <w:t xml:space="preserve">Organizations that can </w:t>
      </w:r>
      <w:r>
        <w:lastRenderedPageBreak/>
        <w:t>remove these performance penalties could reduce resource requirements, improve Quality of Service (</w:t>
      </w:r>
      <w:proofErr w:type="spellStart"/>
      <w:r>
        <w:t>QoS</w:t>
      </w:r>
      <w:proofErr w:type="spellEnd"/>
      <w:r>
        <w:t>), and become more competitive through cost reductions.</w:t>
      </w:r>
    </w:p>
    <w:p w14:paraId="78D9B9A0" w14:textId="1E724E94" w:rsidR="001033E8" w:rsidRDefault="001033E8" w:rsidP="001033E8">
      <w:pPr>
        <w:ind w:firstLine="720"/>
      </w:pPr>
      <w:r>
        <w:t>Another standard approach is through fail-over clustering and disaster recovery technics.  This requirement translates into resource over-allocation and accepting wastefulness</w:t>
      </w:r>
      <w:r w:rsidRPr="001033E8">
        <w:t xml:space="preserve"> </w:t>
      </w:r>
      <w:sdt>
        <w:sdtPr>
          <w:id w:val="-1952155993"/>
          <w:citation/>
        </w:sdtPr>
        <w:sdtContent>
          <w:r>
            <w:fldChar w:fldCharType="begin"/>
          </w:r>
          <w:r>
            <w:instrText xml:space="preserve"> CITATION Yan20 \l 1033 </w:instrText>
          </w:r>
          <w:r>
            <w:fldChar w:fldCharType="separate"/>
          </w:r>
          <w:r>
            <w:rPr>
              <w:noProof/>
            </w:rPr>
            <w:t xml:space="preserve"> (Yan &amp; Wang, 2020)</w:t>
          </w:r>
          <w:r>
            <w:fldChar w:fldCharType="end"/>
          </w:r>
        </w:sdtContent>
      </w:sdt>
      <w:r>
        <w:t>.  Meanwhile, cloud-native systems support instantaneous provisioning, elasticity and can go global in minutes.  These capabilities promote more efficient scheduling and allo</w:t>
      </w:r>
      <w:r>
        <w:t xml:space="preserve">cation methodologies.  </w:t>
      </w:r>
      <w:r>
        <w:t xml:space="preserve">However, even mature businesses limit their cloud exploitation to stateless, not </w:t>
      </w:r>
      <w:proofErr w:type="spellStart"/>
      <w:r>
        <w:t>stateful</w:t>
      </w:r>
      <w:proofErr w:type="spellEnd"/>
      <w:r>
        <w:t>, services.  Architects need to define frugal patterns that lead to reliable systems operating above unreliable and dynamic hardware.</w:t>
      </w:r>
    </w:p>
    <w:p w14:paraId="0B8E9E08" w14:textId="02EC6C0F" w:rsidR="00533968" w:rsidRDefault="00FE4E3C" w:rsidP="00BB5E14">
      <w:pPr>
        <w:pStyle w:val="Heading1"/>
      </w:pPr>
      <w:r>
        <w:t>Problem Statement</w:t>
      </w:r>
    </w:p>
    <w:p w14:paraId="53360A84" w14:textId="5282B2AD" w:rsidR="00A96467" w:rsidRDefault="00A96467" w:rsidP="00FE4E3C">
      <w:r>
        <w:t>           Traditional monolithic systems implement high availability within the </w:t>
      </w:r>
      <w:r>
        <w:rPr>
          <w:rStyle w:val="Emphasis"/>
          <w:color w:val="0E101A"/>
        </w:rPr>
        <w:t>finite</w:t>
      </w:r>
      <w:r>
        <w:t> constraints of private data centers. In contrast, cloud-native solutions exploit virtually </w:t>
      </w:r>
      <w:r>
        <w:rPr>
          <w:rStyle w:val="Emphasis"/>
          <w:color w:val="0E101A"/>
        </w:rPr>
        <w:t>infinite</w:t>
      </w:r>
      <w:r>
        <w:t> scalability across multiple global regions. Despite this additional flexibility, most businesses do not fully use the performant high availability potential of operating on public cloud platforms. Researchers must define new architectural tactics that leverage the cloud</w:t>
      </w:r>
      <w:r w:rsidR="0069549C">
        <w:t>’</w:t>
      </w:r>
      <w:r>
        <w:t>s unique characteristics.</w:t>
      </w:r>
    </w:p>
    <w:p w14:paraId="5B315A9D" w14:textId="77777777" w:rsidR="004630E4" w:rsidRDefault="004A4981" w:rsidP="004A4981">
      <w:r>
        <w:t xml:space="preserve">           The dichotomy of traditional and </w:t>
      </w:r>
      <w:r w:rsidR="004630E4">
        <w:t xml:space="preserve">the potential for </w:t>
      </w:r>
      <w:r>
        <w:t xml:space="preserve">cloud-native high-availability is most apparent with </w:t>
      </w:r>
      <w:proofErr w:type="spellStart"/>
      <w:r>
        <w:t>stateful</w:t>
      </w:r>
      <w:proofErr w:type="spellEnd"/>
      <w:r>
        <w:t xml:space="preserve"> services.  Unlike stateless services, it is challenging to handle stop-faults elegantly.  Platforms like Apache Spark, </w:t>
      </w:r>
      <w:proofErr w:type="spellStart"/>
      <w:r>
        <w:t>Flink</w:t>
      </w:r>
      <w:proofErr w:type="spellEnd"/>
      <w:r>
        <w:t>, and Storm mitigate t</w:t>
      </w:r>
      <w:r w:rsidR="004630E4">
        <w:t xml:space="preserve">hese concerns through </w:t>
      </w:r>
      <w:proofErr w:type="spellStart"/>
      <w:r w:rsidR="004630E4">
        <w:t>checkpointing</w:t>
      </w:r>
      <w:proofErr w:type="spellEnd"/>
      <w:r w:rsidR="004630E4">
        <w:t xml:space="preserve">.  </w:t>
      </w:r>
      <w:r>
        <w:t>However, this solution decreases overall throughput by 35-40% (455-570MB/s versus 755-900MB/s)</w:t>
      </w:r>
      <w:r w:rsidRPr="004A4981">
        <w:t xml:space="preserve"> </w:t>
      </w:r>
      <w:sdt>
        <w:sdtPr>
          <w:id w:val="-1071805886"/>
          <w:citation/>
        </w:sdtPr>
        <w:sdtContent>
          <w:r>
            <w:fldChar w:fldCharType="begin"/>
          </w:r>
          <w:r>
            <w:instrText xml:space="preserve">CITATION Che19 \p 12 \l 1033 </w:instrText>
          </w:r>
          <w:r>
            <w:fldChar w:fldCharType="separate"/>
          </w:r>
          <w:r>
            <w:rPr>
              <w:noProof/>
            </w:rPr>
            <w:t xml:space="preserve"> (Cheng, Huang, &amp; Lee, 2019, p. 12)</w:t>
          </w:r>
          <w:r>
            <w:fldChar w:fldCharType="end"/>
          </w:r>
        </w:sdtContent>
      </w:sdt>
      <w:r>
        <w:t xml:space="preserve">.  Businesses must provide extra resources to offset this degradation.  Increasing the cluster size also means greater chances of failing due to </w:t>
      </w:r>
      <w:r w:rsidR="00D441F5">
        <w:t xml:space="preserve">greater </w:t>
      </w:r>
      <w:r>
        <w:t xml:space="preserve">cross-component communication </w:t>
      </w:r>
      <w:r w:rsidR="00D441F5">
        <w:t xml:space="preserve">needs </w:t>
      </w:r>
      <w:r>
        <w:t xml:space="preserve">and </w:t>
      </w:r>
      <w:r w:rsidR="00D441F5">
        <w:t xml:space="preserve">higher </w:t>
      </w:r>
      <w:r>
        <w:t>I/O requirements.</w:t>
      </w:r>
      <w:r w:rsidR="004630E4">
        <w:t xml:space="preserve">  </w:t>
      </w:r>
    </w:p>
    <w:p w14:paraId="0E845B3B" w14:textId="77777777" w:rsidR="004627E2" w:rsidRDefault="004627E2" w:rsidP="004630E4">
      <w:pPr>
        <w:ind w:firstLine="720"/>
      </w:pPr>
    </w:p>
    <w:p w14:paraId="0998CFE0" w14:textId="2FA90525" w:rsidR="004627E2" w:rsidRDefault="004627E2" w:rsidP="004630E4">
      <w:pPr>
        <w:ind w:firstLine="720"/>
      </w:pPr>
      <w:r w:rsidRPr="004627E2">
        <w:lastRenderedPageBreak/>
        <w:t>More ideally, software platforms decompose the processing nodes into a collection of micro-services.  These components can execute across dedicated hardware that does not impact the performance-critical path.  Cloud providers also expose features that replicate and multicast information across distinct nodes.  While these technologies are not unique to the cloud, they are historically cost-prohibitive and only available within enterprise topologies.  In contrast, public cloud providers democratic access to sophisticated technologies.</w:t>
      </w:r>
    </w:p>
    <w:p w14:paraId="5BF392D5" w14:textId="6A49F178" w:rsidR="00FE4E3C" w:rsidRDefault="00FE4E3C" w:rsidP="00FE4E3C">
      <w:pPr>
        <w:pStyle w:val="Heading1"/>
      </w:pPr>
      <w:r>
        <w:t>Goal</w:t>
      </w:r>
    </w:p>
    <w:p w14:paraId="44E35525" w14:textId="6098AF4B" w:rsidR="00095085" w:rsidRDefault="00095085" w:rsidP="0031335A">
      <w:r w:rsidRPr="00095085">
        <w:t xml:space="preserve">           Architecture teams must define modern high-availability mechanisms that exploit the cloud</w:t>
      </w:r>
      <w:r w:rsidR="0069549C">
        <w:t>’</w:t>
      </w:r>
      <w:r w:rsidRPr="00095085">
        <w:t xml:space="preserve">s capabilities.  This constructive research core deliverable implements a benchmark of streaming applications that follow cloud-native patterns.  The model will cover several standard use-cases (e.g., </w:t>
      </w:r>
      <w:proofErr w:type="spellStart"/>
      <w:r w:rsidRPr="00095085">
        <w:t>WordCount</w:t>
      </w:r>
      <w:proofErr w:type="spellEnd"/>
      <w:r w:rsidRPr="00095085">
        <w:t xml:space="preserve"> and </w:t>
      </w:r>
      <w:proofErr w:type="spellStart"/>
      <w:r w:rsidRPr="00095085">
        <w:t>StreamGrep</w:t>
      </w:r>
      <w:proofErr w:type="spellEnd"/>
      <w:r w:rsidRPr="00095085">
        <w:t>) while minimizing overhead through high-availability micro-structures.  Second, an assessment will confirm these micro-structures are generalizable by examining an open-source platform</w:t>
      </w:r>
      <w:r w:rsidR="0069549C">
        <w:t>’</w:t>
      </w:r>
      <w:r w:rsidRPr="00095085">
        <w:t>s internal requirements, such as Apache Spark or PostgreSQL.</w:t>
      </w:r>
    </w:p>
    <w:p w14:paraId="32F8D95A" w14:textId="47745112" w:rsidR="00FE4E3C" w:rsidRDefault="00FE4E3C" w:rsidP="00FE4E3C">
      <w:pPr>
        <w:pStyle w:val="Heading1"/>
      </w:pPr>
      <w:r>
        <w:t>Relevance and Significance</w:t>
      </w:r>
    </w:p>
    <w:p w14:paraId="2B905AD0" w14:textId="4CFD7465" w:rsidR="00C77FBA" w:rsidRDefault="00C77FBA" w:rsidP="00C77FBA">
      <w:pPr>
        <w:ind w:firstLine="720"/>
      </w:pPr>
      <w:r w:rsidRPr="00C77FBA">
        <w:t xml:space="preserve">Modern applications are moving toward micro-service architectures that require zero downtime </w:t>
      </w:r>
      <w:sdt>
        <w:sdtPr>
          <w:id w:val="1161436802"/>
          <w:citation/>
        </w:sdtPr>
        <w:sdtContent>
          <w:r>
            <w:fldChar w:fldCharType="begin"/>
          </w:r>
          <w:r>
            <w:instrText xml:space="preserve"> CITATION Rud20 \l 1033 </w:instrText>
          </w:r>
          <w:r>
            <w:fldChar w:fldCharType="separate"/>
          </w:r>
          <w:r>
            <w:rPr>
              <w:noProof/>
            </w:rPr>
            <w:t xml:space="preserve"> (Rudrabhatla, 2020)</w:t>
          </w:r>
          <w:r>
            <w:fldChar w:fldCharType="end"/>
          </w:r>
        </w:sdtContent>
      </w:sdt>
      <w:r w:rsidRPr="00C77FBA">
        <w:t>.  Businesses meet these requirements through mechanisms that use excessive resources.  Alternatively, cloud-native solutions would reduce costs and complexity.  When organizations become more efficient, it increases their competitiveness.  This characteristic makes these optimizations broadly applicable.</w:t>
      </w:r>
      <w:r w:rsidR="003C4C45">
        <w:tab/>
      </w:r>
    </w:p>
    <w:p w14:paraId="49B855D5" w14:textId="77777777" w:rsidR="004627E2" w:rsidRDefault="004627E2">
      <w:pPr>
        <w:rPr>
          <w:b/>
        </w:rPr>
      </w:pPr>
      <w:r>
        <w:br w:type="page"/>
      </w:r>
    </w:p>
    <w:p w14:paraId="58349CD3" w14:textId="6EEB1BBA" w:rsidR="00FE4E3C" w:rsidRDefault="00FE4E3C" w:rsidP="00FE4E3C">
      <w:pPr>
        <w:pStyle w:val="Heading1"/>
      </w:pPr>
      <w:r>
        <w:lastRenderedPageBreak/>
        <w:t>Literature Review</w:t>
      </w:r>
    </w:p>
    <w:p w14:paraId="4C938FC0" w14:textId="7014867C" w:rsidR="00EA5824" w:rsidRPr="00EA5824" w:rsidRDefault="00EA5824" w:rsidP="00EA5824">
      <w:r>
        <w:tab/>
        <w:t xml:space="preserve">The current academic literature presents several themes toward building performant applications with high-availability </w:t>
      </w:r>
      <w:r w:rsidR="001B52B7">
        <w:t>capabilities</w:t>
      </w:r>
      <w:r>
        <w:t>.</w:t>
      </w:r>
    </w:p>
    <w:p w14:paraId="495526B5" w14:textId="4BF70479" w:rsidR="004627E2" w:rsidRDefault="00DC1866" w:rsidP="004627E2">
      <w:pPr>
        <w:pStyle w:val="Heading2"/>
      </w:pPr>
      <w:r>
        <w:t>Disaster Recovery Techniques in Cloud Computing</w:t>
      </w:r>
    </w:p>
    <w:p w14:paraId="7ED1C49E" w14:textId="69C9AC05" w:rsidR="00E90B38" w:rsidRDefault="00E90B38" w:rsidP="00E90B38">
      <w:r>
        <w:t xml:space="preserve">           Distributed systems are complex environments that must defend against a litany of sources.  </w:t>
      </w:r>
      <w:proofErr w:type="spellStart"/>
      <w:r>
        <w:t>Tamimi</w:t>
      </w:r>
      <w:proofErr w:type="spellEnd"/>
      <w:r>
        <w:t xml:space="preserve"> et al. (2019) provide a taxonomy with top-level origins, including natural disasters, network failures, network intrusions, system failures, ma</w:t>
      </w:r>
      <w:r>
        <w:t xml:space="preserve">licious code, and human errors.  </w:t>
      </w:r>
      <w:r>
        <w:t xml:space="preserve">Unsurprisingly, human error accounts for nearly 60% of all issues.  </w:t>
      </w:r>
    </w:p>
    <w:p w14:paraId="73877AB9" w14:textId="2B98046F" w:rsidR="00DC1866" w:rsidRDefault="00E90B38" w:rsidP="00E90B38">
      <w:pPr>
        <w:ind w:firstLine="720"/>
      </w:pPr>
      <w:r>
        <w:t>When a service outage occurs, the business needs to restore operations through a remediation strategy.  “Broadly speaking, all those [recovery] techniques focus on three different aspects, such as cost control, data duplication and security issues</w:t>
      </w:r>
      <w:r>
        <w:t xml:space="preserve"> </w:t>
      </w:r>
      <w:sdt>
        <w:sdtPr>
          <w:id w:val="-1456638214"/>
          <w:citation/>
        </w:sdtPr>
        <w:sdtContent>
          <w:r>
            <w:fldChar w:fldCharType="begin"/>
          </w:r>
          <w:r>
            <w:instrText xml:space="preserve">CITATION Tam19 \p 847 \l 1033 </w:instrText>
          </w:r>
          <w:r>
            <w:fldChar w:fldCharType="separate"/>
          </w:r>
          <w:r>
            <w:rPr>
              <w:noProof/>
            </w:rPr>
            <w:t xml:space="preserve"> (Tamimi, Dawood, &amp; Sadaqa, 2019, p. 847)</w:t>
          </w:r>
          <w:r>
            <w:fldChar w:fldCharType="end"/>
          </w:r>
        </w:sdtContent>
      </w:sdt>
      <w:r>
        <w:t xml:space="preserve">.”  Each workload within an organization comes with unique characteristics that dictate the Recovery Time/Point Objective (RTO/RPO) requires.  Consider a </w:t>
      </w:r>
      <w:proofErr w:type="spellStart"/>
      <w:r>
        <w:t>FinTech</w:t>
      </w:r>
      <w:proofErr w:type="spellEnd"/>
      <w:r>
        <w:t xml:space="preserve"> company that hosts both an internal payroll portal and a real-time trading application.  If the trading system is offline, then the business risks significant losses relative to the human resource app.  Mitigating that financial loss justifies higher costs and complexity.</w:t>
      </w:r>
    </w:p>
    <w:p w14:paraId="65A13DA1" w14:textId="677090DE" w:rsidR="00983AD2" w:rsidRDefault="00983AD2" w:rsidP="00983AD2">
      <w:pPr>
        <w:pStyle w:val="Heading2"/>
      </w:pPr>
      <w:r>
        <w:t xml:space="preserve">Deployment </w:t>
      </w:r>
      <w:r w:rsidR="00475A64">
        <w:t>Challenges</w:t>
      </w:r>
    </w:p>
    <w:p w14:paraId="00537F0C" w14:textId="48B1509B" w:rsidR="003F7D98" w:rsidRDefault="008370EC" w:rsidP="003F7D98">
      <w:r>
        <w:t xml:space="preserve">           Modern businesses use Continuous Integration and Deployment (CI/CD) pipelines to release production u</w:t>
      </w:r>
      <w:r>
        <w:t xml:space="preserve">pdates multiple times per day.  </w:t>
      </w:r>
      <w:r>
        <w:t xml:space="preserve">This requirement introduces complexity for high-availability systems that seek to maintain zero downtime.  </w:t>
      </w:r>
      <w:proofErr w:type="spellStart"/>
      <w:r>
        <w:t>Rudrabhatla</w:t>
      </w:r>
      <w:proofErr w:type="spellEnd"/>
      <w:r>
        <w:t xml:space="preserve"> (2020) presents constructive research into rolling, blue-green, and canary methodologies, stating the core difference is the cost, duplication, and security.  These observations directly overlap with </w:t>
      </w:r>
      <w:proofErr w:type="spellStart"/>
      <w:r>
        <w:t>Tamimi</w:t>
      </w:r>
      <w:proofErr w:type="spellEnd"/>
      <w:r>
        <w:t xml:space="preserve"> et al. (2020).  Blue-Green deployments refer to duplicating the environment and using </w:t>
      </w:r>
      <w:r>
        <w:lastRenderedPageBreak/>
        <w:t>load-balancer or DNS (Domain Name Service) magic to toggle between them.  This strategy has the most safety but also the highest cost.</w:t>
      </w:r>
    </w:p>
    <w:p w14:paraId="4B671A14" w14:textId="2080D7B6" w:rsidR="00ED73F6" w:rsidRDefault="004627E2" w:rsidP="004627E2">
      <w:pPr>
        <w:pStyle w:val="Heading2"/>
      </w:pPr>
      <w:r>
        <w:t>Evolution of Clustering Strategies</w:t>
      </w:r>
    </w:p>
    <w:p w14:paraId="7C31D815" w14:textId="2BB8B85A" w:rsidR="00FD7638" w:rsidRDefault="00FD7638" w:rsidP="00FD7638">
      <w:r>
        <w:t>           Cheng et al. (2005) describe a case study with International Technology Roadmap for Semiconductor</w:t>
      </w:r>
      <w:r w:rsidR="0069549C">
        <w:t>’</w:t>
      </w:r>
      <w:r>
        <w:t>s Factory Information and Control Systems (FIC). This mission-critical system cannot exceed 240 minutes of downtime annually (99.95% uptime). </w:t>
      </w:r>
    </w:p>
    <w:p w14:paraId="1F3B93CB" w14:textId="77777777" w:rsidR="00FD7638" w:rsidRDefault="00FD7638" w:rsidP="00FD7638">
      <w:r>
        <w:t>Similar to other companies, FICS relies on clustering services. Under the covers, these solutions employ a heart beating mechanism to discover compute-node failures. Additional custom client middleware also transparently retries failures. Despite these architectural protections, the operations team still found it challenging to meet this aggressive Service Level Objective (SLO).</w:t>
      </w:r>
    </w:p>
    <w:p w14:paraId="113C2CA3" w14:textId="3E546A08" w:rsidR="00FD7638" w:rsidRDefault="00FD7638" w:rsidP="00FD7638">
      <w:r>
        <w:t>           The engineers began collecting metrics, leading to the discovery that node failure is proportional to service instance age (total runtime).</w:t>
      </w:r>
      <w:r>
        <w:t xml:space="preserve">  </w:t>
      </w:r>
      <w:r>
        <w:t xml:space="preserve">This revelation makes logical sense, as long-running processes have more opportunity to become corrupt or leak resources. They began collecting data to predict Mean Time </w:t>
      </w:r>
      <w:proofErr w:type="gramStart"/>
      <w:r>
        <w:t>To</w:t>
      </w:r>
      <w:proofErr w:type="gramEnd"/>
      <w:r>
        <w:t xml:space="preserve"> Failure (MTTR) per service. Today, FCIS experiences than 120 minutes of annual downtime (99.98% availability).</w:t>
      </w:r>
    </w:p>
    <w:p w14:paraId="4C89277B" w14:textId="41FD7902" w:rsidR="00FD7638" w:rsidRDefault="00FD7638" w:rsidP="00FD7638">
      <w:pPr>
        <w:ind w:firstLine="720"/>
      </w:pPr>
      <w:r>
        <w:t>Wen et al. (2020) present resear</w:t>
      </w:r>
      <w:r>
        <w:t>ch into Kubernetes placement strategies</w:t>
      </w:r>
      <w:r>
        <w:t>.  </w:t>
      </w:r>
      <w:r>
        <w:rPr>
          <w:rStyle w:val="Emphasis"/>
          <w:color w:val="0E101A"/>
        </w:rPr>
        <w:t>Kubernetes</w:t>
      </w:r>
      <w:r>
        <w:t> is a container orchestration system that supports policies for physically distributing workloads. For instance, they span Elastic Search across four physical nodes, then demonstrate that rebooting hosts does not impact system availability. Finally, the authors present a series of equations that maximize resiliency and minimize hardware requirements.</w:t>
      </w:r>
    </w:p>
    <w:p w14:paraId="44BC715A" w14:textId="42A1DA32" w:rsidR="00FD7638" w:rsidRDefault="00FD7638" w:rsidP="00FD7638">
      <w:pPr>
        <w:ind w:firstLine="720"/>
      </w:pPr>
      <w:r>
        <w:t xml:space="preserve">Dedicated fail-over clusters increase availability and operational costs by </w:t>
      </w:r>
      <w:r>
        <w:t xml:space="preserve">prematurely </w:t>
      </w:r>
      <w:r>
        <w:t xml:space="preserve">provisioning idle resources. Yan &amp; Wang (2020) propose upgrading traditional active &amp; passive models (1+1) for H+K configurations. Essentially, administrators deploy H-service instances </w:t>
      </w:r>
      <w:r>
        <w:lastRenderedPageBreak/>
        <w:t>plus K-extra nodes. Then the environment can maintain full availability until K-concurrent failures.</w:t>
      </w:r>
    </w:p>
    <w:p w14:paraId="3DC05DFE" w14:textId="4328F834" w:rsidR="004627E2" w:rsidRDefault="004145C0" w:rsidP="004627E2">
      <w:pPr>
        <w:pStyle w:val="Heading2"/>
      </w:pPr>
      <w:r>
        <w:t>Reliability Constructs</w:t>
      </w:r>
    </w:p>
    <w:p w14:paraId="19698072" w14:textId="547FFBAB" w:rsidR="0037792A" w:rsidRDefault="0037792A" w:rsidP="0037792A">
      <w:r>
        <w:t xml:space="preserve">           Zhao (2014) documents multiple strategies for building dependable distributed systems.  Their patterns cluster into partitioning, </w:t>
      </w:r>
      <w:proofErr w:type="spellStart"/>
      <w:r>
        <w:t>checkpointing</w:t>
      </w:r>
      <w:proofErr w:type="spellEnd"/>
      <w:r>
        <w:t>, and consensus constructs (see Table 1).  Engineers can freely mix-and-match elements to form defense-in-depth architectural designs.  Consider a resource-intensive application tha</w:t>
      </w:r>
      <w:r>
        <w:t xml:space="preserve">t spans multiple server racks.  </w:t>
      </w:r>
      <w:r>
        <w:t>Administrators could use partitioning schemes to constrain the blast radius of the rack</w:t>
      </w:r>
      <w:r w:rsidR="0069549C">
        <w:t>’</w:t>
      </w:r>
      <w:r>
        <w:t>s edge router.  Programs with smaller logical units are simpler to backup and operate because of reduced internal state size and cross-component communication of requirements.</w:t>
      </w:r>
    </w:p>
    <w:p w14:paraId="6827E3FE" w14:textId="17A2D1A6" w:rsidR="004145C0" w:rsidRDefault="004145C0" w:rsidP="004145C0">
      <w:pPr>
        <w:pStyle w:val="Caption"/>
      </w:pPr>
      <w:r>
        <w:t>Table 1: Reliability Patterns</w:t>
      </w:r>
    </w:p>
    <w:tbl>
      <w:tblPr>
        <w:tblStyle w:val="GridTable4"/>
        <w:tblW w:w="0" w:type="auto"/>
        <w:tblLook w:val="04A0" w:firstRow="1" w:lastRow="0" w:firstColumn="1" w:lastColumn="0" w:noHBand="0" w:noVBand="1"/>
      </w:tblPr>
      <w:tblGrid>
        <w:gridCol w:w="2515"/>
        <w:gridCol w:w="6835"/>
      </w:tblGrid>
      <w:tr w:rsidR="00C97577" w14:paraId="138F6E0D" w14:textId="77777777" w:rsidTr="00414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6FD02D8" w14:textId="5A3A87B2" w:rsidR="00C97577" w:rsidRDefault="00C97577" w:rsidP="004145C0">
            <w:pPr>
              <w:jc w:val="center"/>
            </w:pPr>
            <w:r>
              <w:t>Construct Method</w:t>
            </w:r>
          </w:p>
        </w:tc>
        <w:tc>
          <w:tcPr>
            <w:tcW w:w="6835" w:type="dxa"/>
          </w:tcPr>
          <w:p w14:paraId="5362E246" w14:textId="79732BDD" w:rsidR="00C97577" w:rsidRDefault="00C97577" w:rsidP="004145C0">
            <w:pPr>
              <w:jc w:val="center"/>
              <w:cnfStyle w:val="100000000000" w:firstRow="1" w:lastRow="0" w:firstColumn="0" w:lastColumn="0" w:oddVBand="0" w:evenVBand="0" w:oddHBand="0" w:evenHBand="0" w:firstRowFirstColumn="0" w:firstRowLastColumn="0" w:lastRowFirstColumn="0" w:lastRowLastColumn="0"/>
            </w:pPr>
            <w:r>
              <w:t>Unique Characteristics</w:t>
            </w:r>
          </w:p>
        </w:tc>
      </w:tr>
      <w:tr w:rsidR="00C97577" w14:paraId="226ADCD9" w14:textId="77777777" w:rsidTr="00414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3ADC0F" w14:textId="343A53B8" w:rsidR="00C97577" w:rsidRDefault="00C97577" w:rsidP="00C560C0">
            <w:r>
              <w:t>Partitioning</w:t>
            </w:r>
          </w:p>
        </w:tc>
        <w:tc>
          <w:tcPr>
            <w:tcW w:w="6835" w:type="dxa"/>
          </w:tcPr>
          <w:p w14:paraId="7DF496BC" w14:textId="4177042F" w:rsidR="00C97577" w:rsidRDefault="00C97577" w:rsidP="00C9757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Failure domain </w:t>
            </w:r>
            <w:r w:rsidR="00757230">
              <w:t xml:space="preserve">that </w:t>
            </w:r>
            <w:r>
              <w:t>constrain</w:t>
            </w:r>
            <w:r w:rsidR="00757230">
              <w:t>ing</w:t>
            </w:r>
            <w:r>
              <w:t xml:space="preserve"> </w:t>
            </w:r>
            <w:r w:rsidR="00757230">
              <w:t>impact of error</w:t>
            </w:r>
            <w:r>
              <w:t xml:space="preserve"> </w:t>
            </w:r>
          </w:p>
          <w:p w14:paraId="091915ED" w14:textId="0B5E0F52" w:rsidR="00C97577" w:rsidRDefault="00C97577" w:rsidP="00C9757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Serve as logical horizontal scaling unit</w:t>
            </w:r>
          </w:p>
        </w:tc>
      </w:tr>
      <w:tr w:rsidR="00757230" w14:paraId="5A635770" w14:textId="77777777" w:rsidTr="004145C0">
        <w:tc>
          <w:tcPr>
            <w:cnfStyle w:val="001000000000" w:firstRow="0" w:lastRow="0" w:firstColumn="1" w:lastColumn="0" w:oddVBand="0" w:evenVBand="0" w:oddHBand="0" w:evenHBand="0" w:firstRowFirstColumn="0" w:firstRowLastColumn="0" w:lastRowFirstColumn="0" w:lastRowLastColumn="0"/>
            <w:tcW w:w="2515" w:type="dxa"/>
          </w:tcPr>
          <w:p w14:paraId="1983D721" w14:textId="16406625" w:rsidR="00757230" w:rsidRDefault="00757230" w:rsidP="00C560C0">
            <w:proofErr w:type="spellStart"/>
            <w:r>
              <w:t>Checkpointing</w:t>
            </w:r>
            <w:proofErr w:type="spellEnd"/>
          </w:p>
        </w:tc>
        <w:tc>
          <w:tcPr>
            <w:tcW w:w="6835" w:type="dxa"/>
          </w:tcPr>
          <w:p w14:paraId="4AD6B5A4" w14:textId="77777777" w:rsidR="00757230" w:rsidRDefault="00757230" w:rsidP="00757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Follows a fetch-do-persist-acknowledge loop</w:t>
            </w:r>
          </w:p>
          <w:p w14:paraId="71E0DBF6" w14:textId="626FC1A8" w:rsidR="00757230" w:rsidRDefault="00757230" w:rsidP="00757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State is W</w:t>
            </w:r>
            <w:r w:rsidR="004145C0">
              <w:t>rite-</w:t>
            </w:r>
            <w:r>
              <w:t>M</w:t>
            </w:r>
            <w:r w:rsidR="004145C0">
              <w:t>any-</w:t>
            </w:r>
            <w:r>
              <w:t>R</w:t>
            </w:r>
            <w:r w:rsidR="004145C0">
              <w:t>ead-</w:t>
            </w:r>
            <w:r>
              <w:t>Maybe</w:t>
            </w:r>
          </w:p>
        </w:tc>
      </w:tr>
      <w:tr w:rsidR="004145C0" w14:paraId="1FC9DE43" w14:textId="77777777" w:rsidTr="00414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8B49821" w14:textId="0D1243CF" w:rsidR="004145C0" w:rsidRDefault="004145C0" w:rsidP="00C560C0">
            <w:proofErr w:type="spellStart"/>
            <w:r>
              <w:t>Concensus</w:t>
            </w:r>
            <w:proofErr w:type="spellEnd"/>
          </w:p>
        </w:tc>
        <w:tc>
          <w:tcPr>
            <w:tcW w:w="6835" w:type="dxa"/>
          </w:tcPr>
          <w:p w14:paraId="6E4AEF0C" w14:textId="77777777" w:rsidR="004145C0" w:rsidRDefault="004145C0" w:rsidP="004145C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Decentralized event processing</w:t>
            </w:r>
          </w:p>
          <w:p w14:paraId="133CD526" w14:textId="5C095852" w:rsidR="004145C0" w:rsidRDefault="004145C0" w:rsidP="004145C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Eventually consistent </w:t>
            </w:r>
            <w:proofErr w:type="spellStart"/>
            <w:r>
              <w:t>reckonsiliation</w:t>
            </w:r>
            <w:proofErr w:type="spellEnd"/>
          </w:p>
        </w:tc>
      </w:tr>
    </w:tbl>
    <w:p w14:paraId="7B11B03D" w14:textId="73D62F83" w:rsidR="00C97577" w:rsidRDefault="00C97577" w:rsidP="00C560C0">
      <w:r>
        <w:t xml:space="preserve"> </w:t>
      </w:r>
    </w:p>
    <w:p w14:paraId="45CD4180" w14:textId="00790637" w:rsidR="0069549C" w:rsidRDefault="0069549C" w:rsidP="0069549C">
      <w:pPr>
        <w:ind w:firstLine="720"/>
      </w:pPr>
      <w:r>
        <w:t>Wu et al. (2020) examine Apache Kafka-based streaming applications</w:t>
      </w:r>
      <w:r>
        <w:t>’</w:t>
      </w:r>
      <w:r>
        <w:t xml:space="preserve"> performance metrics under different </w:t>
      </w:r>
      <w:proofErr w:type="spellStart"/>
      <w:r>
        <w:t>checkpointing</w:t>
      </w:r>
      <w:proofErr w:type="spellEnd"/>
      <w:r>
        <w:t xml:space="preserve"> and batch-sizing configurations. They demonstrate that adjusting the frequency and sizing influences </w:t>
      </w:r>
      <w:proofErr w:type="spellStart"/>
      <w:r>
        <w:t>dequeuing</w:t>
      </w:r>
      <w:proofErr w:type="spellEnd"/>
      <w:r>
        <w:t xml:space="preserve"> speeds by 10x (10</w:t>
      </w:r>
      <w:r>
        <w:rPr>
          <w:vertAlign w:val="superscript"/>
        </w:rPr>
        <w:t xml:space="preserve">2 </w:t>
      </w:r>
      <w:r>
        <w:t>to 10</w:t>
      </w:r>
      <w:r>
        <w:rPr>
          <w:vertAlign w:val="superscript"/>
        </w:rPr>
        <w:t>3</w:t>
      </w:r>
      <w:r>
        <w:t xml:space="preserve"> </w:t>
      </w:r>
      <w:proofErr w:type="spellStart"/>
      <w:r>
        <w:t>ms</w:t>
      </w:r>
      <w:proofErr w:type="spellEnd"/>
      <w:r>
        <w:t>). After collecting a </w:t>
      </w:r>
      <w:r>
        <w:rPr>
          <w:rStyle w:val="Emphasis"/>
          <w:color w:val="0E101A"/>
        </w:rPr>
        <w:t>timeliness</w:t>
      </w:r>
      <w:r>
        <w:t> custom-metric, the authors construct an Artificial Neural Network (ANN) that optimistically issues the checkpoints</w:t>
      </w:r>
      <w:r>
        <w:t>.</w:t>
      </w:r>
    </w:p>
    <w:p w14:paraId="3DF0102C" w14:textId="3D73B23D" w:rsidR="0069549C" w:rsidRDefault="0069549C" w:rsidP="0069549C">
      <w:pPr>
        <w:ind w:firstLine="720"/>
      </w:pPr>
      <w:r>
        <w:t xml:space="preserve">Instead of reducing the </w:t>
      </w:r>
      <w:proofErr w:type="spellStart"/>
      <w:r>
        <w:t>checkpointing</w:t>
      </w:r>
      <w:proofErr w:type="spellEnd"/>
      <w:r>
        <w:t xml:space="preserve"> frequency, Cheng et al. (2019) seek to remove it entirely.  Their empirical study compares the performance of removing event durability entirely from standard open-source products (e.g</w:t>
      </w:r>
      <w:r>
        <w:t xml:space="preserve">., Apache Storm, </w:t>
      </w:r>
      <w:proofErr w:type="spellStart"/>
      <w:r>
        <w:t>Flink</w:t>
      </w:r>
      <w:proofErr w:type="spellEnd"/>
      <w:r>
        <w:t xml:space="preserve">, </w:t>
      </w:r>
      <w:proofErr w:type="gramStart"/>
      <w:r>
        <w:t>Spark</w:t>
      </w:r>
      <w:proofErr w:type="gramEnd"/>
      <w:r>
        <w:t xml:space="preserve">).  </w:t>
      </w:r>
      <w:r>
        <w:t>Next, replaying open-</w:t>
      </w:r>
      <w:r>
        <w:lastRenderedPageBreak/>
        <w:t>source data sets (14 to 45GiB each) enables measuring several streaming use-cases' reliability (e.g., online learning and event joining).  Their results show that even the non-</w:t>
      </w:r>
      <w:proofErr w:type="spellStart"/>
      <w:r>
        <w:t>checkpointed</w:t>
      </w:r>
      <w:proofErr w:type="spellEnd"/>
      <w:r>
        <w:t xml:space="preserve"> stress tests asymptote at 92.5% accuracy.</w:t>
      </w:r>
    </w:p>
    <w:p w14:paraId="230004B0" w14:textId="534E387D" w:rsidR="001B7BF1" w:rsidRDefault="006561B8" w:rsidP="006561B8">
      <w:pPr>
        <w:ind w:firstLine="720"/>
      </w:pPr>
      <w:proofErr w:type="spellStart"/>
      <w:r w:rsidRPr="006561B8">
        <w:t>Verbitski</w:t>
      </w:r>
      <w:proofErr w:type="spellEnd"/>
      <w:r w:rsidRPr="006561B8">
        <w:t xml:space="preserve"> et al. (2018) present the Amazon Aurora database, a cloud-native database that avoids distributed consensus.  They improve write-performance by supporting per node append-only transaction logs.  This approach avoids write-contention and the need to update previous blocks.  When a consistent system view is necessary, then the storage layer projects a virtual point-in-time view.  The view reassembles the individual transaction logs without requiring any locking.  Their elegant solution is generalizable and applicable to other database technologies.</w:t>
      </w:r>
    </w:p>
    <w:p w14:paraId="5271320C" w14:textId="2C00EB28" w:rsidR="00625688" w:rsidRDefault="00625688" w:rsidP="00625688">
      <w:pPr>
        <w:ind w:firstLine="720"/>
      </w:pPr>
      <w:r>
        <w:t xml:space="preserve">The literature review encapsulates several themes that must appear in future constructive research.  First, high-availability systems must defend against numerous operational risks, such as deployment management, operator error, and acts of God.  However, mitigating those risks adds significant overhead, especially when considering they rarely factor into operations.  This situation requires businesses to balance protections through ‘art-not-science.’  Second, there are combinations of traditional architecture technics </w:t>
      </w:r>
      <w:r>
        <w:t xml:space="preserve">that likely need modernization.  </w:t>
      </w:r>
      <w:r>
        <w:t>For example, cloud databases can access arbitrarily large disk volumes, simplif</w:t>
      </w:r>
      <w:r>
        <w:t>ying immutable storage patterns.</w:t>
      </w:r>
    </w:p>
    <w:p w14:paraId="4C2F1DA4" w14:textId="7C52ED12" w:rsidR="00FE4E3C" w:rsidRDefault="00FE4E3C" w:rsidP="00FE4E3C">
      <w:pPr>
        <w:pStyle w:val="Heading1"/>
      </w:pPr>
      <w:r>
        <w:t>Approach</w:t>
      </w:r>
    </w:p>
    <w:p w14:paraId="145DCA52" w14:textId="13A9279A" w:rsidR="00625688" w:rsidRPr="00625688" w:rsidRDefault="00112890" w:rsidP="00112890">
      <w:pPr>
        <w:ind w:firstLine="720"/>
      </w:pPr>
      <w:r w:rsidRPr="00112890">
        <w:t>The research applies themes from the literature review across real-time stream processing applications and quantifies any gains to reliability, availability, throughput, and response time.</w:t>
      </w:r>
    </w:p>
    <w:p w14:paraId="6AFF1FE2" w14:textId="7B05FD89" w:rsidR="00CE19BD" w:rsidRDefault="00CE19BD" w:rsidP="00CE19BD">
      <w:pPr>
        <w:pStyle w:val="Heading2"/>
      </w:pPr>
      <w:r>
        <w:t>Delivery Format</w:t>
      </w:r>
    </w:p>
    <w:p w14:paraId="1375BB6F" w14:textId="23AEE1E4" w:rsidR="00112890" w:rsidRDefault="00112890" w:rsidP="00112890">
      <w:pPr>
        <w:ind w:firstLine="720"/>
      </w:pPr>
      <w:r w:rsidRPr="00112890">
        <w:t xml:space="preserve">This constructive research delivers a collection of scenario-specific stream processing applications that minimize resource waste.  Quality research must be complex, elegant, and </w:t>
      </w:r>
      <w:r w:rsidRPr="00112890">
        <w:lastRenderedPageBreak/>
        <w:t>valuable</w:t>
      </w:r>
      <w:sdt>
        <w:sdtPr>
          <w:id w:val="-1284338403"/>
          <w:citation/>
        </w:sdtPr>
        <w:sdtContent>
          <w:r>
            <w:fldChar w:fldCharType="begin"/>
          </w:r>
          <w:r>
            <w:instrText xml:space="preserve"> CITATION Zel14 \l 1033 </w:instrText>
          </w:r>
          <w:r>
            <w:fldChar w:fldCharType="separate"/>
          </w:r>
          <w:r>
            <w:rPr>
              <w:noProof/>
            </w:rPr>
            <w:t xml:space="preserve"> (Zeller, 2014)</w:t>
          </w:r>
          <w:r>
            <w:fldChar w:fldCharType="end"/>
          </w:r>
        </w:sdtContent>
      </w:sdt>
      <w:r w:rsidRPr="00112890">
        <w:t>.  Meeting that expectation means that the results must be broadly applicable to many modern applications, ideally as Quality of Service (</w:t>
      </w:r>
      <w:proofErr w:type="spellStart"/>
      <w:r w:rsidRPr="00112890">
        <w:t>QoS</w:t>
      </w:r>
      <w:proofErr w:type="spellEnd"/>
      <w:r w:rsidRPr="00112890">
        <w:t>) and costing models.  That format enables engineering and operations teams to assess value quickly.</w:t>
      </w:r>
    </w:p>
    <w:p w14:paraId="4A217D9C" w14:textId="77777777" w:rsidR="00112890" w:rsidRDefault="00112890" w:rsidP="00112890">
      <w:pPr>
        <w:pStyle w:val="Heading2"/>
      </w:pPr>
      <w:r>
        <w:t>Proposed Timeline</w:t>
      </w:r>
    </w:p>
    <w:p w14:paraId="01DCB8DF" w14:textId="48FE075D" w:rsidR="00112890" w:rsidRDefault="00112890" w:rsidP="00112890">
      <w:r>
        <w:tab/>
        <w:t>Northcentral Universit</w:t>
      </w:r>
      <w:r>
        <w:t>y allocates research into eight-</w:t>
      </w:r>
      <w:r>
        <w:t>week blocks.  Given the limited budget, the project cannot spend more than six weeks experimenting and two weeks authoring results (see Table 2).</w:t>
      </w:r>
    </w:p>
    <w:tbl>
      <w:tblPr>
        <w:tblStyle w:val="GridTable4"/>
        <w:tblW w:w="0" w:type="auto"/>
        <w:tblLook w:val="04A0" w:firstRow="1" w:lastRow="0" w:firstColumn="1" w:lastColumn="0" w:noHBand="0" w:noVBand="1"/>
      </w:tblPr>
      <w:tblGrid>
        <w:gridCol w:w="923"/>
        <w:gridCol w:w="3858"/>
        <w:gridCol w:w="4569"/>
      </w:tblGrid>
      <w:tr w:rsidR="00112890" w14:paraId="49A16220" w14:textId="77777777" w:rsidTr="00576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0BACE568" w14:textId="77777777" w:rsidR="00112890" w:rsidRDefault="00112890" w:rsidP="0057641D">
            <w:r>
              <w:t>Week#</w:t>
            </w:r>
          </w:p>
        </w:tc>
        <w:tc>
          <w:tcPr>
            <w:tcW w:w="3858" w:type="dxa"/>
          </w:tcPr>
          <w:p w14:paraId="02E98893" w14:textId="77777777" w:rsidR="00112890" w:rsidRDefault="00112890" w:rsidP="0057641D">
            <w:pPr>
              <w:cnfStyle w:val="100000000000" w:firstRow="1" w:lastRow="0" w:firstColumn="0" w:lastColumn="0" w:oddVBand="0" w:evenVBand="0" w:oddHBand="0" w:evenHBand="0" w:firstRowFirstColumn="0" w:firstRowLastColumn="0" w:lastRowFirstColumn="0" w:lastRowLastColumn="0"/>
            </w:pPr>
            <w:r>
              <w:t>Title</w:t>
            </w:r>
          </w:p>
        </w:tc>
        <w:tc>
          <w:tcPr>
            <w:tcW w:w="4569" w:type="dxa"/>
          </w:tcPr>
          <w:p w14:paraId="542925F1" w14:textId="77777777" w:rsidR="00112890" w:rsidRDefault="00112890" w:rsidP="0057641D">
            <w:pPr>
              <w:cnfStyle w:val="100000000000" w:firstRow="1" w:lastRow="0" w:firstColumn="0" w:lastColumn="0" w:oddVBand="0" w:evenVBand="0" w:oddHBand="0" w:evenHBand="0" w:firstRowFirstColumn="0" w:firstRowLastColumn="0" w:lastRowFirstColumn="0" w:lastRowLastColumn="0"/>
            </w:pPr>
            <w:r>
              <w:t>Success Criteria</w:t>
            </w:r>
          </w:p>
        </w:tc>
      </w:tr>
      <w:tr w:rsidR="00112890" w14:paraId="073E2262" w14:textId="77777777" w:rsidTr="0057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4F3E4BD4" w14:textId="77777777" w:rsidR="00112890" w:rsidRDefault="00112890" w:rsidP="0057641D">
            <w:r>
              <w:t>1</w:t>
            </w:r>
          </w:p>
        </w:tc>
        <w:tc>
          <w:tcPr>
            <w:tcW w:w="3858" w:type="dxa"/>
          </w:tcPr>
          <w:p w14:paraId="23EFD491"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Setup developer environment</w:t>
            </w:r>
          </w:p>
        </w:tc>
        <w:tc>
          <w:tcPr>
            <w:tcW w:w="4569" w:type="dxa"/>
          </w:tcPr>
          <w:p w14:paraId="42BA7C44"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Automation deploys and executes a hello-world benchmark</w:t>
            </w:r>
          </w:p>
        </w:tc>
      </w:tr>
      <w:tr w:rsidR="00112890" w14:paraId="3B3E6F6D" w14:textId="77777777" w:rsidTr="0057641D">
        <w:tc>
          <w:tcPr>
            <w:cnfStyle w:val="001000000000" w:firstRow="0" w:lastRow="0" w:firstColumn="1" w:lastColumn="0" w:oddVBand="0" w:evenVBand="0" w:oddHBand="0" w:evenHBand="0" w:firstRowFirstColumn="0" w:firstRowLastColumn="0" w:lastRowFirstColumn="0" w:lastRowLastColumn="0"/>
            <w:tcW w:w="923" w:type="dxa"/>
          </w:tcPr>
          <w:p w14:paraId="75B9CFBB" w14:textId="77777777" w:rsidR="00112890" w:rsidRDefault="00112890" w:rsidP="0057641D">
            <w:r>
              <w:t>2</w:t>
            </w:r>
          </w:p>
        </w:tc>
        <w:tc>
          <w:tcPr>
            <w:tcW w:w="3858" w:type="dxa"/>
          </w:tcPr>
          <w:p w14:paraId="746339BC"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Identify and include additional use-cases and benchmark data</w:t>
            </w:r>
          </w:p>
        </w:tc>
        <w:tc>
          <w:tcPr>
            <w:tcW w:w="4569" w:type="dxa"/>
          </w:tcPr>
          <w:p w14:paraId="1DAAC46E"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Document selected scenarios and decision rationale</w:t>
            </w:r>
          </w:p>
        </w:tc>
      </w:tr>
      <w:tr w:rsidR="00112890" w14:paraId="62CC282C" w14:textId="77777777" w:rsidTr="0057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65457CAA" w14:textId="77777777" w:rsidR="00112890" w:rsidRDefault="00112890" w:rsidP="0057641D">
            <w:r>
              <w:t>3</w:t>
            </w:r>
          </w:p>
        </w:tc>
        <w:tc>
          <w:tcPr>
            <w:tcW w:w="3858" w:type="dxa"/>
          </w:tcPr>
          <w:p w14:paraId="35CC7E52"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Identification of architectural costs</w:t>
            </w:r>
          </w:p>
        </w:tc>
        <w:tc>
          <w:tcPr>
            <w:tcW w:w="4569" w:type="dxa"/>
          </w:tcPr>
          <w:p w14:paraId="0116CD3C"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Instrument and assess distribution of runtime costs</w:t>
            </w:r>
          </w:p>
        </w:tc>
      </w:tr>
      <w:tr w:rsidR="00112890" w14:paraId="1842B6DD" w14:textId="77777777" w:rsidTr="0057641D">
        <w:tc>
          <w:tcPr>
            <w:cnfStyle w:val="001000000000" w:firstRow="0" w:lastRow="0" w:firstColumn="1" w:lastColumn="0" w:oddVBand="0" w:evenVBand="0" w:oddHBand="0" w:evenHBand="0" w:firstRowFirstColumn="0" w:firstRowLastColumn="0" w:lastRowFirstColumn="0" w:lastRowLastColumn="0"/>
            <w:tcW w:w="923" w:type="dxa"/>
          </w:tcPr>
          <w:p w14:paraId="4D2E14B9" w14:textId="77777777" w:rsidR="00112890" w:rsidRDefault="00112890" w:rsidP="0057641D">
            <w:r>
              <w:t>4</w:t>
            </w:r>
          </w:p>
        </w:tc>
        <w:tc>
          <w:tcPr>
            <w:tcW w:w="3858" w:type="dxa"/>
          </w:tcPr>
          <w:p w14:paraId="7BDDE25B"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Propose design modifications</w:t>
            </w:r>
          </w:p>
        </w:tc>
        <w:tc>
          <w:tcPr>
            <w:tcW w:w="4569" w:type="dxa"/>
          </w:tcPr>
          <w:p w14:paraId="0A41C582"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Document recommendations and potential system changes</w:t>
            </w:r>
          </w:p>
        </w:tc>
      </w:tr>
      <w:tr w:rsidR="00112890" w14:paraId="6C50F71B" w14:textId="77777777" w:rsidTr="0057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526DFD52" w14:textId="77777777" w:rsidR="00112890" w:rsidRDefault="00112890" w:rsidP="0057641D">
            <w:r>
              <w:t>5</w:t>
            </w:r>
          </w:p>
        </w:tc>
        <w:tc>
          <w:tcPr>
            <w:tcW w:w="3858" w:type="dxa"/>
          </w:tcPr>
          <w:p w14:paraId="609C261A"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Implement recommendations</w:t>
            </w:r>
          </w:p>
        </w:tc>
        <w:tc>
          <w:tcPr>
            <w:tcW w:w="4569" w:type="dxa"/>
          </w:tcPr>
          <w:p w14:paraId="616EA230"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Document status update and link to pull request</w:t>
            </w:r>
          </w:p>
        </w:tc>
      </w:tr>
      <w:tr w:rsidR="00112890" w14:paraId="388A285B" w14:textId="77777777" w:rsidTr="0057641D">
        <w:tc>
          <w:tcPr>
            <w:cnfStyle w:val="001000000000" w:firstRow="0" w:lastRow="0" w:firstColumn="1" w:lastColumn="0" w:oddVBand="0" w:evenVBand="0" w:oddHBand="0" w:evenHBand="0" w:firstRowFirstColumn="0" w:firstRowLastColumn="0" w:lastRowFirstColumn="0" w:lastRowLastColumn="0"/>
            <w:tcW w:w="923" w:type="dxa"/>
          </w:tcPr>
          <w:p w14:paraId="7924C7AF" w14:textId="77777777" w:rsidR="00112890" w:rsidRDefault="00112890" w:rsidP="0057641D">
            <w:r>
              <w:t>6</w:t>
            </w:r>
          </w:p>
        </w:tc>
        <w:tc>
          <w:tcPr>
            <w:tcW w:w="3858" w:type="dxa"/>
          </w:tcPr>
          <w:p w14:paraId="130D6E9A"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Implement recommendations</w:t>
            </w:r>
          </w:p>
        </w:tc>
        <w:tc>
          <w:tcPr>
            <w:tcW w:w="4569" w:type="dxa"/>
          </w:tcPr>
          <w:p w14:paraId="0558BE53"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Complete changes and briefly document progress</w:t>
            </w:r>
          </w:p>
        </w:tc>
      </w:tr>
      <w:tr w:rsidR="00112890" w14:paraId="0BD1C4DF" w14:textId="77777777" w:rsidTr="0057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273AF95C" w14:textId="77777777" w:rsidR="00112890" w:rsidRDefault="00112890" w:rsidP="0057641D">
            <w:r>
              <w:t>7</w:t>
            </w:r>
          </w:p>
        </w:tc>
        <w:tc>
          <w:tcPr>
            <w:tcW w:w="3858" w:type="dxa"/>
          </w:tcPr>
          <w:p w14:paraId="1C7D1125"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Measure the influence of changes</w:t>
            </w:r>
          </w:p>
        </w:tc>
        <w:tc>
          <w:tcPr>
            <w:tcW w:w="4569" w:type="dxa"/>
          </w:tcPr>
          <w:p w14:paraId="0507804D" w14:textId="77777777" w:rsidR="00112890" w:rsidRDefault="00112890" w:rsidP="0057641D">
            <w:pPr>
              <w:cnfStyle w:val="000000100000" w:firstRow="0" w:lastRow="0" w:firstColumn="0" w:lastColumn="0" w:oddVBand="0" w:evenVBand="0" w:oddHBand="1" w:evenHBand="0" w:firstRowFirstColumn="0" w:firstRowLastColumn="0" w:lastRowFirstColumn="0" w:lastRowLastColumn="0"/>
            </w:pPr>
            <w:r>
              <w:t>Document the procedure and results</w:t>
            </w:r>
          </w:p>
        </w:tc>
      </w:tr>
      <w:tr w:rsidR="00112890" w14:paraId="69DC881D" w14:textId="77777777" w:rsidTr="0057641D">
        <w:tc>
          <w:tcPr>
            <w:cnfStyle w:val="001000000000" w:firstRow="0" w:lastRow="0" w:firstColumn="1" w:lastColumn="0" w:oddVBand="0" w:evenVBand="0" w:oddHBand="0" w:evenHBand="0" w:firstRowFirstColumn="0" w:firstRowLastColumn="0" w:lastRowFirstColumn="0" w:lastRowLastColumn="0"/>
            <w:tcW w:w="923" w:type="dxa"/>
          </w:tcPr>
          <w:p w14:paraId="097A49A6" w14:textId="77777777" w:rsidR="00112890" w:rsidRDefault="00112890" w:rsidP="0057641D">
            <w:r>
              <w:t>8</w:t>
            </w:r>
          </w:p>
        </w:tc>
        <w:tc>
          <w:tcPr>
            <w:tcW w:w="3858" w:type="dxa"/>
          </w:tcPr>
          <w:p w14:paraId="33682658"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Document research findings</w:t>
            </w:r>
          </w:p>
        </w:tc>
        <w:tc>
          <w:tcPr>
            <w:tcW w:w="4569" w:type="dxa"/>
          </w:tcPr>
          <w:p w14:paraId="3D93CAEC" w14:textId="77777777" w:rsidR="00112890" w:rsidRDefault="00112890" w:rsidP="0057641D">
            <w:pPr>
              <w:cnfStyle w:val="000000000000" w:firstRow="0" w:lastRow="0" w:firstColumn="0" w:lastColumn="0" w:oddVBand="0" w:evenVBand="0" w:oddHBand="0" w:evenHBand="0" w:firstRowFirstColumn="0" w:firstRowLastColumn="0" w:lastRowFirstColumn="0" w:lastRowLastColumn="0"/>
            </w:pPr>
            <w:r>
              <w:t>Construct a 5-page journal article that covers progress, results, and observations</w:t>
            </w:r>
          </w:p>
        </w:tc>
      </w:tr>
    </w:tbl>
    <w:p w14:paraId="73FE6569" w14:textId="77777777" w:rsidR="00EF1127" w:rsidRDefault="00EF1127" w:rsidP="00354A2C">
      <w:pPr>
        <w:pStyle w:val="Heading2"/>
      </w:pPr>
    </w:p>
    <w:p w14:paraId="1CE67AF9" w14:textId="17821222" w:rsidR="00354A2C" w:rsidRDefault="00354A2C" w:rsidP="00354A2C">
      <w:pPr>
        <w:pStyle w:val="Heading2"/>
      </w:pPr>
      <w:r>
        <w:t>Assessment Structure</w:t>
      </w:r>
    </w:p>
    <w:p w14:paraId="1B07E0CF" w14:textId="77777777" w:rsidR="00112890" w:rsidRDefault="00112890" w:rsidP="00112890">
      <w:r>
        <w:t xml:space="preserve">           Similar to Cheng et al. (2019) and Wu et al. (2020), predefined open-source datasets will flow through stream processing applications that operate across one (or two) different runtime platforms (e.g., Apache Spark or custom implementation).  While events stream across the topology, telemetry will measure the runtime statistics of the individual components.  The metrics will confirm or deny the literature review’s assessment that storage architecture is the </w:t>
      </w:r>
      <w:r>
        <w:lastRenderedPageBreak/>
        <w:t>most performance-critical subsystems.  Next, different cloud-native architectural patterns will improve those areas’ reliability, availability, throughput, and response time.</w:t>
      </w:r>
    </w:p>
    <w:p w14:paraId="6F58AC24" w14:textId="184829B0" w:rsidR="00112890" w:rsidRDefault="00112890" w:rsidP="00112890">
      <w:r>
        <w:t xml:space="preserve">           While previous efforts must constrain solutions to finite resources, these architectural patterns can assume elasticity, intelligent data replication, and additional sophisticated cloud services.  This agility and freedom enable experimentation, such as reducing traffic via multicasting networks or incorporating shared memory blocks.  Each experiment needs to be minimally invasive to the existing codebases.  Finally, rerunning the relevant benchmarks will measure the modification’s utility.  </w:t>
      </w:r>
    </w:p>
    <w:p w14:paraId="1D5A85D3" w14:textId="4CCEE208" w:rsidR="00AD1553" w:rsidRDefault="00AD1553" w:rsidP="00AD1553">
      <w:pPr>
        <w:pStyle w:val="Heading1"/>
      </w:pPr>
      <w:r>
        <w:t>Conclusions</w:t>
      </w:r>
    </w:p>
    <w:p w14:paraId="37C22207" w14:textId="43A4A4ED" w:rsidR="002606A7" w:rsidRPr="002606A7" w:rsidRDefault="002606A7" w:rsidP="002606A7">
      <w:r>
        <w:tab/>
        <w:t>Public Cloud Providers offer applications the ability to elastically scale, replicate data, and consume higher-level services.  These dynamic properties lessen constraints that exist for traditional applications that operate within private datacenters.</w:t>
      </w:r>
      <w:bookmarkStart w:id="0" w:name="_GoBack"/>
      <w:bookmarkEnd w:id="0"/>
    </w:p>
    <w:sectPr w:rsidR="002606A7" w:rsidRPr="002606A7"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55541" w14:textId="77777777" w:rsidR="00F804EE" w:rsidRDefault="00F804EE" w:rsidP="0082223F">
      <w:pPr>
        <w:spacing w:line="240" w:lineRule="auto"/>
      </w:pPr>
      <w:r>
        <w:separator/>
      </w:r>
    </w:p>
  </w:endnote>
  <w:endnote w:type="continuationSeparator" w:id="0">
    <w:p w14:paraId="08CCD30F" w14:textId="77777777" w:rsidR="00F804EE" w:rsidRDefault="00F804E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F46B0" w14:textId="77777777" w:rsidR="00F804EE" w:rsidRDefault="00F804EE" w:rsidP="0082223F">
      <w:pPr>
        <w:spacing w:line="240" w:lineRule="auto"/>
      </w:pPr>
      <w:r>
        <w:separator/>
      </w:r>
    </w:p>
  </w:footnote>
  <w:footnote w:type="continuationSeparator" w:id="0">
    <w:p w14:paraId="0037BDE6" w14:textId="77777777" w:rsidR="00F804EE" w:rsidRDefault="00F804E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3DB" w14:textId="21B8BC25"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606A7">
          <w:rPr>
            <w:noProof/>
          </w:rPr>
          <w:t>10</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15346"/>
    <w:multiLevelType w:val="hybridMultilevel"/>
    <w:tmpl w:val="B3F09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A7462"/>
    <w:multiLevelType w:val="hybridMultilevel"/>
    <w:tmpl w:val="131C5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86E2E"/>
    <w:multiLevelType w:val="hybridMultilevel"/>
    <w:tmpl w:val="36581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C0AA6"/>
    <w:multiLevelType w:val="hybridMultilevel"/>
    <w:tmpl w:val="41224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854A4"/>
    <w:rsid w:val="00095085"/>
    <w:rsid w:val="000B7910"/>
    <w:rsid w:val="000F2CA7"/>
    <w:rsid w:val="00102A1C"/>
    <w:rsid w:val="001033E8"/>
    <w:rsid w:val="00112890"/>
    <w:rsid w:val="00112CAF"/>
    <w:rsid w:val="00116F99"/>
    <w:rsid w:val="00134FBD"/>
    <w:rsid w:val="00162103"/>
    <w:rsid w:val="00183597"/>
    <w:rsid w:val="001A04E2"/>
    <w:rsid w:val="001B27C4"/>
    <w:rsid w:val="001B52B7"/>
    <w:rsid w:val="001B7BF1"/>
    <w:rsid w:val="001C7264"/>
    <w:rsid w:val="001D6CC5"/>
    <w:rsid w:val="001E4F11"/>
    <w:rsid w:val="00203863"/>
    <w:rsid w:val="002516A9"/>
    <w:rsid w:val="002606A7"/>
    <w:rsid w:val="002806B7"/>
    <w:rsid w:val="00296577"/>
    <w:rsid w:val="002D0CEB"/>
    <w:rsid w:val="0031335A"/>
    <w:rsid w:val="00354A2C"/>
    <w:rsid w:val="0037792A"/>
    <w:rsid w:val="003C0E23"/>
    <w:rsid w:val="003C4C45"/>
    <w:rsid w:val="003F4714"/>
    <w:rsid w:val="003F7D98"/>
    <w:rsid w:val="00401D65"/>
    <w:rsid w:val="004145C0"/>
    <w:rsid w:val="004223E8"/>
    <w:rsid w:val="00424108"/>
    <w:rsid w:val="0043267F"/>
    <w:rsid w:val="004340E0"/>
    <w:rsid w:val="00440CD7"/>
    <w:rsid w:val="00445B27"/>
    <w:rsid w:val="004627E2"/>
    <w:rsid w:val="004630E4"/>
    <w:rsid w:val="00475A64"/>
    <w:rsid w:val="0048306C"/>
    <w:rsid w:val="00497148"/>
    <w:rsid w:val="004A4981"/>
    <w:rsid w:val="004A784B"/>
    <w:rsid w:val="004B7B23"/>
    <w:rsid w:val="00525845"/>
    <w:rsid w:val="00533968"/>
    <w:rsid w:val="005B644D"/>
    <w:rsid w:val="005B7079"/>
    <w:rsid w:val="005C39BA"/>
    <w:rsid w:val="005E3DAD"/>
    <w:rsid w:val="00603A04"/>
    <w:rsid w:val="00604812"/>
    <w:rsid w:val="00625688"/>
    <w:rsid w:val="006561B8"/>
    <w:rsid w:val="00664B21"/>
    <w:rsid w:val="0069549C"/>
    <w:rsid w:val="006D793E"/>
    <w:rsid w:val="00700932"/>
    <w:rsid w:val="00713EFA"/>
    <w:rsid w:val="0073677D"/>
    <w:rsid w:val="00750EE0"/>
    <w:rsid w:val="00757230"/>
    <w:rsid w:val="00797A1D"/>
    <w:rsid w:val="007D2E74"/>
    <w:rsid w:val="0082223F"/>
    <w:rsid w:val="008370EC"/>
    <w:rsid w:val="008561CB"/>
    <w:rsid w:val="00877007"/>
    <w:rsid w:val="0088173A"/>
    <w:rsid w:val="00897466"/>
    <w:rsid w:val="008A1246"/>
    <w:rsid w:val="008B5129"/>
    <w:rsid w:val="008B532F"/>
    <w:rsid w:val="008C583C"/>
    <w:rsid w:val="008D0612"/>
    <w:rsid w:val="008E701D"/>
    <w:rsid w:val="00945D1C"/>
    <w:rsid w:val="0096514A"/>
    <w:rsid w:val="00966A5E"/>
    <w:rsid w:val="00983AD2"/>
    <w:rsid w:val="009A757D"/>
    <w:rsid w:val="009B2C9B"/>
    <w:rsid w:val="009D7240"/>
    <w:rsid w:val="009E49A0"/>
    <w:rsid w:val="00A11B2B"/>
    <w:rsid w:val="00A43A8A"/>
    <w:rsid w:val="00A46847"/>
    <w:rsid w:val="00A708A2"/>
    <w:rsid w:val="00A770EE"/>
    <w:rsid w:val="00A96467"/>
    <w:rsid w:val="00AA0FE4"/>
    <w:rsid w:val="00AB7A71"/>
    <w:rsid w:val="00AD1553"/>
    <w:rsid w:val="00B13ADF"/>
    <w:rsid w:val="00B25A4C"/>
    <w:rsid w:val="00B30385"/>
    <w:rsid w:val="00B41AC8"/>
    <w:rsid w:val="00B62E4A"/>
    <w:rsid w:val="00B83595"/>
    <w:rsid w:val="00BA653C"/>
    <w:rsid w:val="00BB5E14"/>
    <w:rsid w:val="00BE7CFE"/>
    <w:rsid w:val="00C10EEF"/>
    <w:rsid w:val="00C325EA"/>
    <w:rsid w:val="00C54DC8"/>
    <w:rsid w:val="00C560C0"/>
    <w:rsid w:val="00C73692"/>
    <w:rsid w:val="00C77FBA"/>
    <w:rsid w:val="00C93BB7"/>
    <w:rsid w:val="00C96418"/>
    <w:rsid w:val="00C97577"/>
    <w:rsid w:val="00CB25E9"/>
    <w:rsid w:val="00CC6E26"/>
    <w:rsid w:val="00CD58E1"/>
    <w:rsid w:val="00CD7E11"/>
    <w:rsid w:val="00CE19BD"/>
    <w:rsid w:val="00D0165E"/>
    <w:rsid w:val="00D441F5"/>
    <w:rsid w:val="00D62B75"/>
    <w:rsid w:val="00D63D04"/>
    <w:rsid w:val="00D75C7B"/>
    <w:rsid w:val="00D85C7B"/>
    <w:rsid w:val="00D85EB6"/>
    <w:rsid w:val="00D91D45"/>
    <w:rsid w:val="00DA7616"/>
    <w:rsid w:val="00DC1866"/>
    <w:rsid w:val="00DE2224"/>
    <w:rsid w:val="00DE7243"/>
    <w:rsid w:val="00E234E9"/>
    <w:rsid w:val="00E25049"/>
    <w:rsid w:val="00E365C7"/>
    <w:rsid w:val="00E42BE9"/>
    <w:rsid w:val="00E7046C"/>
    <w:rsid w:val="00E7756D"/>
    <w:rsid w:val="00E90B38"/>
    <w:rsid w:val="00EA5824"/>
    <w:rsid w:val="00EC331B"/>
    <w:rsid w:val="00ED3713"/>
    <w:rsid w:val="00ED73F6"/>
    <w:rsid w:val="00EF1127"/>
    <w:rsid w:val="00EF138D"/>
    <w:rsid w:val="00F02064"/>
    <w:rsid w:val="00F1374B"/>
    <w:rsid w:val="00F804EE"/>
    <w:rsid w:val="00F80A12"/>
    <w:rsid w:val="00F91C50"/>
    <w:rsid w:val="00F93C18"/>
    <w:rsid w:val="00FD060B"/>
    <w:rsid w:val="00FD7638"/>
    <w:rsid w:val="00FE3554"/>
    <w:rsid w:val="00FE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E4E3C"/>
    <w:pPr>
      <w:ind w:left="720"/>
      <w:contextualSpacing/>
    </w:pPr>
  </w:style>
  <w:style w:type="character" w:styleId="Emphasis">
    <w:name w:val="Emphasis"/>
    <w:basedOn w:val="DefaultParagraphFont"/>
    <w:uiPriority w:val="20"/>
    <w:qFormat/>
    <w:rsid w:val="00A96467"/>
    <w:rPr>
      <w:i/>
      <w:iCs/>
    </w:rPr>
  </w:style>
  <w:style w:type="table" w:styleId="TableGrid">
    <w:name w:val="Table Grid"/>
    <w:basedOn w:val="TableNormal"/>
    <w:uiPriority w:val="39"/>
    <w:rsid w:val="003F7D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145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FD7638"/>
    <w:pPr>
      <w:spacing w:before="100" w:beforeAutospacing="1" w:after="100" w:afterAutospacing="1" w:line="240" w:lineRule="auto"/>
    </w:pPr>
    <w:rPr>
      <w:rFonts w:eastAsia="Times New Roman"/>
    </w:rPr>
  </w:style>
  <w:style w:type="table" w:styleId="GridTable3">
    <w:name w:val="Grid Table 3"/>
    <w:basedOn w:val="TableNormal"/>
    <w:uiPriority w:val="48"/>
    <w:rsid w:val="00AD155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40409">
      <w:bodyDiv w:val="1"/>
      <w:marLeft w:val="0"/>
      <w:marRight w:val="0"/>
      <w:marTop w:val="0"/>
      <w:marBottom w:val="0"/>
      <w:divBdr>
        <w:top w:val="none" w:sz="0" w:space="0" w:color="auto"/>
        <w:left w:val="none" w:sz="0" w:space="0" w:color="auto"/>
        <w:bottom w:val="none" w:sz="0" w:space="0" w:color="auto"/>
        <w:right w:val="none" w:sz="0" w:space="0" w:color="auto"/>
      </w:divBdr>
    </w:div>
    <w:div w:id="223415622">
      <w:bodyDiv w:val="1"/>
      <w:marLeft w:val="0"/>
      <w:marRight w:val="0"/>
      <w:marTop w:val="0"/>
      <w:marBottom w:val="0"/>
      <w:divBdr>
        <w:top w:val="none" w:sz="0" w:space="0" w:color="auto"/>
        <w:left w:val="none" w:sz="0" w:space="0" w:color="auto"/>
        <w:bottom w:val="none" w:sz="0" w:space="0" w:color="auto"/>
        <w:right w:val="none" w:sz="0" w:space="0" w:color="auto"/>
      </w:divBdr>
    </w:div>
    <w:div w:id="344019936">
      <w:bodyDiv w:val="1"/>
      <w:marLeft w:val="0"/>
      <w:marRight w:val="0"/>
      <w:marTop w:val="0"/>
      <w:marBottom w:val="0"/>
      <w:divBdr>
        <w:top w:val="none" w:sz="0" w:space="0" w:color="auto"/>
        <w:left w:val="none" w:sz="0" w:space="0" w:color="auto"/>
        <w:bottom w:val="none" w:sz="0" w:space="0" w:color="auto"/>
        <w:right w:val="none" w:sz="0" w:space="0" w:color="auto"/>
      </w:divBdr>
    </w:div>
    <w:div w:id="385300589">
      <w:bodyDiv w:val="1"/>
      <w:marLeft w:val="0"/>
      <w:marRight w:val="0"/>
      <w:marTop w:val="0"/>
      <w:marBottom w:val="0"/>
      <w:divBdr>
        <w:top w:val="none" w:sz="0" w:space="0" w:color="auto"/>
        <w:left w:val="none" w:sz="0" w:space="0" w:color="auto"/>
        <w:bottom w:val="none" w:sz="0" w:space="0" w:color="auto"/>
        <w:right w:val="none" w:sz="0" w:space="0" w:color="auto"/>
      </w:divBdr>
    </w:div>
    <w:div w:id="740759190">
      <w:bodyDiv w:val="1"/>
      <w:marLeft w:val="0"/>
      <w:marRight w:val="0"/>
      <w:marTop w:val="0"/>
      <w:marBottom w:val="0"/>
      <w:divBdr>
        <w:top w:val="none" w:sz="0" w:space="0" w:color="auto"/>
        <w:left w:val="none" w:sz="0" w:space="0" w:color="auto"/>
        <w:bottom w:val="none" w:sz="0" w:space="0" w:color="auto"/>
        <w:right w:val="none" w:sz="0" w:space="0" w:color="auto"/>
      </w:divBdr>
    </w:div>
    <w:div w:id="827985459">
      <w:bodyDiv w:val="1"/>
      <w:marLeft w:val="0"/>
      <w:marRight w:val="0"/>
      <w:marTop w:val="0"/>
      <w:marBottom w:val="0"/>
      <w:divBdr>
        <w:top w:val="none" w:sz="0" w:space="0" w:color="auto"/>
        <w:left w:val="none" w:sz="0" w:space="0" w:color="auto"/>
        <w:bottom w:val="none" w:sz="0" w:space="0" w:color="auto"/>
        <w:right w:val="none" w:sz="0" w:space="0" w:color="auto"/>
      </w:divBdr>
    </w:div>
    <w:div w:id="1227650058">
      <w:bodyDiv w:val="1"/>
      <w:marLeft w:val="0"/>
      <w:marRight w:val="0"/>
      <w:marTop w:val="0"/>
      <w:marBottom w:val="0"/>
      <w:divBdr>
        <w:top w:val="none" w:sz="0" w:space="0" w:color="auto"/>
        <w:left w:val="none" w:sz="0" w:space="0" w:color="auto"/>
        <w:bottom w:val="none" w:sz="0" w:space="0" w:color="auto"/>
        <w:right w:val="none" w:sz="0" w:space="0" w:color="auto"/>
      </w:divBdr>
    </w:div>
    <w:div w:id="1341810214">
      <w:bodyDiv w:val="1"/>
      <w:marLeft w:val="0"/>
      <w:marRight w:val="0"/>
      <w:marTop w:val="0"/>
      <w:marBottom w:val="0"/>
      <w:divBdr>
        <w:top w:val="none" w:sz="0" w:space="0" w:color="auto"/>
        <w:left w:val="none" w:sz="0" w:space="0" w:color="auto"/>
        <w:bottom w:val="none" w:sz="0" w:space="0" w:color="auto"/>
        <w:right w:val="none" w:sz="0" w:space="0" w:color="auto"/>
      </w:divBdr>
    </w:div>
    <w:div w:id="1369985920">
      <w:bodyDiv w:val="1"/>
      <w:marLeft w:val="0"/>
      <w:marRight w:val="0"/>
      <w:marTop w:val="0"/>
      <w:marBottom w:val="0"/>
      <w:divBdr>
        <w:top w:val="none" w:sz="0" w:space="0" w:color="auto"/>
        <w:left w:val="none" w:sz="0" w:space="0" w:color="auto"/>
        <w:bottom w:val="none" w:sz="0" w:space="0" w:color="auto"/>
        <w:right w:val="none" w:sz="0" w:space="0" w:color="auto"/>
      </w:divBdr>
    </w:div>
    <w:div w:id="1436515517">
      <w:bodyDiv w:val="1"/>
      <w:marLeft w:val="0"/>
      <w:marRight w:val="0"/>
      <w:marTop w:val="0"/>
      <w:marBottom w:val="0"/>
      <w:divBdr>
        <w:top w:val="none" w:sz="0" w:space="0" w:color="auto"/>
        <w:left w:val="none" w:sz="0" w:space="0" w:color="auto"/>
        <w:bottom w:val="none" w:sz="0" w:space="0" w:color="auto"/>
        <w:right w:val="none" w:sz="0" w:space="0" w:color="auto"/>
      </w:divBdr>
    </w:div>
    <w:div w:id="1449080565">
      <w:bodyDiv w:val="1"/>
      <w:marLeft w:val="0"/>
      <w:marRight w:val="0"/>
      <w:marTop w:val="0"/>
      <w:marBottom w:val="0"/>
      <w:divBdr>
        <w:top w:val="none" w:sz="0" w:space="0" w:color="auto"/>
        <w:left w:val="none" w:sz="0" w:space="0" w:color="auto"/>
        <w:bottom w:val="none" w:sz="0" w:space="0" w:color="auto"/>
        <w:right w:val="none" w:sz="0" w:space="0" w:color="auto"/>
      </w:divBdr>
    </w:div>
    <w:div w:id="1490251912">
      <w:bodyDiv w:val="1"/>
      <w:marLeft w:val="0"/>
      <w:marRight w:val="0"/>
      <w:marTop w:val="0"/>
      <w:marBottom w:val="0"/>
      <w:divBdr>
        <w:top w:val="none" w:sz="0" w:space="0" w:color="auto"/>
        <w:left w:val="none" w:sz="0" w:space="0" w:color="auto"/>
        <w:bottom w:val="none" w:sz="0" w:space="0" w:color="auto"/>
        <w:right w:val="none" w:sz="0" w:space="0" w:color="auto"/>
      </w:divBdr>
    </w:div>
    <w:div w:id="1545630971">
      <w:bodyDiv w:val="1"/>
      <w:marLeft w:val="0"/>
      <w:marRight w:val="0"/>
      <w:marTop w:val="0"/>
      <w:marBottom w:val="0"/>
      <w:divBdr>
        <w:top w:val="none" w:sz="0" w:space="0" w:color="auto"/>
        <w:left w:val="none" w:sz="0" w:space="0" w:color="auto"/>
        <w:bottom w:val="none" w:sz="0" w:space="0" w:color="auto"/>
        <w:right w:val="none" w:sz="0" w:space="0" w:color="auto"/>
      </w:divBdr>
    </w:div>
    <w:div w:id="1570115517">
      <w:bodyDiv w:val="1"/>
      <w:marLeft w:val="0"/>
      <w:marRight w:val="0"/>
      <w:marTop w:val="0"/>
      <w:marBottom w:val="0"/>
      <w:divBdr>
        <w:top w:val="none" w:sz="0" w:space="0" w:color="auto"/>
        <w:left w:val="none" w:sz="0" w:space="0" w:color="auto"/>
        <w:bottom w:val="none" w:sz="0" w:space="0" w:color="auto"/>
        <w:right w:val="none" w:sz="0" w:space="0" w:color="auto"/>
      </w:divBdr>
    </w:div>
    <w:div w:id="1572546144">
      <w:bodyDiv w:val="1"/>
      <w:marLeft w:val="0"/>
      <w:marRight w:val="0"/>
      <w:marTop w:val="0"/>
      <w:marBottom w:val="0"/>
      <w:divBdr>
        <w:top w:val="none" w:sz="0" w:space="0" w:color="auto"/>
        <w:left w:val="none" w:sz="0" w:space="0" w:color="auto"/>
        <w:bottom w:val="none" w:sz="0" w:space="0" w:color="auto"/>
        <w:right w:val="none" w:sz="0" w:space="0" w:color="auto"/>
      </w:divBdr>
    </w:div>
    <w:div w:id="177840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2</b:RefOrder>
  </b:Source>
  <b:Source>
    <b:Tag>Tam19</b:Tag>
    <b:SourceType>ConferenceProceedings</b:SourceType>
    <b:Guid>{AA529DE6-55D8-44C1-B102-BD1F7BC2A228}</b:Guid>
    <b:Author>
      <b:Author>
        <b:NameList>
          <b:Person>
            <b:Last>Tamimi</b:Last>
            <b:First>A</b:First>
          </b:Person>
          <b:Person>
            <b:Last>Dawood</b:Last>
            <b:First>R</b:First>
          </b:Person>
          <b:Person>
            <b:Last>Sadaqa</b:Last>
            <b:First>L</b:First>
          </b:Person>
        </b:NameList>
      </b:Author>
    </b:Author>
    <b:Title>Disaster Recovery Techniques in Cloud Computing</b:Title>
    <b:Year>2019</b:Year>
    <b:Publisher>IEEE</b:Publisher>
    <b:Pages>845-850</b:Pages>
    <b:ConferenceName>IEEE Jordan International Joint Conference on Electrical Engineering and Information Technology</b:ConferenceName>
    <b:DOI>10.1109/JEEIT.2019.8717450</b:DOI>
    <b:RefOrder>7</b:RefOrder>
  </b:Source>
  <b:Source>
    <b:Tag>Jas19</b:Tag>
    <b:SourceType>JournalArticle</b:SourceType>
    <b:Guid>{2D7123E1-005C-4C56-9EE6-5B731DFC233D}</b:Guid>
    <b:Author>
      <b:Author>
        <b:NameList>
          <b:Person>
            <b:Last>Jasgur</b:Last>
            <b:First>C</b:First>
          </b:Person>
        </b:NameList>
      </b:Author>
    </b:Author>
    <b:Title>Leveraging disaster recovery in the cloud as a cloud migration path: A case study</b:Title>
    <b:Pages>150-159</b:Pages>
    <b:Year>2019</b:Year>
    <b:JournalName>Journal of Business Continuity &amp; Emergency Planning</b:JournalName>
    <b:Volume>13</b:Volume>
    <b:Issue>2</b:Issue>
    <b:URL>https://search-ebscohost-com.proxy1.ncu.edu/login.aspx?direct=true&amp;db=tsh&amp;AN=139908027&amp;site=eds-live</b:URL>
    <b:RefOrder>9</b:RefOrder>
  </b:Source>
  <b:Source>
    <b:Tag>Ten20</b:Tag>
    <b:SourceType>JournalArticle</b:SourceType>
    <b:Guid>{D261680F-A464-44CE-9652-CB1432A708A1}</b:Guid>
    <b:Author>
      <b:Author>
        <b:NameList>
          <b:Person>
            <b:Last>Teng</b:Last>
          </b:Person>
          <b:Person>
            <b:Last>Sakano</b:Last>
            <b:First>T</b:First>
          </b:Person>
          <b:Person>
            <b:Last>Suzuki</b:Last>
            <b:First>Y</b:First>
          </b:Person>
        </b:NameList>
      </b:Author>
    </b:Author>
    <b:Title>Instantaneous Networking Service Availability for Disaster Recovery</b:Title>
    <b:JournalName>Applied Sciences</b:JournalName>
    <b:Year>2020</b:Year>
    <b:Issue>24</b:Issue>
    <b:DOI>10.3390/app10249030</b:DOI>
    <b:RefOrder>10</b:RefOrder>
  </b:Source>
  <b:Source>
    <b:Tag>Ver18</b:Tag>
    <b:SourceType>JournalArticle</b:SourceType>
    <b:Guid>{14BB8827-A58E-43EE-8775-2C5C66B9DEAF}</b:Guid>
    <b:Author>
      <b:Author>
        <b:NameList>
          <b:Person>
            <b:Last>Verbitski</b:Last>
            <b:First>A</b:First>
          </b:Person>
          <b:Person>
            <b:Last>Gupta</b:Last>
            <b:First>A</b:First>
          </b:Person>
          <b:Person>
            <b:Last>Saha</b:Last>
            <b:First>D</b:First>
          </b:Person>
          <b:Person>
            <b:Last>Corey</b:Last>
            <b:First>J</b:First>
          </b:Person>
          <b:Person>
            <b:Last>Gupta</b:Last>
            <b:First>K</b:First>
          </b:Person>
          <b:Person>
            <b:Last>Brahmadesam</b:Last>
            <b:First>K</b:First>
          </b:Person>
          <b:Person>
            <b:Last>Mittal</b:Last>
            <b:First>R</b:First>
          </b:Person>
          <b:Person>
            <b:Last>Krishnamurthy</b:Last>
            <b:First>S</b:First>
          </b:Person>
          <b:Person>
            <b:Last>Maurice</b:Last>
            <b:First>S</b:First>
          </b:Person>
          <b:Person>
            <b:Last>Kharatishvilli</b:Last>
            <b:First>T</b:First>
          </b:Person>
          <b:Person>
            <b:Last>Bao</b:Last>
            <b:First>X</b:First>
          </b:Person>
        </b:NameList>
      </b:Author>
    </b:Author>
    <b:Title>Amazon Aurora : On Avoiding Distributed Consensus for I/Os, Commits, and Membership Changes</b:Title>
    <b:JournalName>Management of Data</b:JournalName>
    <b:Year>2018</b:Year>
    <b:Pages>789–796</b:Pages>
    <b:DOI>10.1145/3183713.3196937</b:DOI>
    <b:RefOrder>1</b:RefOrder>
  </b:Source>
  <b:Source>
    <b:Tag>Che05</b:Tag>
    <b:SourceType>ConferenceProceedings</b:SourceType>
    <b:Guid>{34D11998-6929-487E-8C7A-8401786D0E1C}</b:Guid>
    <b:Author>
      <b:Author>
        <b:NameList>
          <b:Person>
            <b:Last>Cheng</b:Last>
            <b:First>F</b:First>
          </b:Person>
          <b:Person>
            <b:Last>Wu</b:Last>
            <b:First>S</b:First>
          </b:Person>
          <b:Person>
            <b:Last>Tsai</b:Last>
            <b:First>P</b:First>
          </b:Person>
          <b:Person>
            <b:Last>Chung</b:Last>
            <b:First>Y</b:First>
          </b:Person>
          <b:Person>
            <b:Last>Yang</b:Last>
            <b:First>H</b:First>
          </b:Person>
        </b:NameList>
      </b:Author>
    </b:Author>
    <b:Title>Application Cluster Service Scheme for Near-Zero-Downtime Services</b:Title>
    <b:Year>2005</b:Year>
    <b:Pages>4062-4067</b:Pages>
    <b:Publisher>IEEE</b:Publisher>
    <b:City>Barcelona, Spain</b:City>
    <b:ConferenceName>IEEE International Conference on Robotics and Automation</b:ConferenceName>
    <b:DOI>10.1109/ROBOT.2005.1570743</b:DOI>
    <b:RefOrder>11</b:RefOrder>
  </b:Source>
  <b:Source>
    <b:Tag>Rud20</b:Tag>
    <b:SourceType>ConferenceProceedings</b:SourceType>
    <b:Guid>{69374662-16E4-4913-9372-8388E9CFAAFE}</b:Guid>
    <b:Author>
      <b:Author>
        <b:NameList>
          <b:Person>
            <b:Last>Rudrabhatla</b:Last>
            <b:First>C</b:First>
          </b:Person>
        </b:NameList>
      </b:Author>
    </b:Author>
    <b:Title>Comparison of zero downtime based deployment techniques in public cloud infrastructure</b:Title>
    <b:Pages>1082-1086</b:Pages>
    <b:Year>2020</b:Year>
    <b:ConferenceName>International Conference on I-SMAC (IoT in Social, Mobile, Analytics and Cloud)</b:ConferenceName>
    <b:City>Palladam, India</b:City>
    <b:Volume>4</b:Volume>
    <b:DOI>10.1109/I-SMAC49090.2020.9243605</b:DOI>
    <b:RefOrder>6</b:RefOrder>
  </b:Source>
  <b:Source>
    <b:Tag>Che19</b:Tag>
    <b:SourceType>JournalArticle</b:SourceType>
    <b:Guid>{A36A046F-A596-4468-A737-2F4704928945}</b:Guid>
    <b:Author>
      <b:Author>
        <b:NameList>
          <b:Person>
            <b:Last>Cheng</b:Last>
            <b:First>Z</b:First>
          </b:Person>
          <b:Person>
            <b:Last>Huang</b:Last>
            <b:First>Q</b:First>
          </b:Person>
          <b:Person>
            <b:Last>Lee</b:Last>
            <b:First>P</b:First>
          </b:Person>
        </b:NameList>
      </b:Author>
    </b:Author>
    <b:Title>On the performance and convergence of distributed stream processing via approximate fault tolerance</b:Title>
    <b:Pages>821–846</b:Pages>
    <b:Year>2019</b:Year>
    <b:JournalName>The VLDB Journal</b:JournalName>
    <b:Volume>28</b:Volume>
    <b:DOI>10.1007/s00778-019-00565-w</b:DOI>
    <b:RefOrder>5</b:RefOrder>
  </b:Source>
  <b:Source>
    <b:Tag>Yan20</b:Tag>
    <b:SourceType>ConferenceProceedings</b:SourceType>
    <b:Guid>{8F2CF57B-72A3-41AF-BA08-4078A504D99E}</b:Guid>
    <b:Title>N+K: High Availability Solution for Stateful Service</b:Title>
    <b:Year>2020</b:Year>
    <b:Pages>47-50</b:Pages>
    <b:Author>
      <b:Author>
        <b:NameList>
          <b:Person>
            <b:Last>Yan</b:Last>
            <b:First>H</b:First>
          </b:Person>
          <b:Person>
            <b:Last>Wang</b:Last>
            <b:First>A</b:First>
          </b:Person>
        </b:NameList>
      </b:Author>
    </b:Author>
    <b:ConferenceName>International Conference on Advanced Electronic Materials</b:ConferenceName>
    <b:City>Shenzhen, China</b:City>
    <b:Publisher>Computers and Software Engineering</b:Publisher>
    <b:Volume>3</b:Volume>
    <b:DOI>10.1109/AEMCSE50948.2020.00018</b:DOI>
    <b:RefOrder>4</b:RefOrder>
  </b:Source>
  <b:Source>
    <b:Tag>Wen20</b:Tag>
    <b:SourceType>ConferenceProceedings</b:SourceType>
    <b:Guid>{D181F177-BE01-47F8-993F-EE062417671C}</b:Guid>
    <b:Author>
      <b:Author>
        <b:NameList>
          <b:Person>
            <b:Last>Wen</b:Last>
            <b:First>Z</b:First>
          </b:Person>
          <b:Person>
            <b:Last>Liang</b:Last>
            <b:First>Y</b:First>
          </b:Person>
          <b:Person>
            <b:Last>Li</b:Last>
            <b:First>G</b:First>
          </b:Person>
        </b:NameList>
      </b:Author>
    </b:Author>
    <b:Title>Design and Implementation of High-availability PaaS Platform Based on Virtualization Platform</b:Title>
    <b:Pages>1571-1575</b:Pages>
    <b:Year>2020</b:Year>
    <b:ConferenceName>Information Technology and Mechatronics Engineering Conference</b:ConferenceName>
    <b:City>Chongqing, China</b:City>
    <b:Volume>5</b:Volume>
    <b:DOI>10.1109/ITOEC49072.2020.9141564</b:DOI>
    <b:RefOrder>12</b:RefOrder>
  </b:Source>
  <b:Source>
    <b:Tag>WuH20</b:Tag>
    <b:SourceType>ConferenceProceedings</b:SourceType>
    <b:Guid>{AD64CD09-C819-4D64-BBB8-EB9390746C9B}</b:Guid>
    <b:Title>A Reactive Batching Strategy of Apache Kafka for Reliable Stream Processing in Real-time</b:Title>
    <b:Pages>207-217</b:Pages>
    <b:Year>2020</b:Year>
    <b:ConferenceName>International Symposium on Software Reliability Engineering</b:ConferenceName>
    <b:City>Coimbra, Portugal</b:City>
    <b:Author>
      <b:Author>
        <b:NameList>
          <b:Person>
            <b:Last>Wu</b:Last>
            <b:First>H</b:First>
          </b:Person>
          <b:Person>
            <b:Last>Shang</b:Last>
            <b:First>Z</b:First>
          </b:Person>
          <b:Person>
            <b:Last>Peng</b:Last>
            <b:First>G</b:First>
          </b:Person>
          <b:Person>
            <b:Last>Wolter</b:Last>
            <b:First>K</b:First>
          </b:Person>
        </b:NameList>
      </b:Author>
    </b:Author>
    <b:Volume>31</b:Volume>
    <b:DOI>10.1109/ISSRE5003.2020.00028</b:DOI>
    <b:RefOrder>13</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3</b:RefOrder>
  </b:Source>
  <b:Source>
    <b:Tag>Zel14</b:Tag>
    <b:SourceType>InternetSite</b:SourceType>
    <b:Guid>{3B898DE2-7574-4774-817D-42208508B3A2}</b:Guid>
    <b:Title>What makes useful research in software engineering</b:Title>
    <b:Year>2014</b:Year>
    <b:Author>
      <b:Author>
        <b:NameList>
          <b:Person>
            <b:Last>Zeller</b:Last>
            <b:First>A</b:First>
          </b:Person>
        </b:NameList>
      </b:Author>
    </b:Author>
    <b:InternetSiteTitle>YouTube</b:InternetSiteTitle>
    <b:Month>June</b:Month>
    <b:Day>14</b:Day>
    <b:URL>https://www.youtube.com/watch?v=4MbixFVWwck</b:URL>
    <b:RefOrder>8</b:RefOrder>
  </b:Source>
</b:Sources>
</file>

<file path=customXml/itemProps1.xml><?xml version="1.0" encoding="utf-8"?>
<ds:datastoreItem xmlns:ds="http://schemas.openxmlformats.org/officeDocument/2006/customXml" ds:itemID="{3FD419A3-A8A9-4DDF-A699-E22E4B24F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2627</TotalTime>
  <Pages>10</Pages>
  <Words>2394</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97</cp:revision>
  <dcterms:created xsi:type="dcterms:W3CDTF">2019-05-19T17:38:00Z</dcterms:created>
  <dcterms:modified xsi:type="dcterms:W3CDTF">2021-04-11T18:08:00Z</dcterms:modified>
</cp:coreProperties>
</file>