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F552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431C22B6"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collection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However, this incident can serve as a useful example for data collection methods in highly ambiguous scenarios.</w:t>
      </w:r>
    </w:p>
    <w:p w14:paraId="4FD03E9E" w14:textId="3008D087" w:rsidR="00D23A9C" w:rsidRDefault="00D23A9C" w:rsidP="00D23A9C">
      <w:pPr>
        <w:pStyle w:val="Heading2"/>
      </w:pPr>
      <w:r>
        <w:t>Preparedness of Our Emergency Department</w:t>
      </w:r>
    </w:p>
    <w:p w14:paraId="7A1D2F46" w14:textId="4596778B"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ensures the extractions were consistent.  Finally, a mapping of critical ideas into a hierarchical structure occurred.</w:t>
      </w:r>
    </w:p>
    <w:p w14:paraId="3874EDD5" w14:textId="200F73BF" w:rsidR="00F630BB" w:rsidRDefault="00F630BB" w:rsidP="0098104C">
      <w:r>
        <w:tab/>
        <w:t xml:space="preserve">Their qualitative assessment shows that during the onset, hospitals were not very efficient.  However, frequent updates from leadership instilled confidence to adopt workflow </w:t>
      </w:r>
      <w:r>
        <w:lastRenderedPageBreak/>
        <w:t>changes quickly.  Several nurses experienced distress and isolation because they did not want to concern friends and family.  Another observation is that multidisciplinary collaboration reached an all-time high, a</w:t>
      </w:r>
      <w:r w:rsidR="007D4DA8">
        <w:t>nd</w:t>
      </w:r>
      <w:r>
        <w:t xml:space="preserve"> everyone felt they were in this together.</w:t>
      </w:r>
    </w:p>
    <w:p w14:paraId="4A136BAD" w14:textId="688C9BFC" w:rsidR="00F630BB" w:rsidRDefault="00F630BB" w:rsidP="00F630BB">
      <w:pPr>
        <w:pStyle w:val="Heading2"/>
      </w:pPr>
      <w:r>
        <w:t>Modeling the Outbreak</w:t>
      </w:r>
    </w:p>
    <w:p w14:paraId="45D2C860" w14:textId="236D0A02"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 nor even consistent reporting of infection rates.</w:t>
      </w:r>
    </w:p>
    <w:p w14:paraId="7C513145" w14:textId="77777777" w:rsidR="001B39D7" w:rsidRDefault="001B39D7" w:rsidP="001B39D7">
      <w:r>
        <w:tab/>
        <w:t xml:space="preserve">Jiang et al. (May 2020) understood four stages of the epidemic curve: where a virus begins sporadically, infects locally, emerges broadly, and then flattens into irrelevance.  They used daily-infection rates per country to assess the stage of each nation.  Next, the researchers calculated each nation’s progress percentage as (a) daily total confirmed cases by (b) up-to-date total cases.  This metric’s accuracy was confirmed by measuring durations of stage-3 and stage-4 nations.  </w:t>
      </w:r>
    </w:p>
    <w:p w14:paraId="1E84B73F" w14:textId="71634B17" w:rsidR="001B39D7" w:rsidRDefault="001B39D7" w:rsidP="001B39D7">
      <w:pPr>
        <w:ind w:firstLine="720"/>
      </w:pPr>
      <w:r>
        <w:t>However, their model predicts, “the epidemic would end before August 10</w:t>
      </w:r>
      <w:r w:rsidRPr="001B39D7">
        <w:rPr>
          <w:vertAlign w:val="superscript"/>
        </w:rPr>
        <w:t>th</w:t>
      </w:r>
      <w:r>
        <w:t>, 2020 in the USA […] with total cases not exceeding 2.50 million (Jiang et al., 2020, p</w:t>
      </w:r>
      <w:r w:rsidR="004E59B3">
        <w:t>.</w:t>
      </w:r>
      <w:r>
        <w:t xml:space="preserve"> 1109).”  Th</w:t>
      </w:r>
      <w:r w:rsidR="0045403C">
        <w:t>is</w:t>
      </w:r>
      <w:r>
        <w:t xml:space="preserve">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A43CA20" w14:textId="77777777" w:rsidR="007D357C" w:rsidRDefault="007D357C" w:rsidP="007D357C">
      <w:pPr>
        <w:pStyle w:val="Heading2"/>
      </w:pPr>
      <w:r>
        <w:t>Progress and Challenges with Drugs</w:t>
      </w:r>
    </w:p>
    <w:p w14:paraId="27CEF96E" w14:textId="2F00577D" w:rsidR="007D357C" w:rsidRDefault="007D357C" w:rsidP="007D357C">
      <w:pPr>
        <w:ind w:firstLine="720"/>
      </w:pPr>
      <w:r>
        <w:t xml:space="preserve">El-Aziz &amp; </w:t>
      </w:r>
      <w:proofErr w:type="spellStart"/>
      <w:r>
        <w:t>Stockand</w:t>
      </w:r>
      <w:proofErr w:type="spellEnd"/>
      <w:r>
        <w:t xml:space="preserve"> (April 2020) </w:t>
      </w:r>
      <w:r>
        <w:t xml:space="preserve">wrote a narrative that follows the infection spreading from bats to snakes, to humans, and finally, other humans.  At each stage of the supply chain, they describe the biological processes </w:t>
      </w:r>
      <w:r w:rsidR="004E59B3">
        <w:t xml:space="preserve">involved </w:t>
      </w:r>
      <w:r>
        <w:t xml:space="preserve">then dive into a quantitative assessment of </w:t>
      </w:r>
      <w:r w:rsidR="004E59B3">
        <w:t xml:space="preserve">any </w:t>
      </w:r>
      <w:r>
        <w:lastRenderedPageBreak/>
        <w:t xml:space="preserve">relevant systems.  For example, a person might become ill after contacting a contaminated surface.  </w:t>
      </w:r>
      <w:r w:rsidR="004E59B3">
        <w:t xml:space="preserve">Different </w:t>
      </w:r>
      <w:r>
        <w:t xml:space="preserve">surface types (e.g., cardboard versus steal) can support the virus for </w:t>
      </w:r>
      <w:r w:rsidR="004E59B3">
        <w:t>various</w:t>
      </w:r>
      <w:r>
        <w:t xml:space="preserve"> durations</w:t>
      </w:r>
      <w:r w:rsidR="004E59B3">
        <w:t xml:space="preserve">.  The authors </w:t>
      </w:r>
      <w:r>
        <w:t xml:space="preserve">address these distinctions one-by-one </w:t>
      </w:r>
      <w:r w:rsidR="004E59B3">
        <w:t xml:space="preserve">by aggregating numerous </w:t>
      </w:r>
      <w:r>
        <w:t xml:space="preserve">academic publications that </w:t>
      </w:r>
      <w:r w:rsidR="004E59B3">
        <w:t>cross-validate each other</w:t>
      </w:r>
      <w:r>
        <w:t>.</w:t>
      </w:r>
    </w:p>
    <w:p w14:paraId="3B29223D" w14:textId="302DE1AB" w:rsidR="004E59B3" w:rsidRDefault="004E59B3" w:rsidP="007D357C">
      <w:pPr>
        <w:ind w:firstLine="720"/>
      </w:pPr>
      <w:r>
        <w:t xml:space="preserve">After assessing how the virus spreads, the researchers drill into the epidemiology to determine risk rates to various cohorts (e.g., by age or gender).  They accomplish this task by collecting </w:t>
      </w:r>
      <w:r>
        <w:t xml:space="preserve">global </w:t>
      </w:r>
      <w:r>
        <w:t>daily infection rates.  However, it is too early into the pandemic for researchers to confirm that the preliminary figures are accurate.  The authors compute various metrics on these counts, then evaluate the results against SARS and MERS historical data.  Finally, they conclude that “more structural biology details about the 2019-nCoV life cycle are needed</w:t>
      </w:r>
      <w:sdt>
        <w:sdtPr>
          <w:id w:val="762103525"/>
          <w:citation/>
        </w:sdtPr>
        <w:sdtContent>
          <w:r>
            <w:fldChar w:fldCharType="begin"/>
          </w:r>
          <w:r>
            <w:instrText xml:space="preserve">CITATION ElA20 \p 9 \l 1033 </w:instrText>
          </w:r>
          <w:r>
            <w:fldChar w:fldCharType="separate"/>
          </w:r>
          <w:r>
            <w:rPr>
              <w:noProof/>
            </w:rPr>
            <w:t xml:space="preserve"> (El-Aziz &amp; Stockand, 2020, p. 9)</w:t>
          </w:r>
          <w:r>
            <w:fldChar w:fldCharType="end"/>
          </w:r>
        </w:sdtContent>
      </w:sdt>
      <w:r>
        <w:t xml:space="preserve"> […] to accelerate the development of a vaccine.”</w:t>
      </w:r>
    </w:p>
    <w:p w14:paraId="425A6BC8" w14:textId="192F8611" w:rsidR="001B39D7" w:rsidRDefault="001B39D7" w:rsidP="001B39D7">
      <w:pPr>
        <w:pStyle w:val="Heading2"/>
      </w:pPr>
      <w:r>
        <w:t>Modeling Cell Interaction</w:t>
      </w:r>
    </w:p>
    <w:p w14:paraId="7548F154" w14:textId="55109D10" w:rsidR="00517DE4" w:rsidRDefault="0045403C" w:rsidP="00F2325D">
      <w:pPr>
        <w:ind w:firstLine="720"/>
      </w:pPr>
      <w:r>
        <w:t xml:space="preserve">When a person falls sick, quarantining the patient prevents spreading the disease further, but how long must they be isolated?  </w:t>
      </w:r>
      <w:proofErr w:type="spellStart"/>
      <w:r w:rsidR="001B39D7">
        <w:t>Sohail</w:t>
      </w:r>
      <w:proofErr w:type="spellEnd"/>
      <w:r w:rsidR="001B39D7">
        <w:t xml:space="preserve"> &amp; Nutini</w:t>
      </w:r>
      <w:r w:rsidR="00F2325D">
        <w:t xml:space="preserve"> (</w:t>
      </w:r>
      <w:r w:rsidR="001B39D7">
        <w:t>March</w:t>
      </w:r>
      <w:r w:rsidR="00F2325D">
        <w:t xml:space="preserve"> 2020) met this challenge by reviewing the sequence of events from both the </w:t>
      </w:r>
      <w:r w:rsidR="00F2325D" w:rsidRPr="00F2325D">
        <w:t>SARS (Severe Acute Respiratory Syndrome) epidemic of 2002 and the MERS (Middle East</w:t>
      </w:r>
      <w:r w:rsidR="00F2325D">
        <w:t xml:space="preserve"> Respiratory Syndrome) of 2012.  Both incidents were consistent with </w:t>
      </w:r>
      <w:r w:rsidR="001B39D7" w:rsidRPr="001B39D7">
        <w:rPr>
          <w:i/>
          <w:iCs/>
        </w:rPr>
        <w:t>Hill functions</w:t>
      </w:r>
      <w:r w:rsidR="001B39D7">
        <w:t xml:space="preserve">, a </w:t>
      </w:r>
      <w:r w:rsidR="00F2325D">
        <w:t xml:space="preserve">generic </w:t>
      </w:r>
      <w:r w:rsidR="001B39D7">
        <w:t xml:space="preserve">statistical model for </w:t>
      </w:r>
      <w:r w:rsidR="00F2325D">
        <w:t xml:space="preserve">biomedical </w:t>
      </w:r>
      <w:r w:rsidR="001B39D7">
        <w:t xml:space="preserve">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  These simulations </w:t>
      </w:r>
      <w:r>
        <w:t>recommended</w:t>
      </w:r>
      <w:r w:rsidR="001B39D7">
        <w:t xml:space="preserve"> that quarantining sick individuals for </w:t>
      </w:r>
      <w:r>
        <w:t xml:space="preserve">roughly </w:t>
      </w:r>
      <w:r w:rsidR="00586292">
        <w:t>twelve</w:t>
      </w:r>
      <w:r>
        <w:t xml:space="preserve"> </w:t>
      </w:r>
      <w:r w:rsidR="001B39D7">
        <w:t>days</w:t>
      </w:r>
      <w:r w:rsidR="00586292">
        <w:t xml:space="preserve"> </w:t>
      </w:r>
      <w:r>
        <w:t xml:space="preserve">was the ideal </w:t>
      </w:r>
      <w:r w:rsidR="007D4DA8">
        <w:t>period</w:t>
      </w:r>
      <w:r w:rsidR="001B39D7">
        <w:t>.</w:t>
      </w:r>
      <w:r w:rsidR="007D4DA8">
        <w:t xml:space="preserve">  Today, after collecting millions of real-world examples, doctors continue to give similar guidance.</w:t>
      </w:r>
    </w:p>
    <w:p w14:paraId="162C4B4D" w14:textId="438FE0E1" w:rsidR="001B39D7" w:rsidRDefault="001B39D7" w:rsidP="001B39D7">
      <w:pPr>
        <w:pStyle w:val="Heading2"/>
      </w:pPr>
      <w:r>
        <w:lastRenderedPageBreak/>
        <w:t>Effect on Hospitality Industry</w:t>
      </w:r>
    </w:p>
    <w:p w14:paraId="01B2E6F1" w14:textId="4EB8E66A" w:rsidR="001B39D7" w:rsidRPr="001B39D7" w:rsidRDefault="001B39D7" w:rsidP="001B39D7">
      <w:pPr>
        <w:pStyle w:val="Heading2"/>
      </w:pPr>
      <w:r>
        <w:t>Effect of Confinement</w:t>
      </w:r>
    </w:p>
    <w:sectPr w:rsidR="001B39D7" w:rsidRPr="001B39D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3BDB" w14:textId="77777777" w:rsidR="00DF5523" w:rsidRDefault="00DF5523" w:rsidP="0082223F">
      <w:pPr>
        <w:spacing w:line="240" w:lineRule="auto"/>
      </w:pPr>
      <w:r>
        <w:separator/>
      </w:r>
    </w:p>
  </w:endnote>
  <w:endnote w:type="continuationSeparator" w:id="0">
    <w:p w14:paraId="60E9ADCA" w14:textId="77777777" w:rsidR="00DF5523" w:rsidRDefault="00DF552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2EA53" w14:textId="77777777" w:rsidR="00DF5523" w:rsidRDefault="00DF5523" w:rsidP="0082223F">
      <w:pPr>
        <w:spacing w:line="240" w:lineRule="auto"/>
      </w:pPr>
      <w:r>
        <w:separator/>
      </w:r>
    </w:p>
  </w:footnote>
  <w:footnote w:type="continuationSeparator" w:id="0">
    <w:p w14:paraId="2386A9CC" w14:textId="77777777" w:rsidR="00DF5523" w:rsidRDefault="00DF552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6460F"/>
    <w:rsid w:val="00134BF0"/>
    <w:rsid w:val="00183597"/>
    <w:rsid w:val="001B27C4"/>
    <w:rsid w:val="001B39D7"/>
    <w:rsid w:val="001F7927"/>
    <w:rsid w:val="002806B7"/>
    <w:rsid w:val="002901BE"/>
    <w:rsid w:val="003F4714"/>
    <w:rsid w:val="00401D65"/>
    <w:rsid w:val="004223E8"/>
    <w:rsid w:val="00424108"/>
    <w:rsid w:val="0045403C"/>
    <w:rsid w:val="00475624"/>
    <w:rsid w:val="004A784B"/>
    <w:rsid w:val="004E59B3"/>
    <w:rsid w:val="00517DE4"/>
    <w:rsid w:val="0052132E"/>
    <w:rsid w:val="00563EAA"/>
    <w:rsid w:val="00586292"/>
    <w:rsid w:val="005B7079"/>
    <w:rsid w:val="006D793E"/>
    <w:rsid w:val="0073677D"/>
    <w:rsid w:val="007D357C"/>
    <w:rsid w:val="007D4DA8"/>
    <w:rsid w:val="0082223F"/>
    <w:rsid w:val="00877007"/>
    <w:rsid w:val="008B5129"/>
    <w:rsid w:val="0095365A"/>
    <w:rsid w:val="0098104C"/>
    <w:rsid w:val="009A757D"/>
    <w:rsid w:val="00B13ADF"/>
    <w:rsid w:val="00B229E0"/>
    <w:rsid w:val="00B23598"/>
    <w:rsid w:val="00B83595"/>
    <w:rsid w:val="00C54DC8"/>
    <w:rsid w:val="00C73692"/>
    <w:rsid w:val="00C93BB7"/>
    <w:rsid w:val="00CB25E9"/>
    <w:rsid w:val="00D0165E"/>
    <w:rsid w:val="00D23A9C"/>
    <w:rsid w:val="00D75C7B"/>
    <w:rsid w:val="00D85C7B"/>
    <w:rsid w:val="00D9259F"/>
    <w:rsid w:val="00DE2224"/>
    <w:rsid w:val="00DF5523"/>
    <w:rsid w:val="00E234E9"/>
    <w:rsid w:val="00E82898"/>
    <w:rsid w:val="00ED3713"/>
    <w:rsid w:val="00EF518F"/>
    <w:rsid w:val="00F2325D"/>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611929546">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 w:id="20230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4</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5</b:RefOrder>
  </b:Source>
  <b:Source>
    <b:Tag>ElA20</b:Tag>
    <b:SourceType>JournalArticle</b:SourceType>
    <b:Guid>{EF5129C3-35BE-457F-9B8F-1E9F2EC12FCC}</b:Guid>
    <b:Author>
      <b:Author>
        <b:NameList>
          <b:Person>
            <b:Last>El-Aziz</b:Last>
            <b:First>A</b:First>
          </b:Person>
          <b:Person>
            <b:Last>Stockand</b:Last>
            <b:First>J</b:First>
          </b:Person>
        </b:NameList>
      </b:Author>
    </b:Author>
    <b:Title>Recent progress and challenges in drug development against COVID-19 coronavirus (SARS-CoV-2) - an update on the status</b:Title>
    <b:JournalName>Infection, Genetics and Evolution</b:JournalName>
    <b:Year>2020</b:Year>
    <b:Pages>1-10</b:Pages>
    <b:Month>April</b:Month>
    <b:Volume>83</b:Volume>
    <b:DOI>10.1016/j.meegid.2020</b:DOI>
    <b:RefOrder>3</b:RefOrder>
  </b:Source>
  <b:Source>
    <b:Tag>Soh20</b:Tag>
    <b:SourceType>JournalArticle</b:SourceType>
    <b:Guid>{F5B4980B-94C1-4508-8D44-D146BF7CD07E}</b:Guid>
    <b:Author>
      <b:Author>
        <b:NameList>
          <b:Person>
            <b:Last>Sohail</b:Last>
            <b:First>A</b:First>
          </b:Person>
          <b:Person>
            <b:Last>Nutini</b:Last>
            <b:First>A</b:First>
          </b:Person>
        </b:NameList>
      </b:Author>
    </b:Author>
    <b:Title>Forecasting the timeframe of 2019-nCoV and human cells interaction with reverse engineering</b:Title>
    <b:JournalName>Progress in Biophysics and Molecular Biology</b:JournalName>
    <b:Year>2020</b:Year>
    <b:Pages>29-35</b:Pages>
    <b:Month>April</b:Month>
    <b:Volume>155</b:Volume>
    <b:DOI>10.1016/j.pbiomolbio.2020.04.002</b:DOI>
    <b:RefOrder>6</b:RefOrder>
  </b:Source>
</b:Sources>
</file>

<file path=customXml/itemProps1.xml><?xml version="1.0" encoding="utf-8"?>
<ds:datastoreItem xmlns:ds="http://schemas.openxmlformats.org/officeDocument/2006/customXml" ds:itemID="{0A318E04-72BC-4332-A7B9-3C8E4C79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2021-01-03T18:13:00Z</dcterms:modified>
</cp:coreProperties>
</file>