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A5C2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6E4CDCAE"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collection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However, this incident can serve as a useful example for data collection methods in highly ambiguous scenarios.</w:t>
      </w:r>
    </w:p>
    <w:p w14:paraId="15BAEB2F" w14:textId="0254AF25" w:rsidR="00274216" w:rsidRDefault="00274216" w:rsidP="00274216">
      <w:pPr>
        <w:pStyle w:val="Heading1"/>
      </w:pPr>
      <w:r>
        <w:t>Literature Review</w:t>
      </w:r>
    </w:p>
    <w:p w14:paraId="05CFC2C9" w14:textId="2254B21B" w:rsidR="00274216" w:rsidRPr="00274216" w:rsidRDefault="00274216" w:rsidP="00274216">
      <w:r>
        <w:tab/>
        <w:t>Researchers are actively assessing different aspects of the pandemic, which led to various data collection methods.  In Table 1, an enumeration of surveyed articles includes the author and their data source.</w:t>
      </w:r>
    </w:p>
    <w:p w14:paraId="56A091BC" w14:textId="097B3EEF" w:rsidR="00274216" w:rsidRDefault="00274216" w:rsidP="00274216">
      <w:pPr>
        <w:pStyle w:val="Caption"/>
      </w:pPr>
      <w:r>
        <w:t>Table 1: Literature Review</w:t>
      </w:r>
    </w:p>
    <w:tbl>
      <w:tblPr>
        <w:tblStyle w:val="TableGrid"/>
        <w:tblW w:w="0" w:type="auto"/>
        <w:tblLook w:val="04A0" w:firstRow="1" w:lastRow="0" w:firstColumn="1" w:lastColumn="0" w:noHBand="0" w:noVBand="1"/>
      </w:tblPr>
      <w:tblGrid>
        <w:gridCol w:w="1589"/>
        <w:gridCol w:w="3151"/>
        <w:gridCol w:w="1403"/>
        <w:gridCol w:w="3207"/>
      </w:tblGrid>
      <w:tr w:rsidR="00274216" w14:paraId="5E788897" w14:textId="77777777" w:rsidTr="00274216">
        <w:tc>
          <w:tcPr>
            <w:tcW w:w="1615" w:type="dxa"/>
          </w:tcPr>
          <w:p w14:paraId="09EB7C91" w14:textId="0462E76B" w:rsidR="00274216" w:rsidRDefault="00274216" w:rsidP="00B23598">
            <w:r>
              <w:t>Author</w:t>
            </w:r>
          </w:p>
        </w:tc>
        <w:tc>
          <w:tcPr>
            <w:tcW w:w="3240" w:type="dxa"/>
          </w:tcPr>
          <w:p w14:paraId="2A167AFA" w14:textId="3FF86F58" w:rsidR="00274216" w:rsidRDefault="00274216" w:rsidP="00B23598">
            <w:r>
              <w:t>Title</w:t>
            </w:r>
          </w:p>
        </w:tc>
        <w:tc>
          <w:tcPr>
            <w:tcW w:w="1197" w:type="dxa"/>
          </w:tcPr>
          <w:p w14:paraId="3B789A6B" w14:textId="14D4665A" w:rsidR="00274216" w:rsidRDefault="00274216" w:rsidP="00B23598">
            <w:r>
              <w:t>Approach</w:t>
            </w:r>
          </w:p>
        </w:tc>
        <w:tc>
          <w:tcPr>
            <w:tcW w:w="3298" w:type="dxa"/>
          </w:tcPr>
          <w:p w14:paraId="1CC8CD4B" w14:textId="337C8DF2" w:rsidR="00274216" w:rsidRDefault="00274216" w:rsidP="00B23598">
            <w:r>
              <w:t>Data Source</w:t>
            </w:r>
          </w:p>
        </w:tc>
      </w:tr>
      <w:tr w:rsidR="00274216" w14:paraId="19CB5EBB" w14:textId="77777777" w:rsidTr="00274216">
        <w:tc>
          <w:tcPr>
            <w:tcW w:w="1615" w:type="dxa"/>
          </w:tcPr>
          <w:p w14:paraId="511CFA99" w14:textId="1DB88B5E" w:rsidR="00274216" w:rsidRDefault="00274216" w:rsidP="00B23598">
            <w:r>
              <w:t xml:space="preserve"> Hou et al. (2020)</w:t>
            </w:r>
          </w:p>
        </w:tc>
        <w:tc>
          <w:tcPr>
            <w:tcW w:w="3240" w:type="dxa"/>
          </w:tcPr>
          <w:p w14:paraId="5FC68F14" w14:textId="72A36757" w:rsidR="00274216" w:rsidRDefault="00274216" w:rsidP="00B23598">
            <w:r>
              <w:t>Preparedness of Our Emergency Department</w:t>
            </w:r>
          </w:p>
        </w:tc>
        <w:tc>
          <w:tcPr>
            <w:tcW w:w="1197" w:type="dxa"/>
          </w:tcPr>
          <w:p w14:paraId="5F6BE7C0" w14:textId="0F1D5356" w:rsidR="00274216" w:rsidRDefault="00274216" w:rsidP="00B23598">
            <w:r>
              <w:t>Qualitative</w:t>
            </w:r>
          </w:p>
        </w:tc>
        <w:tc>
          <w:tcPr>
            <w:tcW w:w="3298" w:type="dxa"/>
          </w:tcPr>
          <w:p w14:paraId="49A6A9C2" w14:textId="47696542" w:rsidR="00274216" w:rsidRDefault="00274216" w:rsidP="00B23598">
            <w:r>
              <w:t>Open-ended survey interviews with nurses</w:t>
            </w:r>
          </w:p>
        </w:tc>
      </w:tr>
      <w:tr w:rsidR="00274216" w14:paraId="03DC8140" w14:textId="77777777" w:rsidTr="00274216">
        <w:tc>
          <w:tcPr>
            <w:tcW w:w="1615" w:type="dxa"/>
          </w:tcPr>
          <w:p w14:paraId="29FDEAF3" w14:textId="36638462" w:rsidR="00274216" w:rsidRDefault="00274216" w:rsidP="00B23598">
            <w:r>
              <w:t>Jiang et al. (2020)</w:t>
            </w:r>
          </w:p>
        </w:tc>
        <w:tc>
          <w:tcPr>
            <w:tcW w:w="3240" w:type="dxa"/>
          </w:tcPr>
          <w:p w14:paraId="0D2B3CE7" w14:textId="27000E5A" w:rsidR="00274216" w:rsidRDefault="00274216" w:rsidP="00B23598">
            <w:r>
              <w:t>Quantitative analysis of the global outbreak</w:t>
            </w:r>
          </w:p>
        </w:tc>
        <w:tc>
          <w:tcPr>
            <w:tcW w:w="1197" w:type="dxa"/>
          </w:tcPr>
          <w:p w14:paraId="4ECC2E7A" w14:textId="274837FE" w:rsidR="00274216" w:rsidRDefault="00274216" w:rsidP="00B23598">
            <w:r>
              <w:t>Quantitative</w:t>
            </w:r>
          </w:p>
        </w:tc>
        <w:tc>
          <w:tcPr>
            <w:tcW w:w="3298" w:type="dxa"/>
          </w:tcPr>
          <w:p w14:paraId="0A1FDFE1" w14:textId="364C247F" w:rsidR="00274216" w:rsidRDefault="00274216" w:rsidP="00B23598">
            <w:r>
              <w:t>Daily confirmed cases by country</w:t>
            </w:r>
          </w:p>
        </w:tc>
      </w:tr>
      <w:tr w:rsidR="00274216" w14:paraId="0736C42A" w14:textId="77777777" w:rsidTr="00274216">
        <w:tc>
          <w:tcPr>
            <w:tcW w:w="1615" w:type="dxa"/>
          </w:tcPr>
          <w:p w14:paraId="3D5724CE" w14:textId="3B2835FE" w:rsidR="00274216" w:rsidRDefault="00274216" w:rsidP="00B23598">
            <w:proofErr w:type="spellStart"/>
            <w:r>
              <w:t>Sohail</w:t>
            </w:r>
            <w:proofErr w:type="spellEnd"/>
            <w:r>
              <w:t xml:space="preserve"> &amp; Nutini (2020)</w:t>
            </w:r>
          </w:p>
        </w:tc>
        <w:tc>
          <w:tcPr>
            <w:tcW w:w="3240" w:type="dxa"/>
          </w:tcPr>
          <w:p w14:paraId="532BC149" w14:textId="33D2976B" w:rsidR="00274216" w:rsidRDefault="00274216" w:rsidP="00B23598">
            <w:r>
              <w:t>Forecasting the timeframe of 2019-nCoV and human cells</w:t>
            </w:r>
          </w:p>
        </w:tc>
        <w:tc>
          <w:tcPr>
            <w:tcW w:w="1197" w:type="dxa"/>
          </w:tcPr>
          <w:p w14:paraId="50A2EE2D" w14:textId="138D42F3" w:rsidR="00274216" w:rsidRDefault="00274216" w:rsidP="00B23598">
            <w:r>
              <w:t>Quantitative</w:t>
            </w:r>
          </w:p>
        </w:tc>
        <w:tc>
          <w:tcPr>
            <w:tcW w:w="3298" w:type="dxa"/>
          </w:tcPr>
          <w:p w14:paraId="15981A54" w14:textId="5B0DA641" w:rsidR="00274216" w:rsidRDefault="00274216" w:rsidP="00B23598">
            <w:r>
              <w:t>Historical data on the infection rates of SARS &amp; MERS</w:t>
            </w:r>
          </w:p>
        </w:tc>
      </w:tr>
      <w:tr w:rsidR="00274216" w14:paraId="554503F4" w14:textId="77777777" w:rsidTr="00274216">
        <w:tc>
          <w:tcPr>
            <w:tcW w:w="1615" w:type="dxa"/>
          </w:tcPr>
          <w:p w14:paraId="5B1022D9" w14:textId="1E8DC523" w:rsidR="00274216" w:rsidRDefault="00274216" w:rsidP="00B23598">
            <w:r>
              <w:t xml:space="preserve">El-Aziz &amp; </w:t>
            </w:r>
            <w:proofErr w:type="spellStart"/>
            <w:r>
              <w:t>Stockand</w:t>
            </w:r>
            <w:proofErr w:type="spellEnd"/>
            <w:r>
              <w:t xml:space="preserve"> (2020)</w:t>
            </w:r>
          </w:p>
        </w:tc>
        <w:tc>
          <w:tcPr>
            <w:tcW w:w="3240" w:type="dxa"/>
          </w:tcPr>
          <w:p w14:paraId="1515C364" w14:textId="77410958" w:rsidR="00274216" w:rsidRDefault="00274216" w:rsidP="00B23598">
            <w:r>
              <w:t>Recent progress and challenges in drug development</w:t>
            </w:r>
          </w:p>
        </w:tc>
        <w:tc>
          <w:tcPr>
            <w:tcW w:w="1197" w:type="dxa"/>
          </w:tcPr>
          <w:p w14:paraId="7EF57DA9" w14:textId="29EBC0C6" w:rsidR="00274216" w:rsidRDefault="00274216" w:rsidP="00B23598">
            <w:r>
              <w:t>Qualitative then Quantitative</w:t>
            </w:r>
          </w:p>
        </w:tc>
        <w:tc>
          <w:tcPr>
            <w:tcW w:w="3298" w:type="dxa"/>
          </w:tcPr>
          <w:p w14:paraId="2AE2AE4A" w14:textId="59414081" w:rsidR="00274216" w:rsidRDefault="00274216" w:rsidP="00B23598">
            <w:r>
              <w:t>Research survey on taxonomy then deep dive into limits per area</w:t>
            </w:r>
          </w:p>
        </w:tc>
      </w:tr>
      <w:tr w:rsidR="00274216" w14:paraId="283565B0" w14:textId="77777777" w:rsidTr="00274216">
        <w:tc>
          <w:tcPr>
            <w:tcW w:w="1615" w:type="dxa"/>
          </w:tcPr>
          <w:p w14:paraId="53B594E3" w14:textId="6341C8D5" w:rsidR="00274216" w:rsidRDefault="00274216" w:rsidP="00B23598">
            <w:r>
              <w:t>Valadez et al. (2020)</w:t>
            </w:r>
          </w:p>
        </w:tc>
        <w:tc>
          <w:tcPr>
            <w:tcW w:w="3240" w:type="dxa"/>
          </w:tcPr>
          <w:p w14:paraId="781D9BDB" w14:textId="50C23ED4" w:rsidR="00274216" w:rsidRDefault="00274216" w:rsidP="00B23598">
            <w:r>
              <w:t>Emotions and reactions to the confinement of Covid-19</w:t>
            </w:r>
          </w:p>
        </w:tc>
        <w:tc>
          <w:tcPr>
            <w:tcW w:w="1197" w:type="dxa"/>
          </w:tcPr>
          <w:p w14:paraId="22F12722" w14:textId="08EA9E9D" w:rsidR="00274216" w:rsidRDefault="00274216" w:rsidP="00B23598">
            <w:r>
              <w:t>Quantitative then Qualitative</w:t>
            </w:r>
          </w:p>
        </w:tc>
        <w:tc>
          <w:tcPr>
            <w:tcW w:w="3298" w:type="dxa"/>
          </w:tcPr>
          <w:p w14:paraId="1876FF86" w14:textId="592EAA6C" w:rsidR="00274216" w:rsidRDefault="00274216" w:rsidP="00B23598">
            <w:r>
              <w:t>Scaled-score questionnaire followed by open-ended questions into the narrative</w:t>
            </w:r>
          </w:p>
        </w:tc>
      </w:tr>
    </w:tbl>
    <w:p w14:paraId="75EB9E8A" w14:textId="77777777" w:rsidR="00274216" w:rsidRDefault="00274216" w:rsidP="00B23598"/>
    <w:p w14:paraId="4FD03E9E" w14:textId="3008D087" w:rsidR="00D23A9C" w:rsidRDefault="00D23A9C" w:rsidP="00D23A9C">
      <w:pPr>
        <w:pStyle w:val="Heading2"/>
      </w:pPr>
      <w:r>
        <w:lastRenderedPageBreak/>
        <w:t>Preparedness of Our Emergency Department</w:t>
      </w:r>
    </w:p>
    <w:p w14:paraId="7A1D2F46" w14:textId="4596778B"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place promptly.  Their team began by documenting an open-ended interview and a series of follow-up probing questions.  Then, they transcribed verbatim one-on-one sessions with dozens of nurses across three hospitals in the same region.  Afterward, they assigned two researchers to extract themes from the transcriptions independently.  Next, cross-checking the results ensures the extractions were consistent.  Finally, a mapping of critical ideas into a hierarchical structure occurred.</w:t>
      </w:r>
    </w:p>
    <w:p w14:paraId="3874EDD5" w14:textId="200F73BF" w:rsidR="00F630BB" w:rsidRDefault="00F630BB" w:rsidP="0098104C">
      <w:r>
        <w:tab/>
        <w:t>Their qualitative assessment shows that during the onset, hospitals were not very efficient.  However, frequent updates from leadership instilled confidence to adopt workflow changes quickly.  Several nurses experienced distress and isolation because they did not want to concern friends and family.  Another observation is that multidisciplinary collaboration reached an all-time high, a</w:t>
      </w:r>
      <w:r w:rsidR="007D4DA8">
        <w:t>nd</w:t>
      </w:r>
      <w:r>
        <w:t xml:space="preserve"> everyone felt they were in this together.</w:t>
      </w:r>
    </w:p>
    <w:p w14:paraId="4A136BAD" w14:textId="688C9BFC" w:rsidR="00F630BB" w:rsidRDefault="00F630BB" w:rsidP="00F630BB">
      <w:pPr>
        <w:pStyle w:val="Heading2"/>
      </w:pPr>
      <w:r>
        <w:t>Modeling the Outbreak</w:t>
      </w:r>
    </w:p>
    <w:p w14:paraId="45D2C860" w14:textId="236D0A02" w:rsidR="00F2325D" w:rsidRDefault="00FE7947" w:rsidP="00517DE4">
      <w:r>
        <w:tab/>
      </w:r>
      <w:r w:rsidR="00F2325D">
        <w:t xml:space="preserve">In </w:t>
      </w:r>
      <w:r>
        <w:t>March and April 2020, governments across the globe began to enforce mass quarantine procedures.  This action disturbed schools and businesses, leading to the unanimous question on everyone’s mind, “when will this end?”</w:t>
      </w:r>
      <w:r w:rsidR="00F2325D">
        <w:t xml:space="preserve">  However, an authoritative dataset did not exist nor even consistent reporting of infection rates.</w:t>
      </w:r>
    </w:p>
    <w:p w14:paraId="3AD1F4C1" w14:textId="77777777" w:rsidR="00274216" w:rsidRDefault="001B39D7" w:rsidP="00274216">
      <w:r>
        <w:tab/>
        <w:t xml:space="preserve">Jiang et al. (May 2020) understood four stages of the epidemic curve: where a virus begins sporadically, infects locally, emerges broadly, and then flattens into irrelevance.  They used daily-infection rates per country to assess the stage of each nation.  Next, the researchers </w:t>
      </w:r>
      <w:r>
        <w:lastRenderedPageBreak/>
        <w:t xml:space="preserve">calculated each nation’s progress percentage as (a) daily total confirmed cases by (b) up-to-date total cases.  This metric’s accuracy was confirmed by measuring durations of stage-3 and stage-4 nations.  </w:t>
      </w:r>
    </w:p>
    <w:p w14:paraId="1E84B73F" w14:textId="26418682" w:rsidR="001B39D7" w:rsidRDefault="001B39D7" w:rsidP="00274216">
      <w:pPr>
        <w:ind w:firstLine="720"/>
      </w:pPr>
      <w:r>
        <w:t>However, their model predicts, “the epidemic would end before August 10</w:t>
      </w:r>
      <w:r w:rsidRPr="001B39D7">
        <w:rPr>
          <w:vertAlign w:val="superscript"/>
        </w:rPr>
        <w:t>th</w:t>
      </w:r>
      <w:r>
        <w:t>, 2020 in the USA […] with total cases not exceeding 2.50 million (Jiang et al., 2020, p</w:t>
      </w:r>
      <w:r w:rsidR="004E59B3">
        <w:t>.</w:t>
      </w:r>
      <w:r>
        <w:t xml:space="preserve"> 1109).”  Th</w:t>
      </w:r>
      <w:r w:rsidR="0045403C">
        <w:t>is</w:t>
      </w:r>
      <w:r>
        <w:t xml:space="preserve"> purely quantitative method was inaccurate due to ignoring many external factors.  For instance, the massive quarantine reshaped the curve</w:t>
      </w:r>
      <w:r w:rsidR="002901BE">
        <w:t>, and they assumed that all countries would respond homogenously</w:t>
      </w:r>
      <w:r>
        <w:t xml:space="preserve">.  Instead, using a mixed-method </w:t>
      </w:r>
      <w:r w:rsidR="002901BE">
        <w:t xml:space="preserve">data </w:t>
      </w:r>
      <w:r>
        <w:t xml:space="preserve">collection </w:t>
      </w:r>
      <w:r w:rsidR="002901BE">
        <w:t xml:space="preserve">could have </w:t>
      </w:r>
      <w:r>
        <w:t>identif</w:t>
      </w:r>
      <w:r w:rsidR="002901BE">
        <w:t>ied</w:t>
      </w:r>
      <w:r>
        <w:t xml:space="preserve"> these risks.</w:t>
      </w:r>
    </w:p>
    <w:p w14:paraId="4A43CA20" w14:textId="77777777" w:rsidR="007D357C" w:rsidRDefault="007D357C" w:rsidP="007D357C">
      <w:pPr>
        <w:pStyle w:val="Heading2"/>
      </w:pPr>
      <w:r>
        <w:t>Progress and Challenges with Drugs</w:t>
      </w:r>
    </w:p>
    <w:p w14:paraId="27CEF96E" w14:textId="2F00577D" w:rsidR="007D357C" w:rsidRDefault="007D357C" w:rsidP="007D357C">
      <w:pPr>
        <w:ind w:firstLine="720"/>
      </w:pPr>
      <w:r>
        <w:t xml:space="preserve">El-Aziz &amp; </w:t>
      </w:r>
      <w:proofErr w:type="spellStart"/>
      <w:r>
        <w:t>Stockand</w:t>
      </w:r>
      <w:proofErr w:type="spellEnd"/>
      <w:r>
        <w:t xml:space="preserve"> (April 2020) </w:t>
      </w:r>
      <w:r>
        <w:t xml:space="preserve">wrote a narrative that follows the infection spreading from bats to snakes, to humans, and finally, other humans.  At each stage of the supply chain, they describe the biological processes </w:t>
      </w:r>
      <w:r w:rsidR="004E59B3">
        <w:t xml:space="preserve">involved </w:t>
      </w:r>
      <w:r>
        <w:t xml:space="preserve">then dive into a quantitative assessment of </w:t>
      </w:r>
      <w:r w:rsidR="004E59B3">
        <w:t xml:space="preserve">any </w:t>
      </w:r>
      <w:r>
        <w:t xml:space="preserve">relevant systems.  For example, a person might become ill after contacting a contaminated surface.  </w:t>
      </w:r>
      <w:r w:rsidR="004E59B3">
        <w:t xml:space="preserve">Different </w:t>
      </w:r>
      <w:r>
        <w:t xml:space="preserve">surface types (e.g., cardboard versus steal) can support the virus for </w:t>
      </w:r>
      <w:r w:rsidR="004E59B3">
        <w:t>various</w:t>
      </w:r>
      <w:r>
        <w:t xml:space="preserve"> durations</w:t>
      </w:r>
      <w:r w:rsidR="004E59B3">
        <w:t xml:space="preserve">.  The authors </w:t>
      </w:r>
      <w:r>
        <w:t xml:space="preserve">address these distinctions one-by-one </w:t>
      </w:r>
      <w:r w:rsidR="004E59B3">
        <w:t xml:space="preserve">by aggregating numerous </w:t>
      </w:r>
      <w:r>
        <w:t xml:space="preserve">academic publications that </w:t>
      </w:r>
      <w:r w:rsidR="004E59B3">
        <w:t>cross-validate each other</w:t>
      </w:r>
      <w:r>
        <w:t>.</w:t>
      </w:r>
    </w:p>
    <w:p w14:paraId="3B29223D" w14:textId="302DE1AB" w:rsidR="004E59B3" w:rsidRDefault="004E59B3" w:rsidP="007D357C">
      <w:pPr>
        <w:ind w:firstLine="720"/>
      </w:pPr>
      <w:r>
        <w:t xml:space="preserve">After assessing how the virus spreads, the researchers drill into the epidemiology to determine risk rates to various cohorts (e.g., by age or gender).  They accomplish this task by collecting </w:t>
      </w:r>
      <w:r>
        <w:t xml:space="preserve">global </w:t>
      </w:r>
      <w:r>
        <w:t>daily infection rates.  However, it is too early into the pandemic for researchers to confirm that the preliminary figures are accurate.  The authors compute various metrics on these counts, then evaluate the results against SARS and MERS historical data.  Finally, they conclude that “more structural biology details about the 2019-nCoV life cycle are needed</w:t>
      </w:r>
      <w:sdt>
        <w:sdtPr>
          <w:id w:val="762103525"/>
          <w:citation/>
        </w:sdtPr>
        <w:sdtContent>
          <w:r>
            <w:fldChar w:fldCharType="begin"/>
          </w:r>
          <w:r>
            <w:instrText xml:space="preserve">CITATION ElA20 \p 9 \l 1033 </w:instrText>
          </w:r>
          <w:r>
            <w:fldChar w:fldCharType="separate"/>
          </w:r>
          <w:r>
            <w:rPr>
              <w:noProof/>
            </w:rPr>
            <w:t xml:space="preserve"> (El-Aziz &amp; Stockand, 2020, p. 9)</w:t>
          </w:r>
          <w:r>
            <w:fldChar w:fldCharType="end"/>
          </w:r>
        </w:sdtContent>
      </w:sdt>
      <w:r>
        <w:t xml:space="preserve"> […] to accelerate the development of a vaccine.”</w:t>
      </w:r>
    </w:p>
    <w:p w14:paraId="425A6BC8" w14:textId="192F8611" w:rsidR="001B39D7" w:rsidRDefault="001B39D7" w:rsidP="001B39D7">
      <w:pPr>
        <w:pStyle w:val="Heading2"/>
      </w:pPr>
      <w:r>
        <w:lastRenderedPageBreak/>
        <w:t>Modeling Cell Interaction</w:t>
      </w:r>
    </w:p>
    <w:p w14:paraId="7548F154" w14:textId="55109D10" w:rsidR="00517DE4" w:rsidRDefault="0045403C" w:rsidP="00F2325D">
      <w:pPr>
        <w:ind w:firstLine="720"/>
      </w:pPr>
      <w:r>
        <w:t xml:space="preserve">When a person falls sick, quarantining the patient prevents spreading the disease further, but how long must they be isolated?  </w:t>
      </w:r>
      <w:proofErr w:type="spellStart"/>
      <w:r w:rsidR="001B39D7">
        <w:t>Sohail</w:t>
      </w:r>
      <w:proofErr w:type="spellEnd"/>
      <w:r w:rsidR="001B39D7">
        <w:t xml:space="preserve"> &amp; Nutini</w:t>
      </w:r>
      <w:r w:rsidR="00F2325D">
        <w:t xml:space="preserve"> (</w:t>
      </w:r>
      <w:r w:rsidR="001B39D7">
        <w:t>March</w:t>
      </w:r>
      <w:r w:rsidR="00F2325D">
        <w:t xml:space="preserve"> 2020) met this challenge by reviewing the sequence of events from both the </w:t>
      </w:r>
      <w:r w:rsidR="00F2325D" w:rsidRPr="00F2325D">
        <w:t>SARS (Severe Acute Respiratory Syndrome) epidemic of 2002 and the MERS (Middle East</w:t>
      </w:r>
      <w:r w:rsidR="00F2325D">
        <w:t xml:space="preserve"> Respiratory Syndrome) of 2012.  Both incidents were consistent with </w:t>
      </w:r>
      <w:r w:rsidR="001B39D7" w:rsidRPr="001B39D7">
        <w:rPr>
          <w:i/>
          <w:iCs/>
        </w:rPr>
        <w:t>Hill functions</w:t>
      </w:r>
      <w:r w:rsidR="001B39D7">
        <w:t xml:space="preserve">, a </w:t>
      </w:r>
      <w:r w:rsidR="00F2325D">
        <w:t xml:space="preserve">generic </w:t>
      </w:r>
      <w:r w:rsidR="001B39D7">
        <w:t xml:space="preserve">statistical model for </w:t>
      </w:r>
      <w:r w:rsidR="00F2325D">
        <w:t xml:space="preserve">biomedical </w:t>
      </w:r>
      <w:r w:rsidR="001B39D7">
        <w:t xml:space="preserve">infection rates.  The two most essential parameters into these Hill functions are (1) the infectious dose (e.g., exposure rate) and (2) the incubation period (e.g., the delay before the illness).  Unfortunately, these values were unknown, so the researchers devised a Markov Chain based Monte Carlo Simulation to approximate the ranges.  These simulations </w:t>
      </w:r>
      <w:r>
        <w:t>recommended</w:t>
      </w:r>
      <w:r w:rsidR="001B39D7">
        <w:t xml:space="preserve"> that quarantining sick individuals for </w:t>
      </w:r>
      <w:r>
        <w:t xml:space="preserve">roughly </w:t>
      </w:r>
      <w:r w:rsidR="00586292">
        <w:t>twelve</w:t>
      </w:r>
      <w:r>
        <w:t xml:space="preserve"> </w:t>
      </w:r>
      <w:r w:rsidR="001B39D7">
        <w:t>days</w:t>
      </w:r>
      <w:r w:rsidR="00586292">
        <w:t xml:space="preserve"> </w:t>
      </w:r>
      <w:r>
        <w:t xml:space="preserve">was the ideal </w:t>
      </w:r>
      <w:r w:rsidR="007D4DA8">
        <w:t>period</w:t>
      </w:r>
      <w:r w:rsidR="001B39D7">
        <w:t>.</w:t>
      </w:r>
      <w:r w:rsidR="007D4DA8">
        <w:t xml:space="preserve">  Today, after collecting millions of real-world examples, doctors continue to give similar guidance.</w:t>
      </w:r>
    </w:p>
    <w:p w14:paraId="01B2E6F1" w14:textId="009B908E" w:rsidR="001B39D7" w:rsidRDefault="001B39D7" w:rsidP="001B39D7">
      <w:pPr>
        <w:pStyle w:val="Heading2"/>
      </w:pPr>
      <w:r>
        <w:t>Effect of Confinement</w:t>
      </w:r>
    </w:p>
    <w:p w14:paraId="6B054B5D" w14:textId="4414B104" w:rsidR="00DA02C9" w:rsidRDefault="00725293" w:rsidP="00DA02C9">
      <w:r>
        <w:tab/>
        <w:t xml:space="preserve">Valadez et al. (November 2020) performed a mixed-method analysis of extended confinement on adolescents and children.  This study began with 649 children completing a scaled-score response questionnaire.  Next, researchers calculated statistics on each item and the Pearson correlation across thematic areas.  Different partitioning schemes then assessed the data by cohorts, such as gender, age, and community.  </w:t>
      </w:r>
      <w:r w:rsidR="002D1A5B">
        <w:t>After reviewing the answer distributions, they mapped scaled-score ranges to emotion names (e.g., 1=depressed and 10=happy).  Now, the annotated cohorts could transform into a narrative.  For example, “young children (cohort) with an unemployed parent (community) were generally more stressed (value).”</w:t>
      </w:r>
    </w:p>
    <w:p w14:paraId="68D7B1E7" w14:textId="34209FDB" w:rsidR="002D1A5B" w:rsidRPr="00DA02C9" w:rsidRDefault="002D1A5B" w:rsidP="00DA02C9">
      <w:r>
        <w:tab/>
        <w:t xml:space="preserve">The narrative helped identify targeted open-ended questions to collect the next level of context.  For instance, one question became, “why can’t you go outside,” which came with its </w:t>
      </w:r>
      <w:r>
        <w:lastRenderedPageBreak/>
        <w:t>qualitative themes</w:t>
      </w:r>
      <w:r w:rsidR="001A46E8">
        <w:t xml:space="preserve"> (e.g., illness versus death)</w:t>
      </w:r>
      <w:r>
        <w:t>.</w:t>
      </w:r>
      <w:r w:rsidR="001D6DAB">
        <w:t xml:space="preserve">  This dichotomy uncovered the role that parent’s positioning of the pandemic has on the children.  Next, the discussion section covers similar studies on children psychology and Post Traumatic Stress Disorder (PTSD).</w:t>
      </w:r>
      <w:r w:rsidR="00CF452A">
        <w:t xml:space="preserve">  Finally, the authors conclude that pairing quantitative and qualitative methods enables cross-verification of topic importance and exploration.</w:t>
      </w:r>
    </w:p>
    <w:sectPr w:rsidR="002D1A5B" w:rsidRPr="00DA02C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2BAF3" w14:textId="77777777" w:rsidR="004A5C2C" w:rsidRDefault="004A5C2C" w:rsidP="0082223F">
      <w:pPr>
        <w:spacing w:line="240" w:lineRule="auto"/>
      </w:pPr>
      <w:r>
        <w:separator/>
      </w:r>
    </w:p>
  </w:endnote>
  <w:endnote w:type="continuationSeparator" w:id="0">
    <w:p w14:paraId="1B874CB5" w14:textId="77777777" w:rsidR="004A5C2C" w:rsidRDefault="004A5C2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AA8A3" w14:textId="77777777" w:rsidR="004A5C2C" w:rsidRDefault="004A5C2C" w:rsidP="0082223F">
      <w:pPr>
        <w:spacing w:line="240" w:lineRule="auto"/>
      </w:pPr>
      <w:r>
        <w:separator/>
      </w:r>
    </w:p>
  </w:footnote>
  <w:footnote w:type="continuationSeparator" w:id="0">
    <w:p w14:paraId="6B8630F4" w14:textId="77777777" w:rsidR="004A5C2C" w:rsidRDefault="004A5C2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6460F"/>
    <w:rsid w:val="00134BF0"/>
    <w:rsid w:val="00183597"/>
    <w:rsid w:val="001A46E8"/>
    <w:rsid w:val="001B27C4"/>
    <w:rsid w:val="001B39D7"/>
    <w:rsid w:val="001D6DAB"/>
    <w:rsid w:val="001F7927"/>
    <w:rsid w:val="00274216"/>
    <w:rsid w:val="002806B7"/>
    <w:rsid w:val="002901BE"/>
    <w:rsid w:val="002D1A5B"/>
    <w:rsid w:val="003F4714"/>
    <w:rsid w:val="00401D65"/>
    <w:rsid w:val="004223E8"/>
    <w:rsid w:val="00424108"/>
    <w:rsid w:val="0045403C"/>
    <w:rsid w:val="00475624"/>
    <w:rsid w:val="004A5C2C"/>
    <w:rsid w:val="004A784B"/>
    <w:rsid w:val="004E59B3"/>
    <w:rsid w:val="00517DE4"/>
    <w:rsid w:val="0052132E"/>
    <w:rsid w:val="005415C1"/>
    <w:rsid w:val="00563EAA"/>
    <w:rsid w:val="00586292"/>
    <w:rsid w:val="005B7079"/>
    <w:rsid w:val="006D793E"/>
    <w:rsid w:val="00725293"/>
    <w:rsid w:val="0073677D"/>
    <w:rsid w:val="007D357C"/>
    <w:rsid w:val="007D4DA8"/>
    <w:rsid w:val="0082223F"/>
    <w:rsid w:val="00877007"/>
    <w:rsid w:val="008B5129"/>
    <w:rsid w:val="0095365A"/>
    <w:rsid w:val="0098104C"/>
    <w:rsid w:val="009A757D"/>
    <w:rsid w:val="00B13ADF"/>
    <w:rsid w:val="00B229E0"/>
    <w:rsid w:val="00B23598"/>
    <w:rsid w:val="00B83595"/>
    <w:rsid w:val="00C54DC8"/>
    <w:rsid w:val="00C73692"/>
    <w:rsid w:val="00C93BB7"/>
    <w:rsid w:val="00CB25E9"/>
    <w:rsid w:val="00CF452A"/>
    <w:rsid w:val="00D0165E"/>
    <w:rsid w:val="00D23A9C"/>
    <w:rsid w:val="00D75C7B"/>
    <w:rsid w:val="00D85C7B"/>
    <w:rsid w:val="00D9259F"/>
    <w:rsid w:val="00DA02C9"/>
    <w:rsid w:val="00DE2224"/>
    <w:rsid w:val="00E234E9"/>
    <w:rsid w:val="00E82898"/>
    <w:rsid w:val="00ED3713"/>
    <w:rsid w:val="00ED37A1"/>
    <w:rsid w:val="00EF518F"/>
    <w:rsid w:val="00F2325D"/>
    <w:rsid w:val="00F630BB"/>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2742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611929546">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 w:id="20230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4</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5</b:RefOrder>
  </b:Source>
  <b:Source>
    <b:Tag>ElA20</b:Tag>
    <b:SourceType>JournalArticle</b:SourceType>
    <b:Guid>{EF5129C3-35BE-457F-9B8F-1E9F2EC12FCC}</b:Guid>
    <b:Author>
      <b:Author>
        <b:NameList>
          <b:Person>
            <b:Last>El-Aziz</b:Last>
            <b:First>A</b:First>
          </b:Person>
          <b:Person>
            <b:Last>Stockand</b:Last>
            <b:First>J</b:First>
          </b:Person>
        </b:NameList>
      </b:Author>
    </b:Author>
    <b:Title>Recent progress and challenges in drug development against COVID-19 coronavirus (SARS-CoV-2) - an update on the status</b:Title>
    <b:JournalName>Infection, Genetics and Evolution</b:JournalName>
    <b:Year>2020</b:Year>
    <b:Pages>1-10</b:Pages>
    <b:Month>April</b:Month>
    <b:Volume>83</b:Volume>
    <b:DOI>10.1016/j.meegid.2020</b:DOI>
    <b:RefOrder>3</b:RefOrder>
  </b:Source>
  <b:Source>
    <b:Tag>Soh20</b:Tag>
    <b:SourceType>JournalArticle</b:SourceType>
    <b:Guid>{F5B4980B-94C1-4508-8D44-D146BF7CD07E}</b:Guid>
    <b:Author>
      <b:Author>
        <b:NameList>
          <b:Person>
            <b:Last>Sohail</b:Last>
            <b:First>A</b:First>
          </b:Person>
          <b:Person>
            <b:Last>Nutini</b:Last>
            <b:First>A</b:First>
          </b:Person>
        </b:NameList>
      </b:Author>
    </b:Author>
    <b:Title>Forecasting the timeframe of 2019-nCoV and human cells interaction with reverse engineering</b:Title>
    <b:JournalName>Progress in Biophysics and Molecular Biology</b:JournalName>
    <b:Year>2020</b:Year>
    <b:Pages>29-35</b:Pages>
    <b:Month>April</b:Month>
    <b:Volume>155</b:Volume>
    <b:DOI>10.1016/j.pbiomolbio.2020.04.002</b:DOI>
    <b:RefOrder>6</b:RefOrder>
  </b:Source>
  <b:Source>
    <b:Tag>Val20</b:Tag>
    <b:SourceType>JournalArticle</b:SourceType>
    <b:Guid>{126B8A33-D42C-4E11-ADB9-584AAB70DD88}</b:Guid>
    <b:Author>
      <b:Author>
        <b:NameList>
          <b:Person>
            <b:Last>Valadez</b:Last>
            <b:First>M</b:First>
          </b:Person>
          <b:Person>
            <b:Last>Lopez-Aymes</b:Last>
            <b:First>G</b:First>
          </b:Person>
          <b:Person>
            <b:Last>Ruvalcaba</b:Last>
            <b:First>N</b:First>
          </b:Person>
          <b:Person>
            <b:Last>Flores</b:Last>
            <b:First>F</b:First>
          </b:Person>
          <b:Person>
            <b:Last>Ortiz</b:Last>
            <b:First>G</b:First>
          </b:Person>
          <b:Person>
            <b:Last>Rodriguez</b:Last>
            <b:First>C</b:First>
          </b:Person>
          <b:Person>
            <b:Last>Borges</b:Last>
            <b:First>A</b:First>
          </b:Person>
        </b:NameList>
      </b:Author>
    </b:Author>
    <b:Title>Emotions and reactions to the confinement by covid-19 of children and adolescents with high abilities and community samples: a mixed methods research study</b:Title>
    <b:JournalName>Frontiers in Psychology</b:JournalName>
    <b:Year>2020</b:Year>
    <b:Pages>1-14</b:Pages>
    <b:Month>November</b:Month>
    <b:Volume>11</b:Volume>
    <b:DOI>10.3389/fpsyg.2020.585587</b:DOI>
    <b:RefOrder>7</b:RefOrder>
  </b:Source>
</b:Sources>
</file>

<file path=customXml/itemProps1.xml><?xml version="1.0" encoding="utf-8"?>
<ds:datastoreItem xmlns:ds="http://schemas.openxmlformats.org/officeDocument/2006/customXml" ds:itemID="{6571E51C-0866-4CCC-B47E-CEAD9AFA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6928</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2021-01-07T18:08:00Z</dcterms:modified>
</cp:coreProperties>
</file>